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default" w:ascii="Times New Roman" w:hAnsi="Times New Roman" w:cs="Times New Roman"/>
          <w:b/>
          <w:bCs/>
          <w:color w:val="auto"/>
          <w:sz w:val="44"/>
          <w:szCs w:val="52"/>
        </w:rPr>
        <w:id w:val="147459195"/>
        <w:docPartObj>
          <w:docPartGallery w:val="Table of Contents"/>
          <w:docPartUnique/>
        </w:docPartObj>
      </w:sdtPr>
      <w:sdtEndPr>
        <w:rPr>
          <w:rFonts w:hint="default" w:ascii="Times New Roman" w:hAnsi="Times New Roman" w:cs="Times New Roman"/>
          <w:b/>
          <w:bCs/>
          <w:color w:val="auto"/>
          <w:sz w:val="24"/>
          <w:szCs w:val="24"/>
        </w:rPr>
      </w:sdtEndPr>
      <w:sdtContent>
        <w:p>
          <w:pPr>
            <w:spacing w:line="240" w:lineRule="auto"/>
            <w:ind w:firstLine="0" w:firstLineChars="0"/>
            <w:jc w:val="center"/>
            <w:rPr>
              <w:rFonts w:hint="default" w:ascii="Times New Roman" w:hAnsi="Times New Roman" w:cs="Times New Roman"/>
              <w:b/>
              <w:bCs/>
              <w:color w:val="auto"/>
              <w:sz w:val="52"/>
              <w:szCs w:val="52"/>
            </w:rPr>
          </w:pPr>
          <w:bookmarkStart w:id="0" w:name="_Toc329183024"/>
          <w:bookmarkStart w:id="1" w:name="_Toc366760140"/>
          <w:bookmarkStart w:id="2" w:name="_Toc189424845"/>
          <w:bookmarkStart w:id="3" w:name="_Toc269468332"/>
          <w:bookmarkStart w:id="4" w:name="_Toc269574511"/>
          <w:bookmarkStart w:id="5" w:name="_Toc295120997"/>
          <w:bookmarkStart w:id="6" w:name="_Toc476921772"/>
          <w:bookmarkStart w:id="7" w:name="_Toc477187192"/>
          <w:bookmarkStart w:id="8" w:name="_Toc485578871"/>
          <w:bookmarkStart w:id="9" w:name="_Toc477160777"/>
          <w:r>
            <w:rPr>
              <w:rFonts w:hint="default" w:ascii="Times New Roman" w:hAnsi="Times New Roman" w:cs="Times New Roman"/>
              <w:b/>
              <w:bCs/>
              <w:color w:val="auto"/>
              <w:sz w:val="44"/>
              <w:szCs w:val="52"/>
            </w:rPr>
            <w:t>目 录</w:t>
          </w:r>
        </w:p>
        <w:p>
          <w:pPr>
            <w:pStyle w:val="50"/>
            <w:tabs>
              <w:tab w:val="right" w:leader="dot" w:pos="8732"/>
            </w:tabs>
            <w:spacing w:line="360" w:lineRule="auto"/>
            <w:rPr>
              <w:rFonts w:hint="default" w:ascii="Times New Roman" w:hAnsi="Times New Roman" w:cs="Times New Roman"/>
              <w:b/>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TOC \o "1-2" \h \u </w:instrText>
          </w:r>
          <w:r>
            <w:rPr>
              <w:rFonts w:hint="default" w:ascii="Times New Roman" w:hAnsi="Times New Roman" w:cs="Times New Roman"/>
              <w:color w:val="auto"/>
            </w:rPr>
            <w:fldChar w:fldCharType="separate"/>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"_Toc10132" </w:instrText>
          </w:r>
          <w:r>
            <w:rPr>
              <w:rFonts w:hint="default" w:ascii="Times New Roman" w:hAnsi="Times New Roman" w:cs="Times New Roman"/>
              <w:color w:val="auto"/>
            </w:rPr>
            <w:fldChar w:fldCharType="separate"/>
          </w:r>
          <w:r>
            <w:rPr>
              <w:rFonts w:hint="default" w:ascii="Times New Roman" w:hAnsi="Times New Roman" w:cs="Times New Roman"/>
              <w:b/>
              <w:color w:val="auto"/>
              <w:sz w:val="24"/>
              <w:szCs w:val="24"/>
            </w:rPr>
            <w:t>第一章   概  述</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fldChar w:fldCharType="begin"/>
          </w:r>
          <w:r>
            <w:rPr>
              <w:rFonts w:hint="default" w:ascii="Times New Roman" w:hAnsi="Times New Roman" w:cs="Times New Roman"/>
              <w:b/>
              <w:color w:val="auto"/>
              <w:sz w:val="24"/>
              <w:szCs w:val="24"/>
            </w:rPr>
            <w:instrText xml:space="preserve"> PAGEREF _Toc10132 </w:instrText>
          </w:r>
          <w:r>
            <w:rPr>
              <w:rFonts w:hint="default" w:ascii="Times New Roman" w:hAnsi="Times New Roman" w:cs="Times New Roman"/>
              <w:b/>
              <w:color w:val="auto"/>
              <w:sz w:val="24"/>
              <w:szCs w:val="24"/>
            </w:rPr>
            <w:fldChar w:fldCharType="separate"/>
          </w:r>
          <w:r>
            <w:rPr>
              <w:rFonts w:hint="default" w:ascii="Times New Roman" w:hAnsi="Times New Roman" w:cs="Times New Roman"/>
              <w:b/>
              <w:color w:val="auto"/>
              <w:sz w:val="24"/>
              <w:szCs w:val="24"/>
            </w:rPr>
            <w:t>1</w:t>
          </w:r>
          <w:r>
            <w:rPr>
              <w:rFonts w:hint="default" w:ascii="Times New Roman" w:hAnsi="Times New Roman" w:cs="Times New Roman"/>
              <w:b/>
              <w:color w:val="auto"/>
              <w:sz w:val="24"/>
              <w:szCs w:val="24"/>
            </w:rPr>
            <w:fldChar w:fldCharType="end"/>
          </w:r>
          <w:r>
            <w:rPr>
              <w:rFonts w:hint="default" w:ascii="Times New Roman" w:hAnsi="Times New Roman" w:cs="Times New Roman"/>
              <w:b/>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"_Toc5699"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szCs w:val="24"/>
            </w:rPr>
            <w:t>1.1 项目由来</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_Toc5699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"_Toc29542"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szCs w:val="24"/>
            </w:rPr>
            <w:t>1.2环境影响评价的工作过程</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_Toc29542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"_Toc21020"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szCs w:val="24"/>
            </w:rPr>
            <w:t>1.3项目特点</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_Toc21020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"_Toc16015"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szCs w:val="24"/>
            </w:rPr>
            <w:t>1.4分析判定情况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_Toc16015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"_Toc24227"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szCs w:val="24"/>
            </w:rPr>
            <w:t>1.5 关注的主要问题</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_Toc24227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6</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"_Toc4238"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szCs w:val="24"/>
            </w:rPr>
            <w:t>1.6 结论</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_Toc4238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6</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0" w:leftChars="0"/>
            <w:rPr>
              <w:rFonts w:hint="default" w:ascii="Times New Roman" w:hAnsi="Times New Roman" w:cs="Times New Roman"/>
              <w:b/>
              <w:bCs/>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"_Toc15624" </w:instrText>
          </w:r>
          <w:r>
            <w:rPr>
              <w:rFonts w:hint="default" w:ascii="Times New Roman" w:hAnsi="Times New Roman" w:cs="Times New Roman"/>
              <w:color w:val="auto"/>
            </w:rPr>
            <w:fldChar w:fldCharType="separate"/>
          </w:r>
          <w:r>
            <w:rPr>
              <w:rFonts w:hint="default" w:ascii="Times New Roman" w:hAnsi="Times New Roman" w:cs="Times New Roman"/>
              <w:b/>
              <w:bCs/>
              <w:color w:val="auto"/>
              <w:sz w:val="24"/>
              <w:szCs w:val="24"/>
            </w:rPr>
            <w:t>第二章  总论</w:t>
          </w:r>
          <w:r>
            <w:rPr>
              <w:rFonts w:hint="default" w:ascii="Times New Roman" w:hAnsi="Times New Roman" w:cs="Times New Roman"/>
              <w:b/>
              <w:bCs/>
              <w:color w:val="auto"/>
              <w:sz w:val="24"/>
              <w:szCs w:val="24"/>
            </w:rPr>
            <w:tab/>
          </w:r>
          <w:r>
            <w:rPr>
              <w:rFonts w:hint="default" w:ascii="Times New Roman" w:hAnsi="Times New Roman" w:cs="Times New Roman"/>
              <w:b/>
              <w:bCs/>
              <w:color w:val="auto"/>
              <w:sz w:val="24"/>
              <w:szCs w:val="24"/>
            </w:rPr>
            <w:fldChar w:fldCharType="begin"/>
          </w:r>
          <w:r>
            <w:rPr>
              <w:rFonts w:hint="default" w:ascii="Times New Roman" w:hAnsi="Times New Roman" w:cs="Times New Roman"/>
              <w:b/>
              <w:bCs/>
              <w:color w:val="auto"/>
              <w:sz w:val="24"/>
              <w:szCs w:val="24"/>
            </w:rPr>
            <w:instrText xml:space="preserve"> PAGEREF _Toc15624 </w:instrText>
          </w:r>
          <w:r>
            <w:rPr>
              <w:rFonts w:hint="default" w:ascii="Times New Roman" w:hAnsi="Times New Roman" w:cs="Times New Roman"/>
              <w:b/>
              <w:bCs/>
              <w:color w:val="auto"/>
              <w:sz w:val="24"/>
              <w:szCs w:val="24"/>
            </w:rPr>
            <w:fldChar w:fldCharType="separate"/>
          </w:r>
          <w:r>
            <w:rPr>
              <w:rFonts w:hint="default" w:ascii="Times New Roman" w:hAnsi="Times New Roman" w:cs="Times New Roman"/>
              <w:b/>
              <w:bCs/>
              <w:color w:val="auto"/>
              <w:sz w:val="24"/>
              <w:szCs w:val="24"/>
            </w:rPr>
            <w:t>8</w:t>
          </w:r>
          <w:r>
            <w:rPr>
              <w:rFonts w:hint="default" w:ascii="Times New Roman" w:hAnsi="Times New Roman" w:cs="Times New Roman"/>
              <w:b/>
              <w:bCs/>
              <w:color w:val="auto"/>
              <w:sz w:val="24"/>
              <w:szCs w:val="24"/>
            </w:rPr>
            <w:fldChar w:fldCharType="end"/>
          </w:r>
          <w:r>
            <w:rPr>
              <w:rFonts w:hint="default" w:ascii="Times New Roman" w:hAnsi="Times New Roman" w:cs="Times New Roman"/>
              <w:b/>
              <w:bCs/>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"_Toc18132"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szCs w:val="24"/>
            </w:rPr>
            <w:t>2.1 编制依据</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_Toc18132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8</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"_Toc14836"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szCs w:val="24"/>
            </w:rPr>
            <w:t>2.2 评价对象及目的</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_Toc14836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"_Toc13437"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szCs w:val="24"/>
            </w:rPr>
            <w:t>2.3 环境影响因素识别及评价因子筛选</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_Toc13437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"_Toc30937"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szCs w:val="24"/>
            </w:rPr>
            <w:t>2.4 评价标准</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_Toc30937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"_Toc16591"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szCs w:val="24"/>
            </w:rPr>
            <w:t>2.5 评价等级及评价范围</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_Toc16591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"_Toc22271"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szCs w:val="24"/>
            </w:rPr>
            <w:t>2.6 环境保护目标</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_Toc22271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18</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"_Toc676"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 w:val="24"/>
              <w:szCs w:val="24"/>
            </w:rPr>
            <w:t>2.7政策相符性分析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_Toc676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"_Toc19396"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szCs w:val="24"/>
            </w:rPr>
            <w:t>2.8 评价专题章节设置</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_Toc19396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28</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"_Toc2090"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szCs w:val="24"/>
            </w:rPr>
            <w:t>2.9 评价工作程序</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_Toc2090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0"/>
            <w:tabs>
              <w:tab w:val="right" w:leader="dot" w:pos="8732"/>
            </w:tabs>
            <w:spacing w:line="360" w:lineRule="auto"/>
            <w:rPr>
              <w:rFonts w:hint="default" w:ascii="Times New Roman" w:hAnsi="Times New Roman" w:cs="Times New Roman"/>
              <w:b/>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"_Toc22488" </w:instrText>
          </w:r>
          <w:r>
            <w:rPr>
              <w:rFonts w:hint="default" w:ascii="Times New Roman" w:hAnsi="Times New Roman" w:cs="Times New Roman"/>
              <w:color w:val="auto"/>
            </w:rPr>
            <w:fldChar w:fldCharType="separate"/>
          </w:r>
          <w:r>
            <w:rPr>
              <w:rFonts w:hint="default" w:ascii="Times New Roman" w:hAnsi="Times New Roman" w:eastAsia="黑体" w:cs="Times New Roman"/>
              <w:b/>
              <w:color w:val="auto"/>
              <w:sz w:val="24"/>
              <w:szCs w:val="24"/>
            </w:rPr>
            <w:t>第三章  工程分析</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fldChar w:fldCharType="begin"/>
          </w:r>
          <w:r>
            <w:rPr>
              <w:rFonts w:hint="default" w:ascii="Times New Roman" w:hAnsi="Times New Roman" w:cs="Times New Roman"/>
              <w:b/>
              <w:color w:val="auto"/>
              <w:sz w:val="24"/>
              <w:szCs w:val="24"/>
            </w:rPr>
            <w:instrText xml:space="preserve"> PAGEREF _Toc22488 </w:instrText>
          </w:r>
          <w:r>
            <w:rPr>
              <w:rFonts w:hint="default" w:ascii="Times New Roman" w:hAnsi="Times New Roman" w:cs="Times New Roman"/>
              <w:b/>
              <w:color w:val="auto"/>
              <w:sz w:val="24"/>
              <w:szCs w:val="24"/>
            </w:rPr>
            <w:fldChar w:fldCharType="separate"/>
          </w:r>
          <w:r>
            <w:rPr>
              <w:rFonts w:hint="default" w:ascii="Times New Roman" w:hAnsi="Times New Roman" w:cs="Times New Roman"/>
              <w:b/>
              <w:color w:val="auto"/>
              <w:sz w:val="24"/>
              <w:szCs w:val="24"/>
            </w:rPr>
            <w:t>31</w:t>
          </w:r>
          <w:r>
            <w:rPr>
              <w:rFonts w:hint="default" w:ascii="Times New Roman" w:hAnsi="Times New Roman" w:cs="Times New Roman"/>
              <w:b/>
              <w:color w:val="auto"/>
              <w:sz w:val="24"/>
              <w:szCs w:val="24"/>
            </w:rPr>
            <w:fldChar w:fldCharType="end"/>
          </w:r>
          <w:r>
            <w:rPr>
              <w:rFonts w:hint="default" w:ascii="Times New Roman" w:hAnsi="Times New Roman" w:cs="Times New Roman"/>
              <w:b/>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"_Toc13726"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szCs w:val="24"/>
            </w:rPr>
            <w:t>3.1 拟建项目工程概况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_Toc13726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"_Toc25484"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szCs w:val="24"/>
            </w:rPr>
            <w:t>3.2项目工艺流程</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_Toc25484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48</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"_Toc15088"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szCs w:val="24"/>
            </w:rPr>
            <w:t>3.3 主要产污环节分析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_Toc15088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64</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"_Toc11371"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szCs w:val="24"/>
            </w:rPr>
            <w:t>3.4 项目主要污染物产排情况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_Toc11371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79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0"/>
            <w:tabs>
              <w:tab w:val="right" w:leader="dot" w:pos="8732"/>
            </w:tabs>
            <w:spacing w:line="360" w:lineRule="auto"/>
            <w:rPr>
              <w:rFonts w:hint="default" w:ascii="Times New Roman" w:hAnsi="Times New Roman" w:cs="Times New Roman"/>
              <w:b/>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"_Toc24433" </w:instrText>
          </w:r>
          <w:r>
            <w:rPr>
              <w:rFonts w:hint="default" w:ascii="Times New Roman" w:hAnsi="Times New Roman" w:cs="Times New Roman"/>
              <w:color w:val="auto"/>
            </w:rPr>
            <w:fldChar w:fldCharType="separate"/>
          </w:r>
          <w:r>
            <w:rPr>
              <w:rFonts w:hint="default" w:ascii="Times New Roman" w:hAnsi="Times New Roman" w:cs="Times New Roman"/>
              <w:b/>
              <w:color w:val="auto"/>
              <w:sz w:val="24"/>
              <w:szCs w:val="24"/>
            </w:rPr>
            <w:t>第四章  区域环境概况及环境质量现状评价</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fldChar w:fldCharType="begin"/>
          </w:r>
          <w:r>
            <w:rPr>
              <w:rFonts w:hint="default" w:ascii="Times New Roman" w:hAnsi="Times New Roman" w:cs="Times New Roman"/>
              <w:b/>
              <w:color w:val="auto"/>
              <w:sz w:val="24"/>
              <w:szCs w:val="24"/>
            </w:rPr>
            <w:instrText xml:space="preserve"> PAGEREF _Toc24433 </w:instrText>
          </w:r>
          <w:r>
            <w:rPr>
              <w:rFonts w:hint="default" w:ascii="Times New Roman" w:hAnsi="Times New Roman" w:cs="Times New Roman"/>
              <w:b/>
              <w:color w:val="auto"/>
              <w:sz w:val="24"/>
              <w:szCs w:val="24"/>
            </w:rPr>
            <w:fldChar w:fldCharType="separate"/>
          </w:r>
          <w:r>
            <w:rPr>
              <w:rFonts w:hint="default" w:ascii="Times New Roman" w:hAnsi="Times New Roman" w:cs="Times New Roman"/>
              <w:b/>
              <w:color w:val="auto"/>
              <w:sz w:val="24"/>
              <w:szCs w:val="24"/>
            </w:rPr>
            <w:t>81</w:t>
          </w:r>
          <w:r>
            <w:rPr>
              <w:rFonts w:hint="default" w:ascii="Times New Roman" w:hAnsi="Times New Roman" w:cs="Times New Roman"/>
              <w:b/>
              <w:color w:val="auto"/>
              <w:sz w:val="24"/>
              <w:szCs w:val="24"/>
            </w:rPr>
            <w:fldChar w:fldCharType="end"/>
          </w:r>
          <w:r>
            <w:rPr>
              <w:rFonts w:hint="default" w:ascii="Times New Roman" w:hAnsi="Times New Roman" w:cs="Times New Roman"/>
              <w:b/>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"_Toc9392"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szCs w:val="24"/>
            </w:rPr>
            <w:t>4.1 区域环境质量概况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_Toc9392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81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"_Toc7155"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szCs w:val="24"/>
            </w:rPr>
            <w:t>4.2  环境质量现状调查与评价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_Toc7155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83</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0"/>
            <w:tabs>
              <w:tab w:val="right" w:leader="dot" w:pos="8732"/>
            </w:tabs>
            <w:spacing w:line="360" w:lineRule="auto"/>
            <w:rPr>
              <w:rFonts w:hint="default" w:ascii="Times New Roman" w:hAnsi="Times New Roman" w:cs="Times New Roman"/>
              <w:b/>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"_Toc31576" </w:instrText>
          </w:r>
          <w:r>
            <w:rPr>
              <w:rFonts w:hint="default" w:ascii="Times New Roman" w:hAnsi="Times New Roman" w:cs="Times New Roman"/>
              <w:color w:val="auto"/>
            </w:rPr>
            <w:fldChar w:fldCharType="separate"/>
          </w:r>
          <w:r>
            <w:rPr>
              <w:rFonts w:hint="default" w:ascii="Times New Roman" w:hAnsi="Times New Roman" w:eastAsia="黑体" w:cs="Times New Roman"/>
              <w:b/>
              <w:color w:val="auto"/>
              <w:sz w:val="24"/>
              <w:szCs w:val="24"/>
            </w:rPr>
            <w:t>第五章  环境质量影响预测与评价</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fldChar w:fldCharType="begin"/>
          </w:r>
          <w:r>
            <w:rPr>
              <w:rFonts w:hint="default" w:ascii="Times New Roman" w:hAnsi="Times New Roman" w:cs="Times New Roman"/>
              <w:b/>
              <w:color w:val="auto"/>
              <w:sz w:val="24"/>
              <w:szCs w:val="24"/>
            </w:rPr>
            <w:instrText xml:space="preserve"> PAGEREF _Toc31576 </w:instrText>
          </w:r>
          <w:r>
            <w:rPr>
              <w:rFonts w:hint="default" w:ascii="Times New Roman" w:hAnsi="Times New Roman" w:cs="Times New Roman"/>
              <w:b/>
              <w:color w:val="auto"/>
              <w:sz w:val="24"/>
              <w:szCs w:val="24"/>
            </w:rPr>
            <w:fldChar w:fldCharType="separate"/>
          </w:r>
          <w:r>
            <w:rPr>
              <w:rFonts w:hint="default" w:ascii="Times New Roman" w:hAnsi="Times New Roman" w:cs="Times New Roman"/>
              <w:b/>
              <w:color w:val="auto"/>
              <w:sz w:val="24"/>
              <w:szCs w:val="24"/>
            </w:rPr>
            <w:t>100</w:t>
          </w:r>
          <w:r>
            <w:rPr>
              <w:rFonts w:hint="default" w:ascii="Times New Roman" w:hAnsi="Times New Roman" w:cs="Times New Roman"/>
              <w:b/>
              <w:color w:val="auto"/>
              <w:sz w:val="24"/>
              <w:szCs w:val="24"/>
            </w:rPr>
            <w:fldChar w:fldCharType="end"/>
          </w:r>
          <w:r>
            <w:rPr>
              <w:rFonts w:hint="default" w:ascii="Times New Roman" w:hAnsi="Times New Roman" w:cs="Times New Roman"/>
              <w:b/>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"_Toc32528"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 w:val="24"/>
              <w:szCs w:val="24"/>
            </w:rPr>
            <w:t>5.1 施工期环境影响分析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_Toc32528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100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"_Toc31203"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 w:val="24"/>
              <w:szCs w:val="24"/>
            </w:rPr>
            <w:t>5.2营运期环境影响分析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_Toc31203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104</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"_Toc29803"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sz w:val="24"/>
              <w:szCs w:val="24"/>
            </w:rPr>
            <w:t>5.3  环境风险分析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_Toc29803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155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0"/>
            <w:tabs>
              <w:tab w:val="right" w:leader="dot" w:pos="8732"/>
            </w:tabs>
            <w:spacing w:line="360" w:lineRule="auto"/>
            <w:rPr>
              <w:rFonts w:hint="default" w:ascii="Times New Roman" w:hAnsi="Times New Roman" w:cs="Times New Roman"/>
              <w:b/>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"_Toc3876" </w:instrText>
          </w:r>
          <w:r>
            <w:rPr>
              <w:rFonts w:hint="default" w:ascii="Times New Roman" w:hAnsi="Times New Roman" w:cs="Times New Roman"/>
              <w:color w:val="auto"/>
            </w:rPr>
            <w:fldChar w:fldCharType="separate"/>
          </w:r>
          <w:r>
            <w:rPr>
              <w:rFonts w:hint="default" w:ascii="Times New Roman" w:hAnsi="Times New Roman" w:cs="Times New Roman"/>
              <w:b/>
              <w:color w:val="auto"/>
              <w:sz w:val="24"/>
              <w:szCs w:val="24"/>
            </w:rPr>
            <w:t>第六章  防污减污措施评价</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fldChar w:fldCharType="begin"/>
          </w:r>
          <w:r>
            <w:rPr>
              <w:rFonts w:hint="default" w:ascii="Times New Roman" w:hAnsi="Times New Roman" w:cs="Times New Roman"/>
              <w:b/>
              <w:color w:val="auto"/>
              <w:sz w:val="24"/>
              <w:szCs w:val="24"/>
            </w:rPr>
            <w:instrText xml:space="preserve"> PAGEREF _Toc3876 </w:instrText>
          </w:r>
          <w:r>
            <w:rPr>
              <w:rFonts w:hint="default" w:ascii="Times New Roman" w:hAnsi="Times New Roman" w:cs="Times New Roman"/>
              <w:b/>
              <w:color w:val="auto"/>
              <w:sz w:val="24"/>
              <w:szCs w:val="24"/>
            </w:rPr>
            <w:fldChar w:fldCharType="separate"/>
          </w:r>
          <w:r>
            <w:rPr>
              <w:rFonts w:hint="default" w:ascii="Times New Roman" w:hAnsi="Times New Roman" w:cs="Times New Roman"/>
              <w:b/>
              <w:color w:val="auto"/>
              <w:sz w:val="24"/>
              <w:szCs w:val="24"/>
            </w:rPr>
            <w:t>173</w:t>
          </w:r>
          <w:r>
            <w:rPr>
              <w:rFonts w:hint="default" w:ascii="Times New Roman" w:hAnsi="Times New Roman" w:cs="Times New Roman"/>
              <w:b/>
              <w:color w:val="auto"/>
              <w:sz w:val="24"/>
              <w:szCs w:val="24"/>
            </w:rPr>
            <w:fldChar w:fldCharType="end"/>
          </w:r>
          <w:r>
            <w:rPr>
              <w:rFonts w:hint="default" w:ascii="Times New Roman" w:hAnsi="Times New Roman" w:cs="Times New Roman"/>
              <w:b/>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"_Toc14268"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szCs w:val="24"/>
            </w:rPr>
            <w:t>6.1  施工期污染防治措施</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_Toc14268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173</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"_Toc14559"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szCs w:val="24"/>
            </w:rPr>
            <w:t>6.2  本次工程防污减污措施评价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_Toc14559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176</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"_Toc27872"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szCs w:val="24"/>
            </w:rPr>
            <w:t>6.3 污染防治环保投资估算</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_Toc27872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200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0"/>
            <w:tabs>
              <w:tab w:val="right" w:leader="dot" w:pos="8732"/>
            </w:tabs>
            <w:spacing w:line="360" w:lineRule="auto"/>
            <w:rPr>
              <w:rFonts w:hint="default" w:ascii="Times New Roman" w:hAnsi="Times New Roman" w:cs="Times New Roman"/>
              <w:b/>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"_Toc29195" </w:instrText>
          </w:r>
          <w:r>
            <w:rPr>
              <w:rFonts w:hint="default" w:ascii="Times New Roman" w:hAnsi="Times New Roman" w:cs="Times New Roman"/>
              <w:color w:val="auto"/>
            </w:rPr>
            <w:fldChar w:fldCharType="separate"/>
          </w:r>
          <w:r>
            <w:rPr>
              <w:rFonts w:hint="default" w:ascii="Times New Roman" w:hAnsi="Times New Roman" w:eastAsia="黑体" w:cs="Times New Roman"/>
              <w:b/>
              <w:color w:val="auto"/>
              <w:sz w:val="24"/>
              <w:szCs w:val="24"/>
            </w:rPr>
            <w:t>第七章  场址及总图布置可行性分析</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fldChar w:fldCharType="begin"/>
          </w:r>
          <w:r>
            <w:rPr>
              <w:rFonts w:hint="default" w:ascii="Times New Roman" w:hAnsi="Times New Roman" w:cs="Times New Roman"/>
              <w:b/>
              <w:color w:val="auto"/>
              <w:sz w:val="24"/>
              <w:szCs w:val="24"/>
            </w:rPr>
            <w:instrText xml:space="preserve"> PAGEREF _Toc29195 </w:instrText>
          </w:r>
          <w:r>
            <w:rPr>
              <w:rFonts w:hint="default" w:ascii="Times New Roman" w:hAnsi="Times New Roman" w:cs="Times New Roman"/>
              <w:b/>
              <w:color w:val="auto"/>
              <w:sz w:val="24"/>
              <w:szCs w:val="24"/>
            </w:rPr>
            <w:fldChar w:fldCharType="separate"/>
          </w:r>
          <w:r>
            <w:rPr>
              <w:rFonts w:hint="default" w:ascii="Times New Roman" w:hAnsi="Times New Roman" w:cs="Times New Roman"/>
              <w:b/>
              <w:color w:val="auto"/>
              <w:sz w:val="24"/>
              <w:szCs w:val="24"/>
            </w:rPr>
            <w:t>201</w:t>
          </w:r>
          <w:r>
            <w:rPr>
              <w:rFonts w:hint="default" w:ascii="Times New Roman" w:hAnsi="Times New Roman" w:cs="Times New Roman"/>
              <w:b/>
              <w:color w:val="auto"/>
              <w:sz w:val="24"/>
              <w:szCs w:val="24"/>
            </w:rPr>
            <w:fldChar w:fldCharType="end"/>
          </w:r>
          <w:r>
            <w:rPr>
              <w:rFonts w:hint="default" w:ascii="Times New Roman" w:hAnsi="Times New Roman" w:cs="Times New Roman"/>
              <w:b/>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"_Toc26799"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szCs w:val="24"/>
            </w:rPr>
            <w:t>7.1 无公害食品基地建设环境保护措施</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_Toc26799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201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"_Toc30025"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szCs w:val="24"/>
            </w:rPr>
            <w:t>7.2 场址选择及场区平面布置合理性分析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_Toc30025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201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0"/>
            <w:tabs>
              <w:tab w:val="right" w:leader="dot" w:pos="8732"/>
            </w:tabs>
            <w:spacing w:line="360" w:lineRule="auto"/>
            <w:rPr>
              <w:rFonts w:hint="default" w:ascii="Times New Roman" w:hAnsi="Times New Roman" w:cs="Times New Roman"/>
              <w:b/>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"_Toc13599" </w:instrText>
          </w:r>
          <w:r>
            <w:rPr>
              <w:rFonts w:hint="default" w:ascii="Times New Roman" w:hAnsi="Times New Roman" w:cs="Times New Roman"/>
              <w:color w:val="auto"/>
            </w:rPr>
            <w:fldChar w:fldCharType="separate"/>
          </w:r>
          <w:r>
            <w:rPr>
              <w:rFonts w:hint="default" w:ascii="Times New Roman" w:hAnsi="Times New Roman" w:eastAsia="黑体" w:cs="Times New Roman"/>
              <w:b/>
              <w:bCs/>
              <w:color w:val="auto"/>
              <w:sz w:val="24"/>
              <w:szCs w:val="24"/>
            </w:rPr>
            <w:t>第八章  环境经济损益分析</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fldChar w:fldCharType="begin"/>
          </w:r>
          <w:r>
            <w:rPr>
              <w:rFonts w:hint="default" w:ascii="Times New Roman" w:hAnsi="Times New Roman" w:cs="Times New Roman"/>
              <w:b/>
              <w:color w:val="auto"/>
              <w:sz w:val="24"/>
              <w:szCs w:val="24"/>
            </w:rPr>
            <w:instrText xml:space="preserve"> PAGEREF _Toc13599 </w:instrText>
          </w:r>
          <w:r>
            <w:rPr>
              <w:rFonts w:hint="default" w:ascii="Times New Roman" w:hAnsi="Times New Roman" w:cs="Times New Roman"/>
              <w:b/>
              <w:color w:val="auto"/>
              <w:sz w:val="24"/>
              <w:szCs w:val="24"/>
            </w:rPr>
            <w:fldChar w:fldCharType="separate"/>
          </w:r>
          <w:r>
            <w:rPr>
              <w:rFonts w:hint="default" w:ascii="Times New Roman" w:hAnsi="Times New Roman" w:cs="Times New Roman"/>
              <w:b/>
              <w:color w:val="auto"/>
              <w:sz w:val="24"/>
              <w:szCs w:val="24"/>
            </w:rPr>
            <w:t>206</w:t>
          </w:r>
          <w:r>
            <w:rPr>
              <w:rFonts w:hint="default" w:ascii="Times New Roman" w:hAnsi="Times New Roman" w:cs="Times New Roman"/>
              <w:b/>
              <w:color w:val="auto"/>
              <w:sz w:val="24"/>
              <w:szCs w:val="24"/>
            </w:rPr>
            <w:fldChar w:fldCharType="end"/>
          </w:r>
          <w:r>
            <w:rPr>
              <w:rFonts w:hint="default" w:ascii="Times New Roman" w:hAnsi="Times New Roman" w:cs="Times New Roman"/>
              <w:b/>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"_Toc24353"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szCs w:val="24"/>
            </w:rPr>
            <w:t>8.1环保投资估算</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_Toc24353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206</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"_Toc5436"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szCs w:val="24"/>
            </w:rPr>
            <w:t>8.2 环境影响经济损益分析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_Toc5436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206</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"_Toc17525"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szCs w:val="24"/>
            </w:rPr>
            <w:t>8.3 项目经济效益分析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_Toc17525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207</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"_Toc14434"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szCs w:val="24"/>
            </w:rPr>
            <w:t>8.4 环境效益分析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_Toc14434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208</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"_Toc13631"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szCs w:val="24"/>
            </w:rPr>
            <w:t>8.5 社会效益分析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_Toc13631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209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"_Toc23654"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szCs w:val="24"/>
            </w:rPr>
            <w:t>8.6 生态效益分析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_Toc23654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210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"_Toc22186"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szCs w:val="24"/>
            </w:rPr>
            <w:t>8.7本项目环境经济损益分析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_Toc22186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210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"_Toc32232"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szCs w:val="24"/>
            </w:rPr>
            <w:t>8.8 环境经济损益分析结论</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_Toc32232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210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0"/>
            <w:tabs>
              <w:tab w:val="right" w:leader="dot" w:pos="8732"/>
            </w:tabs>
            <w:spacing w:line="360" w:lineRule="auto"/>
            <w:rPr>
              <w:rFonts w:hint="default" w:ascii="Times New Roman" w:hAnsi="Times New Roman" w:cs="Times New Roman"/>
              <w:b/>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"_Toc22146" </w:instrText>
          </w:r>
          <w:r>
            <w:rPr>
              <w:rFonts w:hint="default" w:ascii="Times New Roman" w:hAnsi="Times New Roman" w:cs="Times New Roman"/>
              <w:color w:val="auto"/>
            </w:rPr>
            <w:fldChar w:fldCharType="separate"/>
          </w:r>
          <w:r>
            <w:rPr>
              <w:rFonts w:hint="default" w:ascii="Times New Roman" w:hAnsi="Times New Roman" w:eastAsia="黑体" w:cs="Times New Roman"/>
              <w:b/>
              <w:bCs/>
              <w:color w:val="auto"/>
              <w:kern w:val="44"/>
              <w:sz w:val="24"/>
              <w:szCs w:val="24"/>
            </w:rPr>
            <w:t>第九章  环境管理与监测计划</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fldChar w:fldCharType="begin"/>
          </w:r>
          <w:r>
            <w:rPr>
              <w:rFonts w:hint="default" w:ascii="Times New Roman" w:hAnsi="Times New Roman" w:cs="Times New Roman"/>
              <w:b/>
              <w:color w:val="auto"/>
              <w:sz w:val="24"/>
              <w:szCs w:val="24"/>
            </w:rPr>
            <w:instrText xml:space="preserve"> PAGEREF _Toc22146 </w:instrText>
          </w:r>
          <w:r>
            <w:rPr>
              <w:rFonts w:hint="default" w:ascii="Times New Roman" w:hAnsi="Times New Roman" w:cs="Times New Roman"/>
              <w:b/>
              <w:color w:val="auto"/>
              <w:sz w:val="24"/>
              <w:szCs w:val="24"/>
            </w:rPr>
            <w:fldChar w:fldCharType="separate"/>
          </w:r>
          <w:r>
            <w:rPr>
              <w:rFonts w:hint="default" w:ascii="Times New Roman" w:hAnsi="Times New Roman" w:cs="Times New Roman"/>
              <w:b/>
              <w:color w:val="auto"/>
              <w:sz w:val="24"/>
              <w:szCs w:val="24"/>
            </w:rPr>
            <w:t>212</w:t>
          </w:r>
          <w:r>
            <w:rPr>
              <w:rFonts w:hint="default" w:ascii="Times New Roman" w:hAnsi="Times New Roman" w:cs="Times New Roman"/>
              <w:b/>
              <w:color w:val="auto"/>
              <w:sz w:val="24"/>
              <w:szCs w:val="24"/>
            </w:rPr>
            <w:fldChar w:fldCharType="end"/>
          </w:r>
          <w:r>
            <w:rPr>
              <w:rFonts w:hint="default" w:ascii="Times New Roman" w:hAnsi="Times New Roman" w:cs="Times New Roman"/>
              <w:b/>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"_Toc28775"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szCs w:val="24"/>
            </w:rPr>
            <w:t>9.1 环境管理计划</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_Toc28775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212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"_Toc19340"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szCs w:val="24"/>
            </w:rPr>
            <w:t>9.2污染物排放清单</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_Toc19340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214</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"_Toc17362"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szCs w:val="24"/>
            </w:rPr>
            <w:t>9.3 环境监测制度建议</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_Toc17362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218</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"_Toc29006"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szCs w:val="24"/>
            </w:rPr>
            <w:t>9.4 环保竣工验收内容</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_Toc29006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219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"_Toc19362" </w:instrText>
          </w:r>
          <w:r>
            <w:rPr>
              <w:rFonts w:hint="default" w:ascii="Times New Roman" w:hAnsi="Times New Roman" w:cs="Times New Roman"/>
              <w:color w:val="auto"/>
            </w:rPr>
            <w:fldChar w:fldCharType="separate"/>
          </w:r>
          <w:r>
            <w:rPr>
              <w:rFonts w:hint="default" w:ascii="Times New Roman" w:hAnsi="Times New Roman" w:cs="Times New Roman"/>
              <w:bCs/>
              <w:color w:val="auto"/>
              <w:sz w:val="24"/>
              <w:szCs w:val="24"/>
            </w:rPr>
            <w:t>9.5污染物排放总量管理</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_Toc19362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219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0"/>
            <w:tabs>
              <w:tab w:val="right" w:leader="dot" w:pos="8732"/>
            </w:tabs>
            <w:spacing w:line="360" w:lineRule="auto"/>
            <w:rPr>
              <w:rFonts w:hint="default" w:ascii="Times New Roman" w:hAnsi="Times New Roman" w:cs="Times New Roman"/>
              <w:b/>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"_Toc25409" </w:instrText>
          </w:r>
          <w:r>
            <w:rPr>
              <w:rFonts w:hint="default" w:ascii="Times New Roman" w:hAnsi="Times New Roman" w:cs="Times New Roman"/>
              <w:color w:val="auto"/>
            </w:rPr>
            <w:fldChar w:fldCharType="separate"/>
          </w:r>
          <w:r>
            <w:rPr>
              <w:rFonts w:hint="default" w:ascii="Times New Roman" w:hAnsi="Times New Roman" w:cs="Times New Roman"/>
              <w:b/>
              <w:color w:val="auto"/>
              <w:sz w:val="24"/>
              <w:szCs w:val="24"/>
            </w:rPr>
            <w:t>第十章  结论与建议</w:t>
          </w:r>
          <w:r>
            <w:rPr>
              <w:rFonts w:hint="default" w:ascii="Times New Roman" w:hAnsi="Times New Roman" w:cs="Times New Roman"/>
              <w:b/>
              <w:color w:val="auto"/>
              <w:sz w:val="24"/>
              <w:szCs w:val="24"/>
            </w:rPr>
            <w:tab/>
          </w:r>
          <w:r>
            <w:rPr>
              <w:rFonts w:hint="default" w:ascii="Times New Roman" w:hAnsi="Times New Roman" w:cs="Times New Roman"/>
              <w:b/>
              <w:color w:val="auto"/>
              <w:sz w:val="24"/>
              <w:szCs w:val="24"/>
            </w:rPr>
            <w:fldChar w:fldCharType="begin"/>
          </w:r>
          <w:r>
            <w:rPr>
              <w:rFonts w:hint="default" w:ascii="Times New Roman" w:hAnsi="Times New Roman" w:cs="Times New Roman"/>
              <w:b/>
              <w:color w:val="auto"/>
              <w:sz w:val="24"/>
              <w:szCs w:val="24"/>
            </w:rPr>
            <w:instrText xml:space="preserve"> PAGEREF _Toc25409 </w:instrText>
          </w:r>
          <w:r>
            <w:rPr>
              <w:rFonts w:hint="default" w:ascii="Times New Roman" w:hAnsi="Times New Roman" w:cs="Times New Roman"/>
              <w:b/>
              <w:color w:val="auto"/>
              <w:sz w:val="24"/>
              <w:szCs w:val="24"/>
            </w:rPr>
            <w:fldChar w:fldCharType="separate"/>
          </w:r>
          <w:r>
            <w:rPr>
              <w:rFonts w:hint="default" w:ascii="Times New Roman" w:hAnsi="Times New Roman" w:cs="Times New Roman"/>
              <w:b/>
              <w:color w:val="auto"/>
              <w:sz w:val="24"/>
              <w:szCs w:val="24"/>
            </w:rPr>
            <w:t>222</w:t>
          </w:r>
          <w:r>
            <w:rPr>
              <w:rFonts w:hint="default" w:ascii="Times New Roman" w:hAnsi="Times New Roman" w:cs="Times New Roman"/>
              <w:b/>
              <w:color w:val="auto"/>
              <w:sz w:val="24"/>
              <w:szCs w:val="24"/>
            </w:rPr>
            <w:fldChar w:fldCharType="end"/>
          </w:r>
          <w:r>
            <w:rPr>
              <w:rFonts w:hint="default" w:ascii="Times New Roman" w:hAnsi="Times New Roman" w:cs="Times New Roman"/>
              <w:b/>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sz w:val="24"/>
              <w:szCs w:val="24"/>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"_Toc31682"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szCs w:val="24"/>
            </w:rPr>
            <w:t>10.1  结论</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_Toc31682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222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pStyle w:val="51"/>
            <w:tabs>
              <w:tab w:val="right" w:leader="dot" w:pos="8732"/>
            </w:tabs>
            <w:spacing w:line="360" w:lineRule="auto"/>
            <w:ind w:left="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"_Toc23186"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szCs w:val="24"/>
            </w:rPr>
            <w:t>10.2  建议</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_Toc23186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226</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fldChar w:fldCharType="end"/>
          </w:r>
        </w:p>
        <w:p>
          <w:pPr>
            <w:ind w:firstLine="482"/>
            <w:rPr>
              <w:rFonts w:hint="default" w:ascii="Times New Roman" w:hAnsi="Times New Roman" w:cs="Times New Roman"/>
              <w:b/>
              <w:color w:val="auto"/>
            </w:rPr>
          </w:pPr>
          <w:r>
            <w:rPr>
              <w:rFonts w:hint="default" w:ascii="Times New Roman" w:hAnsi="Times New Roman" w:cs="Times New Roman"/>
              <w:b/>
              <w:color w:val="auto"/>
            </w:rPr>
            <w:fldChar w:fldCharType="end"/>
          </w:r>
        </w:p>
        <w:p>
          <w:pPr>
            <w:ind w:firstLine="482"/>
            <w:rPr>
              <w:rFonts w:hint="default" w:ascii="Times New Roman" w:hAnsi="Times New Roman" w:cs="Times New Roman"/>
              <w:b/>
              <w:color w:val="auto"/>
            </w:rPr>
          </w:pPr>
        </w:p>
        <w:p>
          <w:pPr>
            <w:autoSpaceDE w:val="0"/>
            <w:autoSpaceDN w:val="0"/>
            <w:snapToGrid/>
            <w:ind w:firstLine="0" w:firstLineChars="0"/>
            <w:jc w:val="left"/>
            <w:rPr>
              <w:rFonts w:hint="default" w:ascii="Times New Roman" w:hAnsi="Times New Roman" w:cs="Times New Roman"/>
              <w:b/>
              <w:bCs/>
              <w:color w:val="auto"/>
              <w:kern w:val="0"/>
            </w:rPr>
          </w:pPr>
        </w:p>
        <w:p>
          <w:pPr>
            <w:autoSpaceDE w:val="0"/>
            <w:autoSpaceDN w:val="0"/>
            <w:snapToGrid/>
            <w:ind w:firstLine="0" w:firstLineChars="0"/>
            <w:jc w:val="left"/>
            <w:rPr>
              <w:rFonts w:hint="default" w:ascii="Times New Roman" w:hAnsi="Times New Roman" w:cs="Times New Roman"/>
              <w:b/>
              <w:bCs/>
              <w:color w:val="auto"/>
              <w:kern w:val="0"/>
            </w:rPr>
          </w:pPr>
          <w:r>
            <w:rPr>
              <w:rFonts w:hint="default" w:ascii="Times New Roman" w:hAnsi="Times New Roman" w:cs="Times New Roman"/>
              <w:b/>
              <w:bCs/>
              <w:color w:val="auto"/>
              <w:kern w:val="0"/>
            </w:rPr>
            <w:t>附图：</w:t>
          </w:r>
        </w:p>
        <w:p>
          <w:pPr>
            <w:autoSpaceDE w:val="0"/>
            <w:autoSpaceDN w:val="0"/>
            <w:snapToGrid/>
            <w:ind w:firstLine="0" w:firstLineChars="0"/>
            <w:jc w:val="left"/>
            <w:rPr>
              <w:rFonts w:hint="default" w:ascii="Times New Roman" w:hAnsi="Times New Roman" w:cs="Times New Roman"/>
              <w:color w:val="auto"/>
              <w:kern w:val="0"/>
            </w:rPr>
          </w:pPr>
          <w:r>
            <w:rPr>
              <w:rFonts w:hint="default" w:ascii="Times New Roman" w:hAnsi="Times New Roman" w:cs="Times New Roman"/>
              <w:color w:val="auto"/>
              <w:kern w:val="0"/>
            </w:rPr>
            <w:t>附图一   本项目地理位置图</w:t>
          </w:r>
        </w:p>
        <w:p>
          <w:pPr>
            <w:autoSpaceDE w:val="0"/>
            <w:autoSpaceDN w:val="0"/>
            <w:snapToGrid/>
            <w:ind w:firstLine="0" w:firstLineChars="0"/>
            <w:jc w:val="left"/>
            <w:rPr>
              <w:rFonts w:hint="default" w:ascii="Times New Roman" w:hAnsi="Times New Roman" w:cs="Times New Roman"/>
              <w:color w:val="auto"/>
              <w:kern w:val="0"/>
            </w:rPr>
          </w:pPr>
          <w:bookmarkStart w:id="10" w:name="_Toc2092_WPSOffice_Level1"/>
          <w:bookmarkStart w:id="11" w:name="_Toc9934"/>
          <w:bookmarkStart w:id="12" w:name="_Toc24525_WPSOffice_Level1"/>
          <w:bookmarkStart w:id="13" w:name="_Toc9418_WPSOffice_Level1"/>
          <w:bookmarkStart w:id="14" w:name="_Toc9392_WPSOffice_Level1"/>
          <w:bookmarkStart w:id="15" w:name="_Toc14505_WPSOffice_Level1"/>
          <w:bookmarkStart w:id="16" w:name="_Toc5334"/>
          <w:bookmarkStart w:id="17" w:name="_Toc3248_WPSOffice_Level1"/>
          <w:bookmarkStart w:id="18" w:name="_Toc18828_WPSOffice_Level1"/>
          <w:bookmarkStart w:id="19" w:name="_Toc20710_WPSOffice_Level1"/>
          <w:bookmarkStart w:id="20" w:name="_Toc7613"/>
          <w:r>
            <w:rPr>
              <w:rFonts w:hint="default" w:ascii="Times New Roman" w:hAnsi="Times New Roman" w:cs="Times New Roman"/>
              <w:color w:val="auto"/>
              <w:kern w:val="0"/>
            </w:rPr>
            <w:t xml:space="preserve">附件二   </w:t>
          </w:r>
          <w:bookmarkEnd w:id="10"/>
          <w:bookmarkEnd w:id="11"/>
          <w:bookmarkEnd w:id="12"/>
          <w:bookmarkEnd w:id="13"/>
          <w:bookmarkEnd w:id="14"/>
          <w:bookmarkEnd w:id="15"/>
          <w:bookmarkEnd w:id="16"/>
          <w:bookmarkEnd w:id="17"/>
          <w:bookmarkEnd w:id="18"/>
          <w:bookmarkEnd w:id="19"/>
          <w:bookmarkEnd w:id="20"/>
          <w:r>
            <w:rPr>
              <w:rFonts w:hint="default" w:ascii="Times New Roman" w:hAnsi="Times New Roman" w:cs="Times New Roman"/>
              <w:color w:val="auto"/>
              <w:kern w:val="0"/>
            </w:rPr>
            <w:t>项目周边环境示意图</w:t>
          </w:r>
        </w:p>
        <w:p>
          <w:pPr>
            <w:autoSpaceDE w:val="0"/>
            <w:autoSpaceDN w:val="0"/>
            <w:snapToGrid/>
            <w:ind w:firstLine="0" w:firstLineChars="0"/>
            <w:jc w:val="left"/>
            <w:rPr>
              <w:rFonts w:hint="default" w:ascii="Times New Roman" w:hAnsi="Times New Roman" w:cs="Times New Roman"/>
              <w:color w:val="auto"/>
              <w:kern w:val="0"/>
            </w:rPr>
          </w:pPr>
          <w:r>
            <w:rPr>
              <w:rFonts w:hint="default" w:ascii="Times New Roman" w:hAnsi="Times New Roman" w:cs="Times New Roman"/>
              <w:color w:val="auto"/>
              <w:kern w:val="0"/>
            </w:rPr>
            <w:t>附图三   项目平面布置图</w:t>
          </w:r>
        </w:p>
        <w:p>
          <w:pPr>
            <w:autoSpaceDE w:val="0"/>
            <w:autoSpaceDN w:val="0"/>
            <w:snapToGrid/>
            <w:ind w:firstLine="0" w:firstLineChars="0"/>
            <w:jc w:val="left"/>
            <w:rPr>
              <w:rFonts w:hint="default" w:ascii="Times New Roman" w:hAnsi="Times New Roman" w:cs="Times New Roman"/>
              <w:color w:val="auto"/>
              <w:kern w:val="0"/>
            </w:rPr>
          </w:pPr>
          <w:r>
            <w:rPr>
              <w:rFonts w:hint="default" w:ascii="Times New Roman" w:hAnsi="Times New Roman" w:cs="Times New Roman"/>
              <w:color w:val="auto"/>
              <w:kern w:val="0"/>
            </w:rPr>
            <w:t>附图四   项目周边敏感点示意图</w:t>
          </w:r>
        </w:p>
        <w:p>
          <w:pPr>
            <w:autoSpaceDE w:val="0"/>
            <w:autoSpaceDN w:val="0"/>
            <w:snapToGrid/>
            <w:ind w:firstLine="0" w:firstLineChars="0"/>
            <w:jc w:val="left"/>
            <w:rPr>
              <w:rFonts w:hint="default" w:ascii="Times New Roman" w:hAnsi="Times New Roman" w:cs="Times New Roman"/>
              <w:color w:val="auto"/>
              <w:kern w:val="0"/>
            </w:rPr>
          </w:pPr>
          <w:r>
            <w:rPr>
              <w:rFonts w:hint="default" w:ascii="Times New Roman" w:hAnsi="Times New Roman" w:cs="Times New Roman"/>
              <w:color w:val="auto"/>
              <w:kern w:val="0"/>
            </w:rPr>
            <w:t>附图五   项目分区防渗示意图</w:t>
          </w:r>
        </w:p>
        <w:p>
          <w:pPr>
            <w:autoSpaceDE w:val="0"/>
            <w:autoSpaceDN w:val="0"/>
            <w:snapToGrid/>
            <w:ind w:firstLine="0" w:firstLineChars="0"/>
            <w:jc w:val="left"/>
            <w:rPr>
              <w:rFonts w:hint="default" w:ascii="Times New Roman" w:hAnsi="Times New Roman" w:cs="Times New Roman"/>
              <w:color w:val="auto"/>
              <w:kern w:val="0"/>
            </w:rPr>
          </w:pPr>
          <w:r>
            <w:rPr>
              <w:rFonts w:hint="default" w:ascii="Times New Roman" w:hAnsi="Times New Roman" w:cs="Times New Roman"/>
              <w:color w:val="auto"/>
              <w:kern w:val="0"/>
            </w:rPr>
            <w:t>附图六   项目监测点位图</w:t>
          </w:r>
        </w:p>
        <w:p>
          <w:pPr>
            <w:autoSpaceDE w:val="0"/>
            <w:autoSpaceDN w:val="0"/>
            <w:snapToGrid/>
            <w:ind w:firstLine="0" w:firstLineChars="0"/>
            <w:jc w:val="left"/>
            <w:rPr>
              <w:rFonts w:hint="default" w:ascii="Times New Roman" w:hAnsi="Times New Roman" w:cs="Times New Roman"/>
              <w:color w:val="auto"/>
              <w:kern w:val="0"/>
            </w:rPr>
          </w:pPr>
          <w:r>
            <w:rPr>
              <w:rFonts w:hint="default" w:ascii="Times New Roman" w:hAnsi="Times New Roman" w:cs="Times New Roman"/>
              <w:color w:val="auto"/>
              <w:kern w:val="0"/>
            </w:rPr>
            <w:t>附图七   本项目水系图</w:t>
          </w:r>
        </w:p>
        <w:p>
          <w:pPr>
            <w:autoSpaceDE w:val="0"/>
            <w:autoSpaceDN w:val="0"/>
            <w:snapToGrid/>
            <w:ind w:firstLine="0" w:firstLineChars="0"/>
            <w:jc w:val="left"/>
            <w:rPr>
              <w:rFonts w:hint="default" w:ascii="Times New Roman" w:hAnsi="Times New Roman" w:cs="Times New Roman"/>
              <w:color w:val="auto"/>
              <w:kern w:val="0"/>
            </w:rPr>
          </w:pPr>
          <w:r>
            <w:rPr>
              <w:rFonts w:hint="default" w:ascii="Times New Roman" w:hAnsi="Times New Roman" w:cs="Times New Roman"/>
              <w:color w:val="auto"/>
              <w:kern w:val="0"/>
            </w:rPr>
            <w:t>附图八   本项目风险、大气</w:t>
          </w:r>
          <w:r>
            <w:rPr>
              <w:rFonts w:hint="default" w:ascii="Times New Roman" w:hAnsi="Times New Roman" w:cs="Times New Roman"/>
              <w:color w:val="auto"/>
              <w:kern w:val="0"/>
              <w:lang w:eastAsia="zh-CN"/>
            </w:rPr>
            <w:t>、地下水</w:t>
          </w:r>
          <w:r>
            <w:rPr>
              <w:rFonts w:hint="default" w:ascii="Times New Roman" w:hAnsi="Times New Roman" w:cs="Times New Roman"/>
              <w:color w:val="auto"/>
              <w:kern w:val="0"/>
            </w:rPr>
            <w:t>评价范围图</w:t>
          </w:r>
        </w:p>
        <w:p>
          <w:pPr>
            <w:shd w:val="clear"/>
            <w:autoSpaceDE w:val="0"/>
            <w:autoSpaceDN w:val="0"/>
            <w:snapToGrid/>
            <w:ind w:firstLine="0" w:firstLineChars="0"/>
            <w:jc w:val="left"/>
            <w:rPr>
              <w:rFonts w:hint="default" w:ascii="Times New Roman" w:hAnsi="Times New Roman" w:eastAsia="宋体" w:cs="Times New Roman"/>
              <w:b w:val="0"/>
              <w:bCs w:val="0"/>
              <w:color w:val="auto"/>
              <w:kern w:val="0"/>
              <w:highlight w:val="none"/>
              <w:lang w:val="en-US" w:eastAsia="zh-CN"/>
            </w:rPr>
          </w:pPr>
          <w:bookmarkStart w:id="21" w:name="_Toc21113_WPSOffice_Level1"/>
          <w:bookmarkStart w:id="22" w:name="_Toc8714"/>
          <w:bookmarkStart w:id="23" w:name="_Toc3232_WPSOffice_Level1"/>
          <w:bookmarkStart w:id="24" w:name="_Toc14638"/>
          <w:bookmarkStart w:id="25" w:name="_Toc1081_WPSOffice_Level1"/>
          <w:bookmarkStart w:id="26" w:name="_Toc28827"/>
          <w:bookmarkStart w:id="27" w:name="_Toc31578_WPSOffice_Level1"/>
          <w:bookmarkStart w:id="28" w:name="_Toc24528_WPSOffice_Level1"/>
          <w:bookmarkStart w:id="29" w:name="_Toc5365_WPSOffice_Level1"/>
          <w:bookmarkStart w:id="30" w:name="_Toc7216_WPSOffice_Level1"/>
          <w:bookmarkStart w:id="31" w:name="_Toc25284_WPSOffice_Level1"/>
          <w:r>
            <w:rPr>
              <w:rFonts w:hint="default" w:ascii="Times New Roman" w:hAnsi="Times New Roman" w:cs="Times New Roman"/>
              <w:b w:val="0"/>
              <w:bCs w:val="0"/>
              <w:color w:val="auto"/>
              <w:kern w:val="0"/>
              <w:highlight w:val="none"/>
              <w:lang w:eastAsia="zh-CN"/>
            </w:rPr>
            <w:t>附图九</w:t>
          </w:r>
          <w:r>
            <w:rPr>
              <w:rFonts w:hint="default" w:ascii="Times New Roman" w:hAnsi="Times New Roman" w:cs="Times New Roman"/>
              <w:b w:val="0"/>
              <w:bCs w:val="0"/>
              <w:color w:val="auto"/>
              <w:kern w:val="0"/>
              <w:highlight w:val="none"/>
              <w:lang w:val="en-US" w:eastAsia="zh-CN"/>
            </w:rPr>
            <w:t xml:space="preserve">   沼液消纳范围图</w:t>
          </w:r>
        </w:p>
        <w:p>
          <w:pPr>
            <w:shd w:val="clear"/>
            <w:autoSpaceDE w:val="0"/>
            <w:autoSpaceDN w:val="0"/>
            <w:snapToGrid/>
            <w:ind w:firstLine="0" w:firstLineChars="0"/>
            <w:jc w:val="left"/>
            <w:rPr>
              <w:rFonts w:hint="default" w:ascii="Times New Roman" w:hAnsi="Times New Roman" w:cs="Times New Roman"/>
              <w:b w:val="0"/>
              <w:bCs w:val="0"/>
              <w:color w:val="auto"/>
              <w:kern w:val="0"/>
              <w:highlight w:val="none"/>
            </w:rPr>
          </w:pPr>
          <w:r>
            <w:rPr>
              <w:rFonts w:hint="default" w:ascii="Times New Roman" w:hAnsi="Times New Roman" w:cs="Times New Roman"/>
              <w:b w:val="0"/>
              <w:bCs w:val="0"/>
              <w:color w:val="auto"/>
              <w:kern w:val="0"/>
              <w:highlight w:val="none"/>
            </w:rPr>
            <w:t>附件：</w:t>
          </w:r>
          <w:bookmarkEnd w:id="21"/>
          <w:bookmarkEnd w:id="22"/>
          <w:bookmarkEnd w:id="23"/>
          <w:bookmarkEnd w:id="24"/>
          <w:bookmarkEnd w:id="25"/>
          <w:bookmarkEnd w:id="26"/>
          <w:bookmarkEnd w:id="27"/>
          <w:bookmarkEnd w:id="28"/>
          <w:bookmarkEnd w:id="29"/>
          <w:bookmarkEnd w:id="30"/>
          <w:bookmarkEnd w:id="31"/>
        </w:p>
        <w:p>
          <w:pPr>
            <w:keepNext w:val="0"/>
            <w:keepLines w:val="0"/>
            <w:pageBreakBefore w:val="0"/>
            <w:widowControl/>
            <w:kinsoku/>
            <w:wordWrap/>
            <w:overflowPunct/>
            <w:topLinePunct w:val="0"/>
            <w:autoSpaceDE w:val="0"/>
            <w:autoSpaceDN w:val="0"/>
            <w:bidi w:val="0"/>
            <w:adjustRightInd/>
            <w:snapToGrid/>
            <w:spacing w:line="360" w:lineRule="auto"/>
            <w:ind w:left="0" w:leftChars="0" w:right="0" w:rightChars="0" w:firstLine="0" w:firstLineChars="0"/>
            <w:jc w:val="left"/>
            <w:textAlignment w:val="auto"/>
            <w:outlineLvl w:val="9"/>
            <w:rPr>
              <w:rFonts w:hint="default" w:ascii="Times New Roman" w:hAnsi="Times New Roman" w:cs="Times New Roman"/>
              <w:b w:val="0"/>
              <w:bCs w:val="0"/>
              <w:color w:val="auto"/>
              <w:kern w:val="0"/>
              <w:sz w:val="24"/>
              <w:szCs w:val="24"/>
              <w:highlight w:val="none"/>
              <w:lang w:eastAsia="zh-CN"/>
            </w:rPr>
          </w:pPr>
          <w:bookmarkStart w:id="32" w:name="_Toc14176"/>
          <w:bookmarkStart w:id="33" w:name="_Toc9530_WPSOffice_Level1"/>
          <w:bookmarkStart w:id="34" w:name="_Toc15232_WPSOffice_Level1"/>
          <w:bookmarkStart w:id="35" w:name="_Toc20372"/>
          <w:bookmarkStart w:id="36" w:name="_Toc30958_WPSOffice_Level1"/>
          <w:bookmarkStart w:id="37" w:name="_Toc16555_WPSOffice_Level1"/>
          <w:bookmarkStart w:id="38" w:name="_Toc19494"/>
          <w:bookmarkStart w:id="39" w:name="_Toc18378_WPSOffice_Level1"/>
          <w:bookmarkStart w:id="40" w:name="_Toc6322_WPSOffice_Level1"/>
          <w:bookmarkStart w:id="41" w:name="_Toc21386_WPSOffice_Level1"/>
          <w:bookmarkStart w:id="42" w:name="_Toc6913_WPSOffice_Level1"/>
          <w:r>
            <w:rPr>
              <w:rFonts w:hint="default" w:ascii="Times New Roman" w:hAnsi="Times New Roman" w:cs="Times New Roman"/>
              <w:b w:val="0"/>
              <w:bCs w:val="0"/>
              <w:color w:val="auto"/>
              <w:kern w:val="0"/>
              <w:sz w:val="24"/>
              <w:szCs w:val="24"/>
              <w:highlight w:val="none"/>
              <w:lang w:eastAsia="zh-CN"/>
            </w:rPr>
            <w:t>附件一</w:t>
          </w:r>
          <w:r>
            <w:rPr>
              <w:rFonts w:hint="default" w:ascii="Times New Roman" w:hAnsi="Times New Roman" w:cs="Times New Roman"/>
              <w:b w:val="0"/>
              <w:bCs w:val="0"/>
              <w:color w:val="auto"/>
              <w:kern w:val="0"/>
              <w:sz w:val="24"/>
              <w:szCs w:val="24"/>
              <w:highlight w:val="none"/>
              <w:lang w:val="en-US" w:eastAsia="zh-CN"/>
            </w:rPr>
            <w:t xml:space="preserve">    </w:t>
          </w:r>
          <w:r>
            <w:rPr>
              <w:rFonts w:hint="default" w:ascii="Times New Roman" w:hAnsi="Times New Roman" w:cs="Times New Roman"/>
              <w:b w:val="0"/>
              <w:bCs w:val="0"/>
              <w:color w:val="auto"/>
              <w:kern w:val="0"/>
              <w:sz w:val="24"/>
              <w:szCs w:val="24"/>
              <w:highlight w:val="none"/>
              <w:lang w:eastAsia="zh-CN"/>
            </w:rPr>
            <w:t>委托书</w:t>
          </w:r>
        </w:p>
        <w:p>
          <w:pPr>
            <w:keepNext w:val="0"/>
            <w:keepLines w:val="0"/>
            <w:pageBreakBefore w:val="0"/>
            <w:widowControl/>
            <w:kinsoku/>
            <w:wordWrap/>
            <w:overflowPunct/>
            <w:topLinePunct w:val="0"/>
            <w:autoSpaceDE w:val="0"/>
            <w:autoSpaceDN w:val="0"/>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color w:val="auto"/>
              <w:kern w:val="0"/>
              <w:sz w:val="24"/>
              <w:szCs w:val="24"/>
              <w:highlight w:val="none"/>
              <w:lang w:val="en-US" w:eastAsia="zh-CN"/>
            </w:rPr>
          </w:pPr>
          <w:r>
            <w:rPr>
              <w:rFonts w:hint="eastAsia" w:cs="Times New Roman"/>
              <w:color w:val="auto"/>
              <w:kern w:val="0"/>
              <w:sz w:val="24"/>
              <w:szCs w:val="24"/>
              <w:highlight w:val="none"/>
              <w:lang w:eastAsia="zh-CN"/>
            </w:rPr>
            <w:t>附件二</w:t>
          </w:r>
          <w:r>
            <w:rPr>
              <w:rFonts w:hint="eastAsia" w:cs="Times New Roman"/>
              <w:color w:val="auto"/>
              <w:kern w:val="0"/>
              <w:sz w:val="24"/>
              <w:szCs w:val="24"/>
              <w:highlight w:val="none"/>
              <w:lang w:val="en-US" w:eastAsia="zh-CN"/>
            </w:rPr>
            <w:t xml:space="preserve">    发改委备案</w:t>
          </w:r>
        </w:p>
        <w:p>
          <w:pPr>
            <w:keepNext w:val="0"/>
            <w:keepLines w:val="0"/>
            <w:pageBreakBefore w:val="0"/>
            <w:widowControl/>
            <w:kinsoku/>
            <w:wordWrap/>
            <w:overflowPunct/>
            <w:topLinePunct w:val="0"/>
            <w:autoSpaceDE w:val="0"/>
            <w:autoSpaceDN w:val="0"/>
            <w:bidi w:val="0"/>
            <w:adjustRightInd/>
            <w:snapToGrid/>
            <w:spacing w:line="360" w:lineRule="auto"/>
            <w:ind w:left="0" w:leftChars="0" w:right="0" w:rightChars="0" w:firstLine="0" w:firstLineChars="0"/>
            <w:jc w:val="left"/>
            <w:textAlignment w:val="auto"/>
            <w:outlineLvl w:val="9"/>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附件</w:t>
          </w:r>
          <w:r>
            <w:rPr>
              <w:rFonts w:hint="eastAsia" w:cs="Times New Roman"/>
              <w:color w:val="auto"/>
              <w:kern w:val="0"/>
              <w:sz w:val="24"/>
              <w:szCs w:val="24"/>
              <w:highlight w:val="none"/>
              <w:lang w:eastAsia="zh-CN"/>
            </w:rPr>
            <w:t>三</w:t>
          </w:r>
          <w:r>
            <w:rPr>
              <w:rFonts w:hint="default" w:ascii="Times New Roman" w:hAnsi="Times New Roman" w:cs="Times New Roman"/>
              <w:color w:val="auto"/>
              <w:kern w:val="0"/>
              <w:sz w:val="24"/>
              <w:szCs w:val="24"/>
              <w:highlight w:val="none"/>
              <w:lang w:val="en-US" w:eastAsia="zh-CN"/>
            </w:rPr>
            <w:t xml:space="preserve">    </w:t>
          </w:r>
          <w:r>
            <w:rPr>
              <w:rFonts w:hint="default" w:ascii="Times New Roman" w:hAnsi="Times New Roman" w:cs="Times New Roman"/>
              <w:color w:val="auto"/>
              <w:kern w:val="0"/>
              <w:sz w:val="24"/>
              <w:szCs w:val="24"/>
              <w:highlight w:val="none"/>
              <w:lang w:eastAsia="zh-CN"/>
            </w:rPr>
            <w:t>清丰县农业农村局关于本项目不在畜禽禁养区的证明</w:t>
          </w:r>
        </w:p>
        <w:p>
          <w:pPr>
            <w:keepNext w:val="0"/>
            <w:keepLines w:val="0"/>
            <w:pageBreakBefore w:val="0"/>
            <w:widowControl/>
            <w:kinsoku/>
            <w:wordWrap/>
            <w:overflowPunct/>
            <w:topLinePunct w:val="0"/>
            <w:autoSpaceDE w:val="0"/>
            <w:autoSpaceDN w:val="0"/>
            <w:bidi w:val="0"/>
            <w:adjustRightInd/>
            <w:snapToGrid/>
            <w:spacing w:line="360" w:lineRule="auto"/>
            <w:ind w:left="0" w:leftChars="0" w:right="0" w:rightChars="0" w:firstLine="0" w:firstLineChars="0"/>
            <w:jc w:val="left"/>
            <w:textAlignment w:val="auto"/>
            <w:outlineLvl w:val="9"/>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附件</w:t>
          </w:r>
          <w:r>
            <w:rPr>
              <w:rFonts w:hint="eastAsia" w:cs="Times New Roman"/>
              <w:color w:val="auto"/>
              <w:kern w:val="0"/>
              <w:sz w:val="24"/>
              <w:szCs w:val="24"/>
              <w:highlight w:val="none"/>
              <w:lang w:eastAsia="zh-CN"/>
            </w:rPr>
            <w:t>四</w:t>
          </w:r>
          <w:r>
            <w:rPr>
              <w:rFonts w:hint="default" w:ascii="Times New Roman" w:hAnsi="Times New Roman" w:cs="Times New Roman"/>
              <w:color w:val="auto"/>
              <w:kern w:val="0"/>
              <w:sz w:val="24"/>
              <w:szCs w:val="24"/>
              <w:highlight w:val="none"/>
              <w:lang w:val="en-US" w:eastAsia="zh-CN"/>
            </w:rPr>
            <w:t xml:space="preserve">    </w:t>
          </w:r>
          <w:r>
            <w:rPr>
              <w:rFonts w:hint="default" w:ascii="Times New Roman" w:hAnsi="Times New Roman" w:cs="Times New Roman"/>
              <w:color w:val="auto"/>
              <w:kern w:val="0"/>
              <w:sz w:val="24"/>
              <w:szCs w:val="24"/>
              <w:highlight w:val="none"/>
              <w:lang w:eastAsia="zh-CN"/>
            </w:rPr>
            <w:t>清丰县韩村镇人民政府</w:t>
          </w:r>
          <w:r>
            <w:rPr>
              <w:rFonts w:hint="default" w:ascii="Times New Roman" w:hAnsi="Times New Roman" w:cs="Times New Roman"/>
              <w:color w:val="auto"/>
              <w:kern w:val="0"/>
              <w:sz w:val="24"/>
              <w:szCs w:val="24"/>
              <w:highlight w:val="none"/>
            </w:rPr>
            <w:t>关于在卫生防护距离内不规划新建敏感点的</w:t>
          </w:r>
          <w:r>
            <w:rPr>
              <w:rFonts w:hint="default" w:ascii="Times New Roman" w:hAnsi="Times New Roman" w:cs="Times New Roman"/>
              <w:color w:val="auto"/>
              <w:kern w:val="0"/>
              <w:sz w:val="24"/>
              <w:szCs w:val="24"/>
              <w:highlight w:val="none"/>
              <w:lang w:eastAsia="zh-CN"/>
            </w:rPr>
            <w:t>证明</w:t>
          </w:r>
        </w:p>
        <w:p>
          <w:pPr>
            <w:keepNext w:val="0"/>
            <w:keepLines w:val="0"/>
            <w:pageBreakBefore w:val="0"/>
            <w:widowControl/>
            <w:kinsoku/>
            <w:wordWrap/>
            <w:overflowPunct/>
            <w:topLinePunct w:val="0"/>
            <w:autoSpaceDE w:val="0"/>
            <w:autoSpaceDN w:val="0"/>
            <w:bidi w:val="0"/>
            <w:adjustRightInd/>
            <w:snapToGrid/>
            <w:spacing w:line="360" w:lineRule="auto"/>
            <w:ind w:left="0" w:leftChars="0" w:right="0" w:rightChars="0" w:firstLine="0" w:firstLineChars="0"/>
            <w:jc w:val="left"/>
            <w:textAlignment w:val="auto"/>
            <w:outlineLvl w:val="9"/>
            <w:rPr>
              <w:rFonts w:hint="default" w:ascii="Times New Roman" w:hAnsi="Times New Roman"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rPr>
            <w:t>附件</w:t>
          </w:r>
          <w:r>
            <w:rPr>
              <w:rFonts w:hint="eastAsia" w:cs="Times New Roman"/>
              <w:color w:val="auto"/>
              <w:kern w:val="0"/>
              <w:sz w:val="24"/>
              <w:szCs w:val="24"/>
              <w:highlight w:val="none"/>
              <w:lang w:eastAsia="zh-CN"/>
            </w:rPr>
            <w:t>五</w:t>
          </w:r>
          <w:r>
            <w:rPr>
              <w:rFonts w:hint="default" w:ascii="Times New Roman" w:hAnsi="Times New Roman" w:cs="Times New Roman"/>
              <w:color w:val="auto"/>
              <w:kern w:val="0"/>
              <w:sz w:val="24"/>
              <w:szCs w:val="24"/>
              <w:highlight w:val="none"/>
              <w:lang w:val="en-US" w:eastAsia="zh-CN"/>
            </w:rPr>
            <w:t xml:space="preserve">    </w:t>
          </w:r>
          <w:r>
            <w:rPr>
              <w:rFonts w:hint="default" w:ascii="Times New Roman" w:hAnsi="Times New Roman" w:cs="Times New Roman"/>
              <w:color w:val="auto"/>
              <w:kern w:val="0"/>
              <w:sz w:val="24"/>
              <w:szCs w:val="24"/>
              <w:highlight w:val="none"/>
              <w:lang w:eastAsia="zh-CN"/>
            </w:rPr>
            <w:t>清丰县自然资源局用地选址情况的说明</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left"/>
            <w:textAlignment w:val="auto"/>
            <w:outlineLvl w:val="9"/>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rPr>
            <w:t>附件</w:t>
          </w:r>
          <w:r>
            <w:rPr>
              <w:rFonts w:hint="eastAsia" w:cs="Times New Roman"/>
              <w:color w:val="auto"/>
              <w:kern w:val="0"/>
              <w:sz w:val="24"/>
              <w:szCs w:val="24"/>
              <w:highlight w:val="none"/>
              <w:lang w:eastAsia="zh-CN"/>
            </w:rPr>
            <w:t>六</w:t>
          </w:r>
          <w:r>
            <w:rPr>
              <w:rFonts w:hint="default" w:ascii="Times New Roman" w:hAnsi="Times New Roman" w:cs="Times New Roman"/>
              <w:color w:val="auto"/>
              <w:kern w:val="0"/>
              <w:sz w:val="24"/>
              <w:szCs w:val="24"/>
              <w:highlight w:val="none"/>
              <w:lang w:val="en-US" w:eastAsia="zh-CN"/>
            </w:rPr>
            <w:t xml:space="preserve">    监测报告</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left"/>
            <w:textAlignment w:val="auto"/>
            <w:outlineLvl w:val="9"/>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附件</w:t>
          </w:r>
          <w:r>
            <w:rPr>
              <w:rFonts w:hint="eastAsia" w:cs="Times New Roman"/>
              <w:color w:val="auto"/>
              <w:kern w:val="0"/>
              <w:sz w:val="24"/>
              <w:szCs w:val="24"/>
              <w:highlight w:val="none"/>
              <w:lang w:val="en-US" w:eastAsia="zh-CN"/>
            </w:rPr>
            <w:t>七</w:t>
          </w:r>
          <w:r>
            <w:rPr>
              <w:rFonts w:hint="default" w:ascii="Times New Roman" w:hAnsi="Times New Roman" w:cs="Times New Roman"/>
              <w:color w:val="auto"/>
              <w:kern w:val="0"/>
              <w:sz w:val="24"/>
              <w:szCs w:val="24"/>
              <w:highlight w:val="none"/>
              <w:lang w:val="en-US" w:eastAsia="zh-CN"/>
            </w:rPr>
            <w:t xml:space="preserve">    沼液消纳协议</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left"/>
            <w:textAlignment w:val="auto"/>
            <w:outlineLvl w:val="9"/>
            <w:rPr>
              <w:rFonts w:hint="default" w:ascii="Times New Roman" w:hAnsi="Times New Roman"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附件八    专家意见</w:t>
          </w:r>
        </w:p>
        <w:bookmarkEnd w:id="32"/>
        <w:bookmarkEnd w:id="33"/>
        <w:bookmarkEnd w:id="34"/>
        <w:bookmarkEnd w:id="35"/>
        <w:bookmarkEnd w:id="36"/>
        <w:bookmarkEnd w:id="37"/>
        <w:bookmarkEnd w:id="38"/>
        <w:bookmarkEnd w:id="39"/>
        <w:bookmarkEnd w:id="40"/>
        <w:bookmarkEnd w:id="41"/>
        <w:bookmarkEnd w:id="42"/>
        <w:p>
          <w:pPr>
            <w:ind w:firstLine="0" w:firstLineChars="0"/>
            <w:rPr>
              <w:rFonts w:hint="default" w:ascii="Times New Roman" w:hAnsi="Times New Roman" w:cs="Times New Roman"/>
              <w:color w:val="auto"/>
            </w:rPr>
            <w:sectPr>
              <w:headerReference r:id="rId3" w:type="default"/>
              <w:footerReference r:id="rId4" w:type="default"/>
              <w:pgSz w:w="11906" w:h="16838"/>
              <w:pgMar w:top="1587" w:right="1587" w:bottom="1587" w:left="1587" w:header="851" w:footer="992" w:gutter="0"/>
              <w:pgBorders>
                <w:top w:val="none" w:sz="0" w:space="0"/>
                <w:left w:val="none" w:sz="0" w:space="0"/>
                <w:bottom w:val="none" w:sz="0" w:space="0"/>
                <w:right w:val="none" w:sz="0" w:space="0"/>
              </w:pgBorders>
              <w:pgNumType w:fmt="upperRoman" w:start="1"/>
              <w:cols w:space="720" w:num="1"/>
              <w:docGrid w:linePitch="312" w:charSpace="0"/>
            </w:sectPr>
          </w:pPr>
        </w:p>
      </w:sdtContent>
    </w:sdt>
    <w:p>
      <w:pPr>
        <w:pStyle w:val="3"/>
        <w:spacing w:line="360" w:lineRule="auto"/>
        <w:ind w:firstLine="0" w:firstLineChars="0"/>
        <w:rPr>
          <w:rFonts w:hint="default" w:ascii="Times New Roman" w:hAnsi="Times New Roman" w:cs="Times New Roman"/>
          <w:color w:val="auto"/>
        </w:rPr>
      </w:pPr>
      <w:bookmarkStart w:id="43" w:name="_Toc31578"/>
      <w:bookmarkStart w:id="44" w:name="_Toc10132"/>
      <w:r>
        <w:rPr>
          <w:rFonts w:hint="default" w:ascii="Times New Roman" w:hAnsi="Times New Roman" w:cs="Times New Roman"/>
          <w:color w:val="auto"/>
        </w:rPr>
        <w:t xml:space="preserve">第一章   </w:t>
      </w:r>
      <w:bookmarkEnd w:id="0"/>
      <w:bookmarkEnd w:id="1"/>
      <w:bookmarkEnd w:id="2"/>
      <w:bookmarkEnd w:id="3"/>
      <w:bookmarkEnd w:id="4"/>
      <w:bookmarkEnd w:id="5"/>
      <w:bookmarkEnd w:id="6"/>
      <w:r>
        <w:rPr>
          <w:rFonts w:hint="default" w:ascii="Times New Roman" w:hAnsi="Times New Roman" w:cs="Times New Roman"/>
          <w:color w:val="auto"/>
        </w:rPr>
        <w:t>概  述</w:t>
      </w:r>
      <w:bookmarkEnd w:id="7"/>
      <w:bookmarkEnd w:id="8"/>
      <w:bookmarkEnd w:id="9"/>
      <w:bookmarkEnd w:id="43"/>
      <w:bookmarkEnd w:id="44"/>
    </w:p>
    <w:p>
      <w:pPr>
        <w:pStyle w:val="30"/>
        <w:rPr>
          <w:rFonts w:hint="default" w:ascii="Times New Roman" w:hAnsi="Times New Roman" w:cs="Times New Roman"/>
          <w:color w:val="auto"/>
        </w:rPr>
      </w:pPr>
      <w:bookmarkStart w:id="45" w:name="_Toc366760141"/>
      <w:bookmarkStart w:id="46" w:name="_Toc295120998"/>
      <w:bookmarkStart w:id="47" w:name="_Toc269468333"/>
      <w:bookmarkStart w:id="48" w:name="_Toc189424846"/>
      <w:bookmarkStart w:id="49" w:name="_Toc329183025"/>
      <w:bookmarkStart w:id="50" w:name="_Toc269574512"/>
      <w:bookmarkStart w:id="51" w:name="_Toc5699"/>
      <w:bookmarkStart w:id="52" w:name="_Toc16378"/>
      <w:r>
        <w:rPr>
          <w:rFonts w:hint="default" w:ascii="Times New Roman" w:hAnsi="Times New Roman" w:cs="Times New Roman"/>
          <w:color w:val="auto"/>
        </w:rPr>
        <w:t xml:space="preserve">1.1 </w:t>
      </w:r>
      <w:bookmarkStart w:id="53" w:name="_Toc477160778"/>
      <w:bookmarkStart w:id="54" w:name="_Toc485578872"/>
      <w:bookmarkStart w:id="55" w:name="_Toc477187193"/>
      <w:bookmarkStart w:id="56" w:name="_Toc476921773"/>
      <w:r>
        <w:rPr>
          <w:rFonts w:hint="default" w:ascii="Times New Roman" w:hAnsi="Times New Roman" w:cs="Times New Roman"/>
          <w:color w:val="auto"/>
        </w:rPr>
        <w:t>项目</w:t>
      </w:r>
      <w:bookmarkEnd w:id="45"/>
      <w:bookmarkEnd w:id="46"/>
      <w:bookmarkEnd w:id="47"/>
      <w:bookmarkEnd w:id="48"/>
      <w:bookmarkEnd w:id="49"/>
      <w:bookmarkEnd w:id="50"/>
      <w:bookmarkEnd w:id="53"/>
      <w:bookmarkEnd w:id="54"/>
      <w:bookmarkEnd w:id="55"/>
      <w:bookmarkEnd w:id="56"/>
      <w:r>
        <w:rPr>
          <w:rFonts w:hint="default" w:ascii="Times New Roman" w:hAnsi="Times New Roman" w:cs="Times New Roman"/>
          <w:color w:val="auto"/>
        </w:rPr>
        <w:t>由来</w:t>
      </w:r>
      <w:bookmarkEnd w:id="51"/>
      <w:bookmarkEnd w:id="52"/>
    </w:p>
    <w:p>
      <w:pPr>
        <w:ind w:firstLine="480"/>
        <w:jc w:val="left"/>
        <w:rPr>
          <w:rFonts w:hint="default" w:ascii="Times New Roman" w:hAnsi="Times New Roman" w:cs="Times New Roman"/>
          <w:color w:val="auto"/>
        </w:rPr>
      </w:pPr>
      <w:r>
        <w:rPr>
          <w:rFonts w:hint="default" w:ascii="Times New Roman" w:hAnsi="Times New Roman" w:cs="Times New Roman"/>
          <w:color w:val="auto"/>
        </w:rPr>
        <w:t>畜牧业是农业的重要组成部分，其发展水平是一个国家农业发达程度的重要标志。同时，畜牧业是人类的动物性食品的主要来源，一个工业国家的人均畜产品量也是反映国家发达程度和衡量人民生活水平的主要标志之一。</w:t>
      </w:r>
    </w:p>
    <w:p>
      <w:pPr>
        <w:ind w:firstLine="480"/>
        <w:jc w:val="left"/>
        <w:rPr>
          <w:rFonts w:hint="default" w:ascii="Times New Roman" w:hAnsi="Times New Roman" w:cs="Times New Roman"/>
          <w:color w:val="auto"/>
        </w:rPr>
      </w:pPr>
      <w:r>
        <w:rPr>
          <w:rFonts w:hint="default" w:ascii="Times New Roman" w:hAnsi="Times New Roman" w:cs="Times New Roman"/>
          <w:color w:val="auto"/>
        </w:rPr>
        <w:t>牧原食品股份有限公司是集约化养猪规模居全国前列的农业产业化国家重点龙头企业，始建于1992年，注册资本2.42亿元，拥有职工3万余人。主要产品为仔猪、种猪和商品猪。经过二十多年的发展和积累，本公司形成了以“自育、自繁、自养大规模一体”为特色的生猪养殖模式，形成了集饲料加工、生猪育种、种猪扩繁、商品猪饲养为一体的完整生猪产业链。</w:t>
      </w:r>
    </w:p>
    <w:p>
      <w:pPr>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default" w:ascii="Times New Roman" w:hAnsi="Times New Roman" w:cs="Times New Roman"/>
          <w:color w:val="auto"/>
        </w:rPr>
      </w:pPr>
      <w:r>
        <w:rPr>
          <w:rFonts w:hint="default" w:ascii="Times New Roman" w:hAnsi="Times New Roman" w:cs="Times New Roman"/>
          <w:color w:val="auto"/>
        </w:rPr>
        <w:t>牧原食品股份有限公司于2010年10月8日获得河南省人民政府于颁发的商外资豫府资字【2010】013号中华人民共和国外商投资企业批准证书（商外资豫府资字（2010）013号），公司变更为中外合资企业。根据《外商投资产业指导目录》（2015年修订），本项目不属于限制类和禁止产业类型，为允许类，符合国家产业政策。</w:t>
      </w:r>
      <w:r>
        <w:rPr>
          <w:rFonts w:hint="eastAsia" w:cs="Times New Roman"/>
          <w:szCs w:val="24"/>
          <w:lang w:eastAsia="zh-CN"/>
        </w:rPr>
        <w:t>清丰</w:t>
      </w:r>
      <w:r>
        <w:rPr>
          <w:rFonts w:hint="default" w:ascii="Times New Roman" w:hAnsi="Times New Roman" w:eastAsia="宋体" w:cs="Times New Roman"/>
          <w:szCs w:val="24"/>
        </w:rPr>
        <w:t>县发展和改革委员会于201</w:t>
      </w:r>
      <w:r>
        <w:rPr>
          <w:rFonts w:hint="eastAsia" w:cs="Times New Roman"/>
          <w:szCs w:val="24"/>
          <w:lang w:val="en-US" w:eastAsia="zh-CN"/>
        </w:rPr>
        <w:t>9</w:t>
      </w:r>
      <w:r>
        <w:rPr>
          <w:rFonts w:hint="default" w:ascii="Times New Roman" w:hAnsi="Times New Roman" w:eastAsia="宋体" w:cs="Times New Roman"/>
          <w:szCs w:val="24"/>
        </w:rPr>
        <w:t>年</w:t>
      </w:r>
      <w:r>
        <w:rPr>
          <w:rFonts w:hint="eastAsia" w:cs="Times New Roman"/>
          <w:szCs w:val="24"/>
          <w:lang w:val="en-US" w:eastAsia="zh-CN"/>
        </w:rPr>
        <w:t>12</w:t>
      </w:r>
      <w:r>
        <w:rPr>
          <w:rFonts w:hint="default" w:ascii="Times New Roman" w:hAnsi="Times New Roman" w:eastAsia="宋体" w:cs="Times New Roman"/>
          <w:szCs w:val="24"/>
        </w:rPr>
        <w:t>月</w:t>
      </w:r>
      <w:r>
        <w:rPr>
          <w:rFonts w:hint="eastAsia" w:cs="Times New Roman"/>
          <w:szCs w:val="24"/>
          <w:lang w:val="en-US" w:eastAsia="zh-CN"/>
        </w:rPr>
        <w:t>11</w:t>
      </w:r>
      <w:r>
        <w:rPr>
          <w:rFonts w:hint="default" w:ascii="Times New Roman" w:hAnsi="Times New Roman" w:eastAsia="宋体" w:cs="Times New Roman"/>
          <w:szCs w:val="24"/>
        </w:rPr>
        <w:t>日准予本项目备案，项目代码为</w:t>
      </w:r>
      <w:r>
        <w:rPr>
          <w:rFonts w:hint="eastAsia" w:cs="Times New Roman"/>
          <w:szCs w:val="24"/>
          <w:lang w:val="en-US" w:eastAsia="zh-CN"/>
        </w:rPr>
        <w:t>2019-410922-03-03-069490</w:t>
      </w:r>
      <w:r>
        <w:rPr>
          <w:rFonts w:hint="default" w:ascii="Times New Roman" w:hAnsi="Times New Roman" w:eastAsia="宋体" w:cs="Times New Roman"/>
          <w:szCs w:val="24"/>
        </w:rPr>
        <w:t>，本项目的建设符合当前国家产业政策要求。</w:t>
      </w:r>
    </w:p>
    <w:p>
      <w:pPr>
        <w:ind w:firstLine="480"/>
        <w:jc w:val="left"/>
        <w:rPr>
          <w:rFonts w:hint="default" w:ascii="Times New Roman" w:hAnsi="Times New Roman" w:cs="Times New Roman"/>
          <w:color w:val="auto"/>
        </w:rPr>
      </w:pPr>
      <w:r>
        <w:rPr>
          <w:rFonts w:hint="default" w:ascii="Times New Roman" w:hAnsi="Times New Roman" w:cs="Times New Roman"/>
          <w:color w:val="auto"/>
        </w:rPr>
        <w:t>为了促进农业产业结构调整和促进养殖业的发展，推动养殖专业化进程，推动农业增效、农民增收，牧原食品股份有限公司拟投资9012.19万元，在濮阳市清丰县韩村镇杨韩村北征地167亩，建设牧原食品股份有限公司清丰一场生猪养殖项目，设计规模为年存栏母猪7500头。</w:t>
      </w:r>
    </w:p>
    <w:p>
      <w:pPr>
        <w:ind w:firstLine="480"/>
        <w:jc w:val="left"/>
        <w:rPr>
          <w:rFonts w:hint="default" w:ascii="Times New Roman" w:hAnsi="Times New Roman" w:cs="Times New Roman"/>
          <w:color w:val="auto"/>
        </w:rPr>
      </w:pPr>
      <w:r>
        <w:rPr>
          <w:rFonts w:hint="default" w:ascii="Times New Roman" w:hAnsi="Times New Roman" w:cs="Times New Roman"/>
          <w:color w:val="auto"/>
        </w:rPr>
        <w:t>对照《建设项目环境影响评价分类管理名录》（环境保护部令第44号）及《关于修改&lt;建设项目环境影响评价分类管理名录&gt;部分内</w:t>
      </w:r>
      <w:bookmarkStart w:id="826" w:name="_GoBack"/>
      <w:bookmarkEnd w:id="826"/>
      <w:r>
        <w:rPr>
          <w:rFonts w:hint="default" w:ascii="Times New Roman" w:hAnsi="Times New Roman" w:cs="Times New Roman"/>
          <w:color w:val="auto"/>
        </w:rPr>
        <w:t>容的决定》（生态环境部令 第1号）的相关要求），该项目属“一、畜牧业1、畜禽养殖场、养殖小区”中“年出栏生猪5000头及以上”，环评类别为报告书。受牧原食品股份有限公司的委托，河南佳昱环境科技有限公司承担该项目的环境影响报告书编制工作（委托书见附件一）。</w:t>
      </w:r>
    </w:p>
    <w:p>
      <w:pPr>
        <w:ind w:firstLine="480"/>
        <w:jc w:val="left"/>
        <w:rPr>
          <w:rFonts w:hint="default" w:ascii="Times New Roman" w:hAnsi="Times New Roman" w:cs="Times New Roman"/>
          <w:color w:val="auto"/>
        </w:rPr>
      </w:pPr>
      <w:r>
        <w:rPr>
          <w:rFonts w:hint="default" w:ascii="Times New Roman" w:hAnsi="Times New Roman" w:cs="Times New Roman"/>
          <w:color w:val="auto"/>
        </w:rPr>
        <w:t>我司接受委托后，收集有关的资料，进行现场踏勘调查，了解厂址及周边环境概况，并组织对现场各环境要素进行检测，分析和实测工程相关污染因素，经预测和评价，本着科学、规范、客观、公正的原则，编制完成了该项目的环境影响报告书。</w:t>
      </w:r>
    </w:p>
    <w:p>
      <w:pPr>
        <w:pStyle w:val="30"/>
        <w:rPr>
          <w:rFonts w:hint="default" w:ascii="Times New Roman" w:hAnsi="Times New Roman" w:cs="Times New Roman"/>
          <w:color w:val="auto"/>
        </w:rPr>
      </w:pPr>
      <w:bookmarkStart w:id="57" w:name="_Toc4720"/>
      <w:bookmarkStart w:id="58" w:name="_Toc29542"/>
      <w:bookmarkStart w:id="59" w:name="_Toc16778376"/>
      <w:bookmarkStart w:id="60" w:name="_Toc269468335"/>
      <w:bookmarkStart w:id="61" w:name="_Toc40667001"/>
      <w:bookmarkStart w:id="62" w:name="_Toc16431525"/>
      <w:bookmarkStart w:id="63" w:name="_Toc295121000"/>
      <w:bookmarkStart w:id="64" w:name="_Toc52414740"/>
      <w:bookmarkStart w:id="65" w:name="_Toc85000135"/>
      <w:bookmarkStart w:id="66" w:name="_Toc189424851"/>
      <w:bookmarkStart w:id="67" w:name="_Toc366760143"/>
      <w:bookmarkStart w:id="68" w:name="_Toc87953648"/>
      <w:bookmarkStart w:id="69" w:name="_Toc269574514"/>
      <w:bookmarkStart w:id="70" w:name="_Toc329183027"/>
      <w:r>
        <w:rPr>
          <w:rFonts w:hint="default" w:ascii="Times New Roman" w:hAnsi="Times New Roman" w:cs="Times New Roman"/>
          <w:color w:val="auto"/>
        </w:rPr>
        <w:t>1.2环境影响评价的工作过程</w:t>
      </w:r>
      <w:bookmarkEnd w:id="57"/>
      <w:bookmarkEnd w:id="58"/>
    </w:p>
    <w:p>
      <w:pPr>
        <w:ind w:firstLine="480"/>
        <w:rPr>
          <w:rFonts w:hint="default" w:ascii="Times New Roman" w:hAnsi="Times New Roman" w:cs="Times New Roman"/>
          <w:color w:val="auto"/>
        </w:rPr>
      </w:pPr>
      <w:r>
        <w:rPr>
          <w:rFonts w:hint="default" w:ascii="Times New Roman" w:hAnsi="Times New Roman" w:cs="Times New Roman"/>
          <w:color w:val="auto"/>
        </w:rPr>
        <w:t>（1）2019年11月1日，牧原食品股份有限公司委托我公司开展环境影响评价工作；</w:t>
      </w:r>
    </w:p>
    <w:p>
      <w:pPr>
        <w:ind w:firstLine="480"/>
        <w:rPr>
          <w:rFonts w:hint="default" w:ascii="Times New Roman" w:hAnsi="Times New Roman" w:cs="Times New Roman"/>
          <w:color w:val="auto"/>
        </w:rPr>
      </w:pPr>
      <w:r>
        <w:rPr>
          <w:rFonts w:hint="default" w:ascii="Times New Roman" w:hAnsi="Times New Roman" w:cs="Times New Roman"/>
          <w:color w:val="auto"/>
        </w:rPr>
        <w:t>（2）本次环境质量现状调查利用河南</w:t>
      </w:r>
      <w:r>
        <w:rPr>
          <w:rFonts w:hint="default" w:ascii="Times New Roman" w:hAnsi="Times New Roman" w:cs="Times New Roman"/>
          <w:color w:val="auto"/>
          <w:lang w:eastAsia="zh-CN"/>
        </w:rPr>
        <w:t>中弘检测中心</w:t>
      </w:r>
      <w:r>
        <w:rPr>
          <w:rFonts w:hint="default" w:ascii="Times New Roman" w:hAnsi="Times New Roman" w:cs="Times New Roman"/>
          <w:color w:val="auto"/>
        </w:rPr>
        <w:t>于2019年11月7日～2019年11月22日对区域环境空气、地表水、地下水、噪声和土壤的现状监测数据，以对区域环境质量做出分析和评价；</w:t>
      </w:r>
    </w:p>
    <w:p>
      <w:pPr>
        <w:ind w:firstLine="480"/>
        <w:rPr>
          <w:rFonts w:hint="default" w:ascii="Times New Roman" w:hAnsi="Times New Roman" w:cs="Times New Roman"/>
          <w:color w:val="auto"/>
        </w:rPr>
      </w:pPr>
      <w:r>
        <w:rPr>
          <w:rFonts w:hint="default" w:ascii="Times New Roman" w:hAnsi="Times New Roman" w:cs="Times New Roman"/>
          <w:color w:val="auto"/>
        </w:rPr>
        <w:t>（3））牧原食品股份有限公司按照《环境影响评价公众参与办法》（《环境影响评价公众参与办法》（生态环境部令第4号））的要求，于2019年11月7日在环评网进行了第一次网络公示</w:t>
      </w:r>
      <w:r>
        <w:rPr>
          <w:rFonts w:hint="default" w:ascii="Times New Roman" w:hAnsi="Times New Roman" w:cs="Times New Roman"/>
          <w:color w:val="auto"/>
          <w:lang w:eastAsia="zh-CN"/>
        </w:rPr>
        <w:t>、</w:t>
      </w:r>
      <w:r>
        <w:rPr>
          <w:rFonts w:hint="default" w:ascii="Times New Roman" w:hAnsi="Times New Roman" w:cs="Times New Roman"/>
          <w:b w:val="0"/>
          <w:bCs w:val="0"/>
          <w:color w:val="auto"/>
          <w:highlight w:val="none"/>
          <w:u w:val="none"/>
        </w:rPr>
        <w:t>项目于201</w:t>
      </w:r>
      <w:r>
        <w:rPr>
          <w:rFonts w:hint="default" w:ascii="Times New Roman" w:hAnsi="Times New Roman" w:cs="Times New Roman"/>
          <w:b w:val="0"/>
          <w:bCs w:val="0"/>
          <w:color w:val="auto"/>
          <w:highlight w:val="none"/>
          <w:u w:val="none"/>
          <w:lang w:val="en-US" w:eastAsia="zh-CN"/>
        </w:rPr>
        <w:t>9</w:t>
      </w:r>
      <w:r>
        <w:rPr>
          <w:rFonts w:hint="default" w:ascii="Times New Roman" w:hAnsi="Times New Roman" w:cs="Times New Roman"/>
          <w:b w:val="0"/>
          <w:bCs w:val="0"/>
          <w:color w:val="auto"/>
          <w:highlight w:val="none"/>
          <w:u w:val="none"/>
        </w:rPr>
        <w:t>年</w:t>
      </w:r>
      <w:r>
        <w:rPr>
          <w:rFonts w:hint="default" w:ascii="Times New Roman" w:hAnsi="Times New Roman" w:cs="Times New Roman"/>
          <w:b w:val="0"/>
          <w:bCs w:val="0"/>
          <w:color w:val="auto"/>
          <w:highlight w:val="none"/>
          <w:u w:val="none"/>
          <w:lang w:val="en-US" w:eastAsia="zh-CN"/>
        </w:rPr>
        <w:t>11</w:t>
      </w:r>
      <w:r>
        <w:rPr>
          <w:rFonts w:hint="default" w:ascii="Times New Roman" w:hAnsi="Times New Roman" w:cs="Times New Roman"/>
          <w:b w:val="0"/>
          <w:bCs w:val="0"/>
          <w:color w:val="auto"/>
          <w:highlight w:val="none"/>
          <w:u w:val="none"/>
        </w:rPr>
        <w:t>月</w:t>
      </w:r>
      <w:r>
        <w:rPr>
          <w:rFonts w:hint="default" w:ascii="Times New Roman" w:hAnsi="Times New Roman" w:cs="Times New Roman"/>
          <w:b w:val="0"/>
          <w:bCs w:val="0"/>
          <w:color w:val="auto"/>
          <w:highlight w:val="none"/>
          <w:u w:val="none"/>
          <w:lang w:val="en-US" w:eastAsia="zh-CN"/>
        </w:rPr>
        <w:t>17</w:t>
      </w:r>
      <w:r>
        <w:rPr>
          <w:rFonts w:hint="default" w:ascii="Times New Roman" w:hAnsi="Times New Roman" w:cs="Times New Roman"/>
          <w:b w:val="0"/>
          <w:bCs w:val="0"/>
          <w:color w:val="auto"/>
          <w:highlight w:val="none"/>
          <w:u w:val="none"/>
        </w:rPr>
        <w:t>日～201</w:t>
      </w:r>
      <w:r>
        <w:rPr>
          <w:rFonts w:hint="default" w:ascii="Times New Roman" w:hAnsi="Times New Roman" w:cs="Times New Roman"/>
          <w:b w:val="0"/>
          <w:bCs w:val="0"/>
          <w:color w:val="auto"/>
          <w:highlight w:val="none"/>
          <w:u w:val="none"/>
          <w:lang w:val="en-US" w:eastAsia="zh-CN"/>
        </w:rPr>
        <w:t>9</w:t>
      </w:r>
      <w:r>
        <w:rPr>
          <w:rFonts w:hint="default" w:ascii="Times New Roman" w:hAnsi="Times New Roman" w:cs="Times New Roman"/>
          <w:b w:val="0"/>
          <w:bCs w:val="0"/>
          <w:color w:val="auto"/>
          <w:highlight w:val="none"/>
          <w:u w:val="none"/>
        </w:rPr>
        <w:t>年</w:t>
      </w:r>
      <w:r>
        <w:rPr>
          <w:rFonts w:hint="default" w:ascii="Times New Roman" w:hAnsi="Times New Roman" w:cs="Times New Roman"/>
          <w:b w:val="0"/>
          <w:bCs w:val="0"/>
          <w:color w:val="auto"/>
          <w:highlight w:val="none"/>
          <w:u w:val="none"/>
          <w:lang w:val="en-US" w:eastAsia="zh-CN"/>
        </w:rPr>
        <w:t>11</w:t>
      </w:r>
      <w:r>
        <w:rPr>
          <w:rFonts w:hint="default" w:ascii="Times New Roman" w:hAnsi="Times New Roman" w:cs="Times New Roman"/>
          <w:b w:val="0"/>
          <w:bCs w:val="0"/>
          <w:color w:val="auto"/>
          <w:highlight w:val="none"/>
          <w:u w:val="none"/>
        </w:rPr>
        <w:t>月</w:t>
      </w:r>
      <w:r>
        <w:rPr>
          <w:rFonts w:hint="default" w:ascii="Times New Roman" w:hAnsi="Times New Roman" w:cs="Times New Roman"/>
          <w:b w:val="0"/>
          <w:bCs w:val="0"/>
          <w:color w:val="auto"/>
          <w:highlight w:val="none"/>
          <w:u w:val="none"/>
          <w:lang w:val="en-US" w:eastAsia="zh-CN"/>
        </w:rPr>
        <w:t>29</w:t>
      </w:r>
      <w:r>
        <w:rPr>
          <w:rFonts w:hint="default" w:ascii="Times New Roman" w:hAnsi="Times New Roman" w:cs="Times New Roman"/>
          <w:b w:val="0"/>
          <w:bCs w:val="0"/>
          <w:color w:val="auto"/>
          <w:highlight w:val="none"/>
          <w:u w:val="none"/>
        </w:rPr>
        <w:t>日在</w:t>
      </w:r>
      <w:r>
        <w:rPr>
          <w:rFonts w:hint="default" w:ascii="Times New Roman" w:hAnsi="Times New Roman" w:cs="Times New Roman"/>
          <w:b w:val="0"/>
          <w:bCs w:val="0"/>
          <w:color w:val="auto"/>
          <w:highlight w:val="none"/>
          <w:u w:val="none"/>
          <w:lang w:val="en-US" w:eastAsia="zh-CN"/>
        </w:rPr>
        <w:t>环评网</w:t>
      </w:r>
      <w:r>
        <w:rPr>
          <w:rFonts w:hint="default" w:ascii="Times New Roman" w:hAnsi="Times New Roman" w:cs="Times New Roman"/>
          <w:b w:val="0"/>
          <w:bCs w:val="0"/>
          <w:color w:val="auto"/>
          <w:highlight w:val="none"/>
          <w:u w:val="none"/>
        </w:rPr>
        <w:t>进行了二次公示</w:t>
      </w:r>
      <w:r>
        <w:rPr>
          <w:rFonts w:hint="default" w:ascii="Times New Roman" w:hAnsi="Times New Roman" w:cs="Times New Roman"/>
          <w:b w:val="0"/>
          <w:bCs w:val="0"/>
          <w:color w:val="auto"/>
          <w:highlight w:val="none"/>
          <w:u w:val="none"/>
          <w:lang w:val="en-US" w:eastAsia="zh-CN"/>
        </w:rPr>
        <w:t>，并于2019年11月21日和11月23日在油田日报进行了两次报纸公示</w:t>
      </w:r>
      <w:r>
        <w:rPr>
          <w:rFonts w:hint="default" w:ascii="Times New Roman" w:hAnsi="Times New Roman" w:cs="Times New Roman"/>
          <w:color w:val="auto"/>
        </w:rPr>
        <w:t>；</w:t>
      </w:r>
    </w:p>
    <w:p>
      <w:pPr>
        <w:ind w:firstLine="480"/>
        <w:rPr>
          <w:rFonts w:hint="default" w:ascii="Times New Roman" w:hAnsi="Times New Roman" w:cs="Times New Roman"/>
          <w:color w:val="auto"/>
        </w:rPr>
      </w:pPr>
      <w:r>
        <w:rPr>
          <w:rFonts w:hint="default" w:ascii="Times New Roman" w:hAnsi="Times New Roman" w:cs="Times New Roman"/>
          <w:color w:val="auto"/>
        </w:rPr>
        <w:t>（4）20</w:t>
      </w:r>
      <w:r>
        <w:rPr>
          <w:rFonts w:hint="default" w:ascii="Times New Roman" w:hAnsi="Times New Roman" w:cs="Times New Roman"/>
          <w:color w:val="auto"/>
          <w:lang w:val="en-US" w:eastAsia="zh-CN"/>
        </w:rPr>
        <w:t>20</w:t>
      </w:r>
      <w:r>
        <w:rPr>
          <w:rFonts w:hint="default" w:ascii="Times New Roman" w:hAnsi="Times New Roman" w:cs="Times New Roman"/>
          <w:color w:val="auto"/>
        </w:rPr>
        <w:t>年</w:t>
      </w:r>
      <w:r>
        <w:rPr>
          <w:rFonts w:hint="default" w:ascii="Times New Roman" w:hAnsi="Times New Roman" w:cs="Times New Roman"/>
          <w:color w:val="auto"/>
          <w:lang w:val="en-US" w:eastAsia="zh-CN"/>
        </w:rPr>
        <w:t>1</w:t>
      </w:r>
      <w:r>
        <w:rPr>
          <w:rFonts w:hint="default" w:ascii="Times New Roman" w:hAnsi="Times New Roman" w:cs="Times New Roman"/>
          <w:color w:val="auto"/>
        </w:rPr>
        <w:t>月，我公司完成了《牧原食品股份有限公司清丰一场生猪养殖项目环境影响报告书（</w:t>
      </w:r>
      <w:r>
        <w:rPr>
          <w:rFonts w:hint="default" w:ascii="Times New Roman" w:hAnsi="Times New Roman" w:cs="Times New Roman"/>
          <w:color w:val="auto"/>
          <w:lang w:eastAsia="zh-CN"/>
        </w:rPr>
        <w:t>报批</w:t>
      </w:r>
      <w:r>
        <w:rPr>
          <w:rFonts w:hint="default" w:ascii="Times New Roman" w:hAnsi="Times New Roman" w:cs="Times New Roman"/>
          <w:color w:val="auto"/>
        </w:rPr>
        <w:t>版）》，上报濮阳市</w:t>
      </w:r>
      <w:r>
        <w:rPr>
          <w:rFonts w:hint="default" w:ascii="Times New Roman" w:hAnsi="Times New Roman" w:cs="Times New Roman"/>
          <w:color w:val="auto"/>
          <w:lang w:eastAsia="zh-CN"/>
        </w:rPr>
        <w:t>生态环境</w:t>
      </w:r>
      <w:r>
        <w:rPr>
          <w:rFonts w:hint="default" w:ascii="Times New Roman" w:hAnsi="Times New Roman" w:cs="Times New Roman"/>
          <w:color w:val="auto"/>
        </w:rPr>
        <w:t>局；</w:t>
      </w:r>
    </w:p>
    <w:bookmarkEnd w:id="59"/>
    <w:bookmarkEnd w:id="60"/>
    <w:bookmarkEnd w:id="61"/>
    <w:bookmarkEnd w:id="62"/>
    <w:bookmarkEnd w:id="63"/>
    <w:bookmarkEnd w:id="64"/>
    <w:bookmarkEnd w:id="65"/>
    <w:bookmarkEnd w:id="66"/>
    <w:bookmarkEnd w:id="67"/>
    <w:bookmarkEnd w:id="68"/>
    <w:bookmarkEnd w:id="69"/>
    <w:bookmarkEnd w:id="70"/>
    <w:p>
      <w:pPr>
        <w:pStyle w:val="30"/>
        <w:rPr>
          <w:rFonts w:hint="default" w:ascii="Times New Roman" w:hAnsi="Times New Roman" w:cs="Times New Roman"/>
          <w:color w:val="auto"/>
        </w:rPr>
      </w:pPr>
      <w:bookmarkStart w:id="71" w:name="_Toc295121005"/>
      <w:bookmarkStart w:id="72" w:name="_Toc269574519"/>
      <w:bookmarkStart w:id="73" w:name="_Toc485578875"/>
      <w:bookmarkStart w:id="74" w:name="_Toc189424861"/>
      <w:bookmarkStart w:id="75" w:name="_Toc476921776"/>
      <w:bookmarkStart w:id="76" w:name="_Toc329183033"/>
      <w:bookmarkStart w:id="77" w:name="_Toc477187196"/>
      <w:bookmarkStart w:id="78" w:name="_Toc269468340"/>
      <w:bookmarkStart w:id="79" w:name="_Toc15995"/>
      <w:bookmarkStart w:id="80" w:name="_Toc21020"/>
      <w:bookmarkStart w:id="81" w:name="_Toc366760149"/>
      <w:bookmarkStart w:id="82" w:name="_Toc477160781"/>
      <w:bookmarkStart w:id="83" w:name="_Toc269574516"/>
      <w:bookmarkStart w:id="84" w:name="_Toc366760145"/>
      <w:bookmarkStart w:id="85" w:name="_Toc269468337"/>
      <w:bookmarkStart w:id="86" w:name="_Toc329183029"/>
      <w:bookmarkStart w:id="87" w:name="_Toc295121002"/>
      <w:bookmarkStart w:id="88" w:name="_Toc189424853"/>
      <w:r>
        <w:rPr>
          <w:rFonts w:hint="default" w:ascii="Times New Roman" w:hAnsi="Times New Roman" w:cs="Times New Roman"/>
          <w:color w:val="auto"/>
        </w:rPr>
        <w:t>1.3项目特点</w:t>
      </w:r>
      <w:bookmarkEnd w:id="71"/>
      <w:bookmarkEnd w:id="72"/>
      <w:bookmarkEnd w:id="73"/>
      <w:bookmarkEnd w:id="74"/>
      <w:bookmarkEnd w:id="75"/>
      <w:bookmarkEnd w:id="76"/>
      <w:bookmarkEnd w:id="77"/>
      <w:bookmarkEnd w:id="78"/>
      <w:bookmarkEnd w:id="79"/>
      <w:bookmarkEnd w:id="80"/>
      <w:bookmarkEnd w:id="81"/>
      <w:bookmarkEnd w:id="82"/>
    </w:p>
    <w:p>
      <w:pPr>
        <w:pStyle w:val="7"/>
        <w:numPr>
          <w:ilvl w:val="0"/>
          <w:numId w:val="0"/>
        </w:numPr>
        <w:ind w:firstLine="480"/>
        <w:rPr>
          <w:rFonts w:hint="default" w:ascii="Times New Roman" w:hAnsi="Times New Roman" w:cs="Times New Roman"/>
          <w:b/>
          <w:bCs/>
          <w:color w:val="auto"/>
          <w:spacing w:val="2"/>
          <w:sz w:val="24"/>
          <w:szCs w:val="24"/>
          <w:highlight w:val="yellow"/>
          <w:u w:val="single"/>
        </w:rPr>
      </w:pPr>
      <w:r>
        <w:rPr>
          <w:rFonts w:hint="default" w:ascii="Times New Roman" w:hAnsi="Times New Roman" w:cs="Times New Roman"/>
          <w:bCs/>
          <w:color w:val="auto"/>
          <w:spacing w:val="2"/>
          <w:sz w:val="24"/>
          <w:szCs w:val="24"/>
        </w:rPr>
        <w:t>（1）本项目属于新建项目，年存栏7500头母猪，项目场址位于清丰县韩村镇杨韩村北，根据清丰县自然资源局出具的证明，该项目用地为一般耕地，选址符合规划要求，未占用基本农田。</w:t>
      </w:r>
    </w:p>
    <w:p>
      <w:pPr>
        <w:pStyle w:val="7"/>
        <w:numPr>
          <w:ilvl w:val="0"/>
          <w:numId w:val="0"/>
        </w:numPr>
        <w:ind w:firstLine="480" w:firstLineChars="200"/>
        <w:rPr>
          <w:rFonts w:hint="default" w:ascii="Times New Roman" w:hAnsi="Times New Roman" w:cs="Times New Roman"/>
          <w:bCs/>
          <w:color w:val="auto"/>
          <w:spacing w:val="2"/>
          <w:sz w:val="24"/>
          <w:szCs w:val="24"/>
        </w:rPr>
      </w:pPr>
      <w:r>
        <w:rPr>
          <w:rFonts w:hint="default" w:ascii="Times New Roman" w:hAnsi="Times New Roman" w:cs="Times New Roman"/>
          <w:color w:val="auto"/>
          <w:sz w:val="24"/>
        </w:rPr>
        <w:t>（2）主要建设怀孕舍33栋、哺乳舍</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9栋、一体舍8栋，装猪台、办公楼、食堂及配套附属设施和治污区等。</w:t>
      </w:r>
    </w:p>
    <w:p>
      <w:pPr>
        <w:pStyle w:val="7"/>
        <w:numPr>
          <w:ilvl w:val="0"/>
          <w:numId w:val="0"/>
        </w:numPr>
        <w:ind w:firstLine="480" w:firstLineChars="200"/>
        <w:rPr>
          <w:rFonts w:hint="default" w:ascii="Times New Roman" w:hAnsi="Times New Roman" w:cs="Times New Roman"/>
          <w:bCs/>
          <w:color w:val="auto"/>
          <w:spacing w:val="2"/>
          <w:sz w:val="24"/>
          <w:szCs w:val="24"/>
        </w:rPr>
      </w:pPr>
      <w:r>
        <w:rPr>
          <w:rFonts w:hint="default" w:ascii="Times New Roman" w:hAnsi="Times New Roman" w:cs="Times New Roman"/>
          <w:color w:val="auto"/>
          <w:sz w:val="24"/>
        </w:rPr>
        <w:t xml:space="preserve">（3）本项目属于“第一类鼓励类 一农林业 </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畜禽标准化规模养殖技术开发与应用”，因此本项目的建设符合国家相关产业政策的要求。</w:t>
      </w:r>
    </w:p>
    <w:p>
      <w:pPr>
        <w:pStyle w:val="7"/>
        <w:numPr>
          <w:ilvl w:val="0"/>
          <w:numId w:val="0"/>
        </w:numPr>
        <w:ind w:firstLine="456" w:firstLineChars="200"/>
        <w:rPr>
          <w:rFonts w:hint="default" w:ascii="Times New Roman" w:hAnsi="Times New Roman" w:cs="Times New Roman"/>
          <w:bCs/>
          <w:color w:val="auto"/>
          <w:spacing w:val="-2"/>
          <w:sz w:val="24"/>
          <w:szCs w:val="24"/>
        </w:rPr>
      </w:pPr>
      <w:r>
        <w:rPr>
          <w:rFonts w:hint="default" w:ascii="Times New Roman" w:hAnsi="Times New Roman" w:cs="Times New Roman"/>
          <w:bCs/>
          <w:color w:val="auto"/>
          <w:spacing w:val="-6"/>
          <w:sz w:val="24"/>
          <w:szCs w:val="24"/>
        </w:rPr>
        <w:t>（4）本项目废气主要污染因子为</w:t>
      </w:r>
      <w:r>
        <w:rPr>
          <w:rFonts w:hint="default" w:ascii="Times New Roman" w:hAnsi="Times New Roman" w:cs="Times New Roman"/>
          <w:bCs/>
          <w:color w:val="auto"/>
          <w:spacing w:val="-2"/>
          <w:sz w:val="24"/>
          <w:szCs w:val="24"/>
        </w:rPr>
        <w:t>H</w:t>
      </w:r>
      <w:r>
        <w:rPr>
          <w:rFonts w:hint="default" w:ascii="Times New Roman" w:hAnsi="Times New Roman" w:cs="Times New Roman"/>
          <w:bCs/>
          <w:color w:val="auto"/>
          <w:spacing w:val="-2"/>
          <w:sz w:val="24"/>
          <w:szCs w:val="24"/>
          <w:vertAlign w:val="subscript"/>
        </w:rPr>
        <w:t>2</w:t>
      </w:r>
      <w:r>
        <w:rPr>
          <w:rFonts w:hint="default" w:ascii="Times New Roman" w:hAnsi="Times New Roman" w:cs="Times New Roman"/>
          <w:bCs/>
          <w:color w:val="auto"/>
          <w:spacing w:val="-2"/>
          <w:sz w:val="24"/>
          <w:szCs w:val="24"/>
        </w:rPr>
        <w:t>S、NH</w:t>
      </w:r>
      <w:r>
        <w:rPr>
          <w:rFonts w:hint="default" w:ascii="Times New Roman" w:hAnsi="Times New Roman" w:cs="Times New Roman"/>
          <w:bCs/>
          <w:color w:val="auto"/>
          <w:spacing w:val="-2"/>
          <w:sz w:val="24"/>
          <w:szCs w:val="24"/>
          <w:vertAlign w:val="subscript"/>
        </w:rPr>
        <w:t>3</w:t>
      </w:r>
      <w:r>
        <w:rPr>
          <w:rFonts w:hint="default" w:ascii="Times New Roman" w:hAnsi="Times New Roman" w:cs="Times New Roman"/>
          <w:bCs/>
          <w:color w:val="auto"/>
          <w:spacing w:val="-6"/>
          <w:sz w:val="24"/>
          <w:szCs w:val="24"/>
        </w:rPr>
        <w:t>。</w:t>
      </w:r>
    </w:p>
    <w:p>
      <w:pPr>
        <w:pStyle w:val="7"/>
        <w:numPr>
          <w:ilvl w:val="0"/>
          <w:numId w:val="0"/>
        </w:numPr>
        <w:ind w:firstLine="480" w:firstLineChars="200"/>
        <w:rPr>
          <w:rFonts w:hint="default" w:ascii="Times New Roman" w:hAnsi="Times New Roman" w:cs="Times New Roman"/>
          <w:b/>
          <w:bCs/>
          <w:color w:val="auto"/>
          <w:spacing w:val="-2"/>
          <w:sz w:val="24"/>
          <w:szCs w:val="24"/>
          <w:u w:val="single"/>
        </w:rPr>
      </w:pPr>
      <w:r>
        <w:rPr>
          <w:rFonts w:hint="default" w:ascii="Times New Roman" w:hAnsi="Times New Roman" w:cs="Times New Roman"/>
          <w:color w:val="auto"/>
          <w:sz w:val="24"/>
          <w:szCs w:val="24"/>
        </w:rPr>
        <w:t>（5）本项目废水主要为猪尿和猪舍冲洗废水，采用干清粪养殖工艺，废水经黑膜沼气池厌氧处理后进行还田利用，项目废水不外排。</w:t>
      </w:r>
    </w:p>
    <w:bookmarkEnd w:id="83"/>
    <w:bookmarkEnd w:id="84"/>
    <w:bookmarkEnd w:id="85"/>
    <w:bookmarkEnd w:id="86"/>
    <w:bookmarkEnd w:id="87"/>
    <w:bookmarkEnd w:id="88"/>
    <w:p>
      <w:pPr>
        <w:pStyle w:val="30"/>
        <w:rPr>
          <w:rFonts w:hint="default" w:ascii="Times New Roman" w:hAnsi="Times New Roman" w:cs="Times New Roman"/>
          <w:color w:val="auto"/>
        </w:rPr>
      </w:pPr>
      <w:bookmarkStart w:id="89" w:name="_Toc477187198"/>
      <w:bookmarkStart w:id="90" w:name="_Toc709"/>
      <w:bookmarkStart w:id="91" w:name="_Toc485578877"/>
      <w:bookmarkStart w:id="92" w:name="_Toc16015"/>
      <w:bookmarkStart w:id="93" w:name="_Toc476921778"/>
      <w:bookmarkStart w:id="94" w:name="_Toc477160783"/>
      <w:bookmarkStart w:id="95" w:name="_Toc53182363"/>
      <w:bookmarkStart w:id="96" w:name="_Toc77584923"/>
      <w:bookmarkStart w:id="97" w:name="_Toc42269133"/>
      <w:r>
        <w:rPr>
          <w:rFonts w:hint="default" w:ascii="Times New Roman" w:hAnsi="Times New Roman" w:cs="Times New Roman"/>
          <w:color w:val="auto"/>
        </w:rPr>
        <w:t>1.4分析判定情况</w:t>
      </w:r>
      <w:bookmarkEnd w:id="89"/>
      <w:bookmarkEnd w:id="90"/>
      <w:bookmarkEnd w:id="91"/>
      <w:bookmarkEnd w:id="92"/>
      <w:bookmarkEnd w:id="93"/>
      <w:bookmarkEnd w:id="94"/>
    </w:p>
    <w:p>
      <w:pPr>
        <w:pStyle w:val="5"/>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val="en-US"/>
        </w:rPr>
        <w:t>4</w:t>
      </w:r>
      <w:r>
        <w:rPr>
          <w:rFonts w:hint="default" w:ascii="Times New Roman" w:hAnsi="Times New Roman" w:cs="Times New Roman"/>
          <w:color w:val="auto"/>
        </w:rPr>
        <w:t>.1产业政策相符性分析判定</w:t>
      </w:r>
    </w:p>
    <w:p>
      <w:pPr>
        <w:pStyle w:val="7"/>
        <w:numPr>
          <w:ilvl w:val="0"/>
          <w:numId w:val="0"/>
        </w:numPr>
        <w:ind w:firstLine="480" w:firstLineChars="200"/>
        <w:rPr>
          <w:rFonts w:hint="default" w:ascii="Times New Roman" w:hAnsi="Times New Roman" w:cs="Times New Roman"/>
          <w:bCs/>
          <w:color w:val="auto"/>
          <w:spacing w:val="2"/>
          <w:sz w:val="24"/>
          <w:szCs w:val="24"/>
        </w:rPr>
      </w:pPr>
      <w:r>
        <w:rPr>
          <w:rFonts w:hint="default" w:ascii="Times New Roman" w:hAnsi="Times New Roman" w:cs="Times New Roman"/>
          <w:color w:val="auto"/>
          <w:sz w:val="24"/>
        </w:rPr>
        <w:t>根据《产业结构调整指导目录（201</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 xml:space="preserve">年本）》，本项目属于“第一类鼓励类 一农林业 </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畜禽标准化规模养殖技术开发与应用”，因此本项目的建设符合国家相关产业政策的要求。</w:t>
      </w:r>
    </w:p>
    <w:p>
      <w:pPr>
        <w:pStyle w:val="5"/>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val="en-US"/>
        </w:rPr>
        <w:t>4</w:t>
      </w:r>
      <w:r>
        <w:rPr>
          <w:rFonts w:hint="default" w:ascii="Times New Roman" w:hAnsi="Times New Roman" w:cs="Times New Roman"/>
          <w:color w:val="auto"/>
        </w:rPr>
        <w:t>.2相关规划及规划环评相符性分析判定</w:t>
      </w:r>
    </w:p>
    <w:p>
      <w:pPr>
        <w:pStyle w:val="6"/>
        <w:spacing w:before="0" w:after="0"/>
        <w:ind w:firstLine="480"/>
        <w:rPr>
          <w:rFonts w:hint="default" w:ascii="Times New Roman" w:hAnsi="Times New Roman" w:cs="Times New Roman"/>
          <w:color w:val="auto"/>
        </w:rPr>
      </w:pPr>
      <w:r>
        <w:rPr>
          <w:rFonts w:hint="default" w:ascii="Times New Roman" w:hAnsi="Times New Roman" w:cs="Times New Roman"/>
          <w:color w:val="auto"/>
        </w:rPr>
        <w:t>1.4.2.1项目与清丰县城市总体规划的相符性</w:t>
      </w:r>
    </w:p>
    <w:p>
      <w:pPr>
        <w:pStyle w:val="7"/>
        <w:numPr>
          <w:ilvl w:val="0"/>
          <w:numId w:val="0"/>
        </w:numPr>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本项目位于清丰县韩村镇杨韩村北，不在《清丰县城乡总体规划》（2016～2035年）范围内，故本项目的建设不违背清丰县城乡总体规划。</w:t>
      </w:r>
    </w:p>
    <w:p>
      <w:pPr>
        <w:pStyle w:val="6"/>
        <w:spacing w:before="0" w:after="0"/>
        <w:ind w:firstLine="480"/>
        <w:rPr>
          <w:rFonts w:hint="default" w:ascii="Times New Roman" w:hAnsi="Times New Roman" w:cs="Times New Roman"/>
          <w:color w:val="auto"/>
        </w:rPr>
      </w:pPr>
      <w:r>
        <w:rPr>
          <w:rFonts w:hint="default" w:ascii="Times New Roman" w:hAnsi="Times New Roman" w:cs="Times New Roman"/>
          <w:color w:val="auto"/>
        </w:rPr>
        <w:t>1.4.2.2项目建设与韩村镇土地利用总体规划的相符性分析</w:t>
      </w:r>
    </w:p>
    <w:p>
      <w:pPr>
        <w:ind w:firstLine="480"/>
        <w:rPr>
          <w:rFonts w:hint="default" w:ascii="Times New Roman" w:hAnsi="Times New Roman" w:cs="Times New Roman"/>
          <w:b/>
          <w:color w:val="auto"/>
          <w:highlight w:val="none"/>
          <w:u w:val="single"/>
        </w:rPr>
      </w:pPr>
      <w:r>
        <w:rPr>
          <w:rFonts w:hint="default" w:ascii="Times New Roman" w:hAnsi="Times New Roman" w:cs="Times New Roman"/>
          <w:color w:val="auto"/>
          <w:highlight w:val="none"/>
        </w:rPr>
        <w:t>本项目拟选场址位于清丰县韩村镇杨韩村北，根据清丰县韩村镇自然资源局出具的证明，该项目用地为一般耕地，选址符合规划要求，未占用基本农田。</w:t>
      </w:r>
    </w:p>
    <w:p>
      <w:pPr>
        <w:pStyle w:val="6"/>
        <w:spacing w:before="0" w:after="0"/>
        <w:ind w:firstLine="480"/>
        <w:rPr>
          <w:rFonts w:hint="default" w:ascii="Times New Roman" w:hAnsi="Times New Roman" w:cs="Times New Roman"/>
          <w:color w:val="auto"/>
        </w:rPr>
      </w:pPr>
      <w:r>
        <w:rPr>
          <w:rFonts w:hint="default" w:ascii="Times New Roman" w:hAnsi="Times New Roman" w:cs="Times New Roman"/>
          <w:color w:val="auto"/>
        </w:rPr>
        <w:t>1.4.2.3项目建设与《河南省畜牧业“十三五”发展规划》相符性分析</w:t>
      </w:r>
    </w:p>
    <w:p>
      <w:pPr>
        <w:pStyle w:val="7"/>
        <w:numPr>
          <w:ilvl w:val="0"/>
          <w:numId w:val="0"/>
        </w:numPr>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属于标准化养殖场建设项目，采用种养结合方式，可实现畜禽粪便就地、就近消纳。与《河南省畜牧业“十三五”发展规划》中的第（2）条中“重点抓好1万个养殖场标准化建设和改造”和第（3）条中“实施以养定种、种养结合，重点抓好国家粮改饲试点项目。鼓励支持畜牧龙头企业通过流转土地、订单生产等方式，促进粮经饲三元结构调整，实现畜禽粪便就地、就近消纳利用循环发展”相符。</w:t>
      </w:r>
    </w:p>
    <w:p>
      <w:pPr>
        <w:pStyle w:val="6"/>
        <w:spacing w:before="0" w:after="0"/>
        <w:ind w:firstLine="480"/>
        <w:rPr>
          <w:rFonts w:hint="default" w:ascii="Times New Roman" w:hAnsi="Times New Roman" w:cs="Times New Roman"/>
          <w:color w:val="auto"/>
          <w:szCs w:val="20"/>
        </w:rPr>
      </w:pPr>
      <w:r>
        <w:rPr>
          <w:rFonts w:hint="default" w:ascii="Times New Roman" w:hAnsi="Times New Roman" w:cs="Times New Roman"/>
          <w:color w:val="auto"/>
          <w:szCs w:val="20"/>
        </w:rPr>
        <w:t xml:space="preserve">1.4.2.4 </w:t>
      </w:r>
      <w:r>
        <w:rPr>
          <w:rFonts w:hint="default" w:ascii="Times New Roman" w:hAnsi="Times New Roman" w:cs="Times New Roman"/>
          <w:color w:val="auto"/>
        </w:rPr>
        <w:t>《河南省环保厅关于印发深化建设项目环境影响评价审批制度改革实施意见的通知》</w:t>
      </w:r>
      <w:r>
        <w:rPr>
          <w:rFonts w:hint="default" w:ascii="Times New Roman" w:hAnsi="Times New Roman" w:cs="Times New Roman"/>
          <w:color w:val="auto"/>
          <w:szCs w:val="20"/>
        </w:rPr>
        <w:t>（豫环文【2015】33号）</w:t>
      </w:r>
    </w:p>
    <w:p>
      <w:pPr>
        <w:pStyle w:val="7"/>
        <w:numPr>
          <w:ilvl w:val="0"/>
          <w:numId w:val="0"/>
        </w:numPr>
        <w:ind w:firstLine="480" w:firstLineChars="200"/>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项目选址位于濮阳市清丰县，属于农产品主产区，不属于大气污染防治重点单元，，不属于《工业项目分类清单》中工业项目。区域地表水属于《水污染防治重点单元》的区域内。本项目废水主要为猪尿和猪舍冲洗废水，采用干清粪养殖工艺，废水经黑膜沼气池厌氧处理后进行还田利用，项目废水不外排。项目</w:t>
      </w:r>
      <w:r>
        <w:rPr>
          <w:rFonts w:hint="default" w:ascii="Times New Roman" w:hAnsi="Times New Roman" w:cs="Times New Roman"/>
          <w:color w:val="auto"/>
          <w:sz w:val="24"/>
          <w:lang w:eastAsia="zh-CN"/>
        </w:rPr>
        <w:t>的</w:t>
      </w:r>
      <w:r>
        <w:rPr>
          <w:rFonts w:hint="default" w:ascii="Times New Roman" w:hAnsi="Times New Roman" w:cs="Times New Roman"/>
          <w:color w:val="auto"/>
          <w:sz w:val="24"/>
        </w:rPr>
        <w:t>建设不违背功能区区划要求</w:t>
      </w:r>
      <w:r>
        <w:rPr>
          <w:rFonts w:hint="default" w:ascii="Times New Roman" w:hAnsi="Times New Roman" w:cs="Times New Roman"/>
          <w:color w:val="auto"/>
          <w:sz w:val="24"/>
          <w:lang w:eastAsia="zh-CN"/>
        </w:rPr>
        <w:t>。</w:t>
      </w:r>
    </w:p>
    <w:p>
      <w:pPr>
        <w:pStyle w:val="6"/>
        <w:spacing w:before="0" w:after="0"/>
        <w:ind w:firstLine="480"/>
        <w:rPr>
          <w:rFonts w:hint="default" w:ascii="Times New Roman" w:hAnsi="Times New Roman" w:cs="Times New Roman"/>
          <w:color w:val="auto"/>
        </w:rPr>
      </w:pPr>
      <w:r>
        <w:rPr>
          <w:rFonts w:hint="default" w:ascii="Times New Roman" w:hAnsi="Times New Roman" w:cs="Times New Roman"/>
          <w:color w:val="auto"/>
        </w:rPr>
        <w:t>1.4.2.5饮用源地保护区规划</w:t>
      </w:r>
    </w:p>
    <w:p>
      <w:pPr>
        <w:pStyle w:val="7"/>
        <w:numPr>
          <w:ilvl w:val="0"/>
          <w:numId w:val="0"/>
        </w:numPr>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位于清丰县韩村镇杨韩村北，经对比《河南省城市集中式饮用水源保护区划》、《河南省县级集中式饮用水水源保护区划》，本项目不在饮用水源地保护区范围内，其建设符合区域饮用水源地保护区规划要求。</w:t>
      </w:r>
    </w:p>
    <w:p>
      <w:pPr>
        <w:pStyle w:val="7"/>
        <w:numPr>
          <w:ilvl w:val="0"/>
          <w:numId w:val="0"/>
        </w:numPr>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经对比《河南省人民政府办公厅关于印发河南省乡镇集中式饮用水水源保护区划的通知》（豫政办 〔2016〕23号），距本项目最近的水源地保护区为清丰县韩村乡地下水井群，位于本项目南侧1.7km处，不在饮用水源保护区范围内；本项目沼液消纳区也不在饮用水源保护区范围内。</w:t>
      </w:r>
    </w:p>
    <w:p>
      <w:pPr>
        <w:pStyle w:val="6"/>
        <w:spacing w:before="0" w:after="0"/>
        <w:ind w:firstLine="480"/>
        <w:rPr>
          <w:rFonts w:hint="default" w:ascii="Times New Roman" w:hAnsi="Times New Roman" w:cs="Times New Roman"/>
          <w:color w:val="auto"/>
        </w:rPr>
      </w:pPr>
      <w:r>
        <w:rPr>
          <w:rFonts w:hint="default" w:ascii="Times New Roman" w:hAnsi="Times New Roman" w:cs="Times New Roman"/>
          <w:color w:val="auto"/>
        </w:rPr>
        <w:t>1.4.2.6项目与《清丰县人民政府办公室关于印发清丰县畜禽养殖业禁养区限养区划分调整方案的通知（清政办〔2016〕50号）》相符性分析</w:t>
      </w:r>
    </w:p>
    <w:p>
      <w:pPr>
        <w:pStyle w:val="7"/>
        <w:numPr>
          <w:ilvl w:val="0"/>
          <w:numId w:val="0"/>
        </w:numPr>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位于清丰县韩村镇杨韩村北，依据现场勘查，距离本项目最近的环境敏感点为南侧510m的杨韩村；项目养殖场周边最近的水体为西侧440m的第三濮清南干渠。根据《清丰县人民政府办公室关于印发清丰县畜禽养殖业禁养区限养区划分调整方案的通知》，同时根</w:t>
      </w:r>
      <w:r>
        <w:rPr>
          <w:rFonts w:hint="default" w:ascii="Times New Roman" w:hAnsi="Times New Roman" w:cs="Times New Roman"/>
          <w:color w:val="auto"/>
          <w:sz w:val="24"/>
          <w:highlight w:val="none"/>
        </w:rPr>
        <w:t>据清丰县农业农村局出了相关证明，</w:t>
      </w:r>
      <w:r>
        <w:rPr>
          <w:rFonts w:hint="default" w:ascii="Times New Roman" w:hAnsi="Times New Roman" w:cs="Times New Roman"/>
          <w:color w:val="auto"/>
          <w:sz w:val="24"/>
        </w:rPr>
        <w:t>本项目不在禁养区范围内。项目建设符合《清丰县人民政府办公室关于印发清丰县畜禽养殖业禁养区限养区划分调整方案的通知》</w:t>
      </w:r>
      <w:r>
        <w:rPr>
          <w:rFonts w:hint="default" w:ascii="Times New Roman" w:hAnsi="Times New Roman" w:cs="Times New Roman"/>
          <w:color w:val="auto"/>
          <w:sz w:val="24"/>
          <w:lang w:eastAsia="zh-CN"/>
        </w:rPr>
        <w:t>（清政办〔2016〕50号）</w:t>
      </w:r>
      <w:r>
        <w:rPr>
          <w:rFonts w:hint="default" w:ascii="Times New Roman" w:hAnsi="Times New Roman" w:cs="Times New Roman"/>
          <w:color w:val="auto"/>
          <w:sz w:val="24"/>
        </w:rPr>
        <w:t>。</w:t>
      </w:r>
    </w:p>
    <w:p>
      <w:pPr>
        <w:pStyle w:val="5"/>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val="en-US"/>
        </w:rPr>
        <w:t>4</w:t>
      </w:r>
      <w:r>
        <w:rPr>
          <w:rFonts w:hint="default" w:ascii="Times New Roman" w:hAnsi="Times New Roman" w:cs="Times New Roman"/>
          <w:color w:val="auto"/>
        </w:rPr>
        <w:t>.3环境影响分析判定</w:t>
      </w:r>
    </w:p>
    <w:p>
      <w:pPr>
        <w:pStyle w:val="6"/>
        <w:spacing w:before="0" w:after="0"/>
        <w:ind w:firstLine="480"/>
        <w:rPr>
          <w:rFonts w:hint="default" w:ascii="Times New Roman" w:hAnsi="Times New Roman" w:cs="Times New Roman"/>
          <w:bCs w:val="0"/>
          <w:color w:val="auto"/>
          <w:szCs w:val="20"/>
        </w:rPr>
      </w:pPr>
      <w:r>
        <w:rPr>
          <w:rFonts w:hint="default" w:ascii="Times New Roman" w:hAnsi="Times New Roman" w:cs="Times New Roman"/>
          <w:bCs w:val="0"/>
          <w:color w:val="auto"/>
          <w:szCs w:val="20"/>
        </w:rPr>
        <w:t>1.4.3.1大气环境影响分析判定情况</w:t>
      </w:r>
    </w:p>
    <w:p>
      <w:pPr>
        <w:widowControl/>
        <w:ind w:firstLine="480"/>
        <w:jc w:val="left"/>
        <w:rPr>
          <w:rFonts w:hint="default" w:ascii="Times New Roman" w:hAnsi="Times New Roman" w:cs="Times New Roman"/>
          <w:color w:val="auto"/>
          <w:szCs w:val="20"/>
        </w:rPr>
      </w:pPr>
      <w:r>
        <w:rPr>
          <w:rFonts w:hint="default" w:ascii="Times New Roman" w:hAnsi="Times New Roman" w:cs="Times New Roman"/>
          <w:color w:val="auto"/>
          <w:szCs w:val="20"/>
        </w:rPr>
        <w:t>本项目大气环境影响评价等级为</w:t>
      </w:r>
      <w:r>
        <w:rPr>
          <w:rFonts w:hint="default" w:ascii="Times New Roman" w:hAnsi="Times New Roman" w:cs="Times New Roman"/>
          <w:color w:val="auto"/>
          <w:szCs w:val="20"/>
          <w:lang w:eastAsia="zh-CN"/>
        </w:rPr>
        <w:t>一</w:t>
      </w:r>
      <w:r>
        <w:rPr>
          <w:rFonts w:hint="default" w:ascii="Times New Roman" w:hAnsi="Times New Roman" w:cs="Times New Roman"/>
          <w:color w:val="auto"/>
          <w:szCs w:val="20"/>
        </w:rPr>
        <w:t>级，评价范围为以场址为中心，边长为5km的矩形范围。</w:t>
      </w:r>
    </w:p>
    <w:p>
      <w:pPr>
        <w:widowControl/>
        <w:ind w:firstLine="480"/>
        <w:jc w:val="left"/>
        <w:rPr>
          <w:rFonts w:hint="default" w:ascii="Times New Roman" w:hAnsi="Times New Roman" w:cs="Times New Roman"/>
          <w:color w:val="auto"/>
          <w:szCs w:val="20"/>
        </w:rPr>
      </w:pPr>
      <w:r>
        <w:rPr>
          <w:rFonts w:hint="default" w:ascii="Times New Roman" w:hAnsi="Times New Roman" w:cs="Times New Roman"/>
          <w:color w:val="auto"/>
          <w:szCs w:val="20"/>
        </w:rPr>
        <w:t>经预测，本项目对周围环境空气质量有一定的影响，但不会改变当地的环境功能要求，本项目排放的废气污染物对环境空气的影响在可接受范围内，从大气环境影响角度考虑，本项目可行。</w:t>
      </w:r>
    </w:p>
    <w:p>
      <w:pPr>
        <w:pStyle w:val="6"/>
        <w:spacing w:before="0" w:after="0"/>
        <w:ind w:firstLine="480"/>
        <w:rPr>
          <w:rFonts w:hint="default" w:ascii="Times New Roman" w:hAnsi="Times New Roman" w:cs="Times New Roman"/>
          <w:color w:val="auto"/>
          <w:szCs w:val="20"/>
        </w:rPr>
      </w:pPr>
      <w:r>
        <w:rPr>
          <w:rFonts w:hint="default" w:ascii="Times New Roman" w:hAnsi="Times New Roman" w:cs="Times New Roman"/>
          <w:color w:val="auto"/>
          <w:szCs w:val="20"/>
        </w:rPr>
        <w:t>1.4.3.2地表水环境影响分析判定情况</w:t>
      </w:r>
    </w:p>
    <w:p>
      <w:pPr>
        <w:ind w:firstLine="480"/>
        <w:rPr>
          <w:rFonts w:hint="default" w:ascii="Times New Roman" w:hAnsi="Times New Roman" w:cs="Times New Roman"/>
          <w:color w:val="auto"/>
        </w:rPr>
      </w:pPr>
      <w:r>
        <w:rPr>
          <w:rFonts w:hint="default" w:ascii="Times New Roman" w:hAnsi="Times New Roman" w:cs="Times New Roman"/>
          <w:color w:val="auto"/>
        </w:rPr>
        <w:t>本项目地表水环境影响评价等级为三级B，仅对地表水环境影响进行定性分析，经分析，本项目废水水质复杂程度属简单，主要污染物为COD、BOD</w:t>
      </w:r>
      <w:r>
        <w:rPr>
          <w:rFonts w:hint="default" w:ascii="Times New Roman" w:hAnsi="Times New Roman" w:cs="Times New Roman"/>
          <w:color w:val="auto"/>
          <w:vertAlign w:val="subscript"/>
        </w:rPr>
        <w:t>5</w:t>
      </w:r>
      <w:r>
        <w:rPr>
          <w:rFonts w:hint="default" w:ascii="Times New Roman" w:hAnsi="Times New Roman" w:cs="Times New Roman"/>
          <w:color w:val="auto"/>
        </w:rPr>
        <w:t>、NH</w:t>
      </w:r>
      <w:r>
        <w:rPr>
          <w:rFonts w:hint="default" w:ascii="Times New Roman" w:hAnsi="Times New Roman" w:cs="Times New Roman"/>
          <w:color w:val="auto"/>
          <w:vertAlign w:val="subscript"/>
        </w:rPr>
        <w:t>3</w:t>
      </w:r>
      <w:r>
        <w:rPr>
          <w:rFonts w:hint="default" w:ascii="Times New Roman" w:hAnsi="Times New Roman" w:cs="Times New Roman"/>
          <w:color w:val="auto"/>
        </w:rPr>
        <w:t>-N等，全部实现资源化利用，无废水外排，对周围环境影响较小。项目非正常废水采取措施的情况下，对地表水环境没有明显不利影响。</w:t>
      </w:r>
    </w:p>
    <w:p>
      <w:pPr>
        <w:pStyle w:val="6"/>
        <w:spacing w:before="0" w:after="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1.4.3.3地下水环境影响分析判定情况</w:t>
      </w:r>
    </w:p>
    <w:p>
      <w:pPr>
        <w:pStyle w:val="7"/>
        <w:numPr>
          <w:ilvl w:val="0"/>
          <w:numId w:val="0"/>
        </w:numPr>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本项目地下水评价等级确定为三级，评价范围以项目区西南侧0.1km，项目两侧1.5km，东北侧（下游）1.9km 的区域，约6km</w:t>
      </w:r>
      <w:r>
        <w:rPr>
          <w:rFonts w:hint="default" w:ascii="Times New Roman" w:hAnsi="Times New Roman" w:cs="Times New Roman"/>
          <w:color w:val="auto"/>
          <w:sz w:val="24"/>
          <w:highlight w:val="none"/>
          <w:vertAlign w:val="superscript"/>
        </w:rPr>
        <w:t>2</w:t>
      </w:r>
      <w:r>
        <w:rPr>
          <w:rFonts w:hint="default" w:ascii="Times New Roman" w:hAnsi="Times New Roman" w:cs="Times New Roman"/>
          <w:color w:val="auto"/>
          <w:sz w:val="24"/>
          <w:highlight w:val="none"/>
        </w:rPr>
        <w:t>范围，满足三级评价要求</w:t>
      </w:r>
      <w:r>
        <w:rPr>
          <w:rFonts w:hint="default" w:ascii="Times New Roman" w:hAnsi="Times New Roman" w:cs="Times New Roman"/>
          <w:color w:val="auto"/>
          <w:sz w:val="24"/>
          <w:highlight w:val="none"/>
          <w:lang w:eastAsia="zh-CN"/>
        </w:rPr>
        <w:t>，评价范围内存在分散式饮用水源</w:t>
      </w:r>
      <w:r>
        <w:rPr>
          <w:rFonts w:hint="default" w:ascii="Times New Roman" w:hAnsi="Times New Roman" w:cs="Times New Roman"/>
          <w:color w:val="auto"/>
          <w:sz w:val="24"/>
          <w:highlight w:val="none"/>
        </w:rPr>
        <w:t>。</w:t>
      </w:r>
    </w:p>
    <w:p>
      <w:pPr>
        <w:ind w:firstLine="480"/>
        <w:rPr>
          <w:rFonts w:hint="default" w:ascii="Times New Roman" w:hAnsi="Times New Roman" w:cs="Times New Roman"/>
          <w:color w:val="auto"/>
          <w:kern w:val="0"/>
        </w:rPr>
      </w:pPr>
      <w:r>
        <w:rPr>
          <w:rFonts w:hint="default" w:ascii="Times New Roman" w:hAnsi="Times New Roman" w:cs="Times New Roman"/>
          <w:color w:val="auto"/>
          <w:lang w:val="en-GB"/>
        </w:rPr>
        <w:t>经预测，厂区、沼液消纳区及施肥对地下水环境的影响较小，</w:t>
      </w:r>
      <w:r>
        <w:rPr>
          <w:rFonts w:hint="default" w:ascii="Times New Roman" w:hAnsi="Times New Roman" w:cs="Times New Roman"/>
          <w:color w:val="auto"/>
          <w:kern w:val="0"/>
        </w:rPr>
        <w:t>本项目采取了严格可靠的防渗防漏措施，同时制定了严格的环境管理和监测制度，预计对地下水环境影响在可接受范围内。</w:t>
      </w:r>
    </w:p>
    <w:p>
      <w:pPr>
        <w:pStyle w:val="6"/>
        <w:spacing w:before="0" w:after="0"/>
        <w:ind w:firstLine="480"/>
        <w:rPr>
          <w:rFonts w:hint="default" w:ascii="Times New Roman" w:hAnsi="Times New Roman" w:cs="Times New Roman"/>
          <w:color w:val="auto"/>
        </w:rPr>
      </w:pPr>
      <w:r>
        <w:rPr>
          <w:rFonts w:hint="default" w:ascii="Times New Roman" w:hAnsi="Times New Roman" w:cs="Times New Roman"/>
          <w:color w:val="auto"/>
        </w:rPr>
        <w:t>1.4.3.4声环境影响分析判定情况</w:t>
      </w:r>
    </w:p>
    <w:p>
      <w:pPr>
        <w:widowControl/>
        <w:ind w:firstLine="480"/>
        <w:jc w:val="left"/>
        <w:rPr>
          <w:rFonts w:hint="default" w:ascii="Times New Roman" w:hAnsi="Times New Roman" w:cs="Times New Roman"/>
          <w:color w:val="auto"/>
          <w:kern w:val="0"/>
        </w:rPr>
      </w:pPr>
      <w:r>
        <w:rPr>
          <w:rFonts w:hint="default" w:ascii="Times New Roman" w:hAnsi="Times New Roman" w:cs="Times New Roman"/>
          <w:color w:val="auto"/>
          <w:kern w:val="0"/>
        </w:rPr>
        <w:t>本项目声环境评价等级为二级，评价范围为厂址边界外200m。经预测分析，本项目厂界噪声可以满足《工业企业厂界环境噪声排放标准》（GB12348-2008）2类标准要求，同时周边声环境敏感点距本项目厂址距离超出200m，本项目对区域声环境的影响在可接受范围内。</w:t>
      </w:r>
    </w:p>
    <w:p>
      <w:pPr>
        <w:pStyle w:val="6"/>
        <w:spacing w:before="0" w:after="0"/>
        <w:ind w:firstLine="480"/>
        <w:rPr>
          <w:rFonts w:hint="default" w:ascii="Times New Roman" w:hAnsi="Times New Roman" w:cs="Times New Roman"/>
          <w:color w:val="auto"/>
        </w:rPr>
      </w:pPr>
      <w:r>
        <w:rPr>
          <w:rFonts w:hint="default" w:ascii="Times New Roman" w:hAnsi="Times New Roman" w:cs="Times New Roman"/>
          <w:color w:val="auto"/>
        </w:rPr>
        <w:t>1.4.3.5固体废弃物环境影响分析判定情况</w:t>
      </w:r>
    </w:p>
    <w:p>
      <w:pPr>
        <w:widowControl/>
        <w:ind w:firstLine="480"/>
        <w:jc w:val="left"/>
        <w:rPr>
          <w:rFonts w:hint="default" w:ascii="Times New Roman" w:hAnsi="Times New Roman" w:cs="Times New Roman"/>
          <w:color w:val="auto"/>
          <w:kern w:val="0"/>
        </w:rPr>
      </w:pPr>
      <w:r>
        <w:rPr>
          <w:rFonts w:hint="default" w:ascii="Times New Roman" w:hAnsi="Times New Roman" w:cs="Times New Roman"/>
          <w:color w:val="auto"/>
          <w:kern w:val="0"/>
        </w:rPr>
        <w:t>本项目固废均得到综合利用或妥善处置，各类固体废弃物不会对环境产生明显不利影响。</w:t>
      </w:r>
    </w:p>
    <w:p>
      <w:pPr>
        <w:pStyle w:val="6"/>
        <w:spacing w:before="0" w:after="0"/>
        <w:ind w:firstLine="480"/>
        <w:rPr>
          <w:rFonts w:hint="default" w:ascii="Times New Roman" w:hAnsi="Times New Roman" w:cs="Times New Roman"/>
          <w:color w:val="auto"/>
        </w:rPr>
      </w:pPr>
      <w:r>
        <w:rPr>
          <w:rFonts w:hint="default" w:ascii="Times New Roman" w:hAnsi="Times New Roman" w:cs="Times New Roman"/>
          <w:color w:val="auto"/>
        </w:rPr>
        <w:t>1.4.3.6环境风险分析判定情况</w:t>
      </w:r>
    </w:p>
    <w:p>
      <w:pPr>
        <w:ind w:firstLine="480"/>
        <w:rPr>
          <w:rFonts w:hint="default" w:ascii="Times New Roman" w:hAnsi="Times New Roman" w:cs="Times New Roman"/>
          <w:color w:val="auto"/>
        </w:rPr>
      </w:pPr>
      <w:r>
        <w:rPr>
          <w:rFonts w:hint="default" w:ascii="Times New Roman" w:hAnsi="Times New Roman" w:cs="Times New Roman"/>
          <w:color w:val="auto"/>
        </w:rPr>
        <w:t>本项目环境风险评价等级为简单分析。经分析，本项目环境风险主要表现在沼气发生泄漏或者燃烧爆炸，对环境空气产生的影响。在严格落实本环评提出的各项风险防范措施和事故应急预案后，该项目发生风险事故的可能进一步降低，其潜在的环境风险是可以接受的。</w:t>
      </w:r>
    </w:p>
    <w:p>
      <w:pPr>
        <w:pStyle w:val="6"/>
        <w:spacing w:before="0" w:after="0" w:line="360" w:lineRule="auto"/>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1.4.3.7</w:t>
      </w:r>
      <w:r>
        <w:rPr>
          <w:rFonts w:hint="default" w:ascii="Times New Roman" w:hAnsi="Times New Roman" w:cs="Times New Roman"/>
          <w:color w:val="auto"/>
          <w:lang w:eastAsia="zh-CN"/>
        </w:rPr>
        <w:t>土壤</w:t>
      </w:r>
      <w:r>
        <w:rPr>
          <w:rFonts w:hint="default" w:ascii="Times New Roman" w:hAnsi="Times New Roman" w:cs="Times New Roman"/>
          <w:color w:val="auto"/>
        </w:rPr>
        <w:t>环境影响分析判定情况</w:t>
      </w:r>
    </w:p>
    <w:p>
      <w:pPr>
        <w:pStyle w:val="48"/>
        <w:adjustRightInd/>
        <w:spacing w:line="360" w:lineRule="auto"/>
        <w:ind w:firstLine="480"/>
        <w:rPr>
          <w:rFonts w:hint="default" w:ascii="Times New Roman" w:hAnsi="Times New Roman" w:cs="Times New Roman"/>
          <w:color w:val="auto"/>
          <w:szCs w:val="28"/>
        </w:rPr>
      </w:pPr>
      <w:r>
        <w:rPr>
          <w:rFonts w:hint="default" w:ascii="Times New Roman" w:hAnsi="Times New Roman" w:cs="Times New Roman"/>
          <w:color w:val="auto"/>
          <w:szCs w:val="28"/>
        </w:rPr>
        <w:t>本项目为污染影响型项目，土壤环境影响评价等价为二级，评价范围为占地范围内及场界范围外0.2km范围内及沼液消纳区域。经分析本项目建成运行对区域土壤环境影响较小。</w:t>
      </w:r>
    </w:p>
    <w:p>
      <w:pPr>
        <w:pStyle w:val="6"/>
        <w:spacing w:before="0" w:after="0" w:line="360" w:lineRule="auto"/>
        <w:ind w:firstLine="480"/>
        <w:rPr>
          <w:rFonts w:hint="default" w:ascii="Times New Roman" w:hAnsi="Times New Roman" w:cs="Times New Roman"/>
          <w:color w:val="auto"/>
        </w:rPr>
      </w:pPr>
      <w:r>
        <w:rPr>
          <w:rFonts w:hint="default" w:ascii="Times New Roman" w:hAnsi="Times New Roman" w:cs="Times New Roman"/>
          <w:color w:val="auto"/>
        </w:rPr>
        <w:t>1.4.3.</w:t>
      </w:r>
      <w:r>
        <w:rPr>
          <w:rFonts w:hint="default" w:ascii="Times New Roman" w:hAnsi="Times New Roman" w:cs="Times New Roman"/>
          <w:color w:val="auto"/>
          <w:lang w:val="en-US" w:eastAsia="zh-CN"/>
        </w:rPr>
        <w:t>8</w:t>
      </w:r>
      <w:r>
        <w:rPr>
          <w:rFonts w:hint="default" w:ascii="Times New Roman" w:hAnsi="Times New Roman" w:cs="Times New Roman"/>
          <w:color w:val="auto"/>
        </w:rPr>
        <w:t>施工期环境影响分析判定情况</w:t>
      </w:r>
    </w:p>
    <w:p>
      <w:pPr>
        <w:spacing w:line="360" w:lineRule="auto"/>
        <w:ind w:firstLine="468"/>
        <w:rPr>
          <w:rFonts w:hint="default" w:ascii="Times New Roman" w:hAnsi="Times New Roman" w:cs="Times New Roman"/>
          <w:color w:val="auto"/>
          <w:spacing w:val="-3"/>
        </w:rPr>
      </w:pPr>
      <w:r>
        <w:rPr>
          <w:rFonts w:hint="default" w:ascii="Times New Roman" w:hAnsi="Times New Roman" w:cs="Times New Roman"/>
          <w:color w:val="auto"/>
          <w:spacing w:val="-3"/>
        </w:rPr>
        <w:t>本项目施工期主要影响包括施工活动及运输产生的扬尘、施工机械及运输车辆产生的噪声、施工废水、施工人员产生的生活污水、施工工程产生的废渣和生活垃圾等固体废弃物。项目拟采取洒水、物料堆场覆盖、合理安排作业时间、修建沉淀池等措施等，可以有效降低项目施工对环境的不利影响，其影响程度可以接受。</w:t>
      </w:r>
    </w:p>
    <w:p>
      <w:pPr>
        <w:pStyle w:val="5"/>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val="en-US"/>
        </w:rPr>
        <w:t>4</w:t>
      </w:r>
      <w:r>
        <w:rPr>
          <w:rFonts w:hint="default" w:ascii="Times New Roman" w:hAnsi="Times New Roman" w:cs="Times New Roman"/>
          <w:color w:val="auto"/>
        </w:rPr>
        <w:t>.4厂址可行性分析判定</w:t>
      </w:r>
    </w:p>
    <w:p>
      <w:pPr>
        <w:widowControl/>
        <w:ind w:firstLine="480"/>
        <w:jc w:val="left"/>
        <w:rPr>
          <w:rFonts w:hint="default" w:ascii="Times New Roman" w:hAnsi="Times New Roman" w:cs="Times New Roman"/>
          <w:color w:val="auto"/>
          <w:kern w:val="0"/>
        </w:rPr>
      </w:pPr>
      <w:r>
        <w:rPr>
          <w:rFonts w:hint="default" w:ascii="Times New Roman" w:hAnsi="Times New Roman" w:cs="Times New Roman"/>
          <w:color w:val="auto"/>
          <w:kern w:val="0"/>
        </w:rPr>
        <w:t>项目选址符合清丰县城乡总体规划、清丰县人民政府出具的《</w:t>
      </w:r>
      <w:r>
        <w:rPr>
          <w:rFonts w:hint="default" w:ascii="Times New Roman" w:hAnsi="Times New Roman" w:cs="Times New Roman"/>
          <w:color w:val="auto"/>
        </w:rPr>
        <w:t>关于印发清丰县畜禽养殖业禁养区限养区划分调整方案的通知</w:t>
      </w:r>
      <w:r>
        <w:rPr>
          <w:rFonts w:hint="default" w:ascii="Times New Roman" w:hAnsi="Times New Roman" w:cs="Times New Roman"/>
          <w:color w:val="auto"/>
          <w:kern w:val="0"/>
        </w:rPr>
        <w:t>》</w:t>
      </w:r>
      <w:r>
        <w:rPr>
          <w:rFonts w:hint="default" w:ascii="Times New Roman" w:hAnsi="Times New Roman" w:cs="Times New Roman"/>
          <w:color w:val="auto"/>
        </w:rPr>
        <w:t>（清政办〔2016〕50号）</w:t>
      </w:r>
      <w:r>
        <w:rPr>
          <w:rFonts w:hint="default" w:ascii="Times New Roman" w:hAnsi="Times New Roman" w:cs="Times New Roman"/>
          <w:color w:val="auto"/>
          <w:kern w:val="0"/>
        </w:rPr>
        <w:t>及《畜禽养殖业污染防治技术规范》（</w:t>
      </w:r>
      <w:r>
        <w:rPr>
          <w:rFonts w:hint="default" w:ascii="Times New Roman" w:hAnsi="Times New Roman" w:eastAsia="TimesNewRomanPSMT" w:cs="Times New Roman"/>
          <w:color w:val="auto"/>
          <w:kern w:val="0"/>
        </w:rPr>
        <w:t>HJ/T81—2001</w:t>
      </w:r>
      <w:r>
        <w:rPr>
          <w:rFonts w:hint="default" w:ascii="Times New Roman" w:hAnsi="Times New Roman" w:cs="Times New Roman"/>
          <w:color w:val="auto"/>
          <w:kern w:val="0"/>
        </w:rPr>
        <w:t>）的相关要求，该场址具有较好的区位优势，场区平面布置比较合理，污染物对周围环境无超标影响。评价综合分析后认为，从环保角度考虑，本项目在该地建设可行。</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kern w:val="0"/>
        </w:rPr>
        <w:t>本项目场区平面布置实行生产区、办公区与污染治理区的三区分离，根据场区现状布置情况，评价认为项目场址平面布置可行，同时，要求建设时应严格按照《畜禽养殖业污染防治技术规范》（</w:t>
      </w:r>
      <w:r>
        <w:rPr>
          <w:rFonts w:hint="default" w:ascii="Times New Roman" w:hAnsi="Times New Roman" w:eastAsia="TimesNewRomanPSMT" w:cs="Times New Roman"/>
          <w:color w:val="auto"/>
          <w:kern w:val="0"/>
        </w:rPr>
        <w:t>HJ/T81—2001</w:t>
      </w:r>
      <w:r>
        <w:rPr>
          <w:rFonts w:hint="default" w:ascii="Times New Roman" w:hAnsi="Times New Roman" w:cs="Times New Roman"/>
          <w:color w:val="auto"/>
          <w:kern w:val="0"/>
        </w:rPr>
        <w:t>）要求进行布置。</w:t>
      </w:r>
    </w:p>
    <w:p>
      <w:pPr>
        <w:pStyle w:val="30"/>
        <w:rPr>
          <w:rFonts w:hint="default" w:ascii="Times New Roman" w:hAnsi="Times New Roman" w:cs="Times New Roman"/>
          <w:color w:val="auto"/>
        </w:rPr>
      </w:pPr>
      <w:bookmarkStart w:id="98" w:name="_Toc24227"/>
      <w:bookmarkStart w:id="99" w:name="_Toc1178"/>
      <w:r>
        <w:rPr>
          <w:rFonts w:hint="default" w:ascii="Times New Roman" w:hAnsi="Times New Roman" w:cs="Times New Roman"/>
          <w:color w:val="auto"/>
        </w:rPr>
        <w:t xml:space="preserve">1.5 </w:t>
      </w:r>
      <w:bookmarkStart w:id="100" w:name="_Toc477187199"/>
      <w:bookmarkStart w:id="101" w:name="_Toc476921779"/>
      <w:bookmarkStart w:id="102" w:name="_Toc477160784"/>
      <w:bookmarkStart w:id="103" w:name="_Toc485578878"/>
      <w:r>
        <w:rPr>
          <w:rFonts w:hint="default" w:ascii="Times New Roman" w:hAnsi="Times New Roman" w:cs="Times New Roman"/>
          <w:color w:val="auto"/>
        </w:rPr>
        <w:t>关注的主要问题</w:t>
      </w:r>
      <w:bookmarkEnd w:id="98"/>
      <w:bookmarkEnd w:id="99"/>
      <w:bookmarkEnd w:id="100"/>
      <w:bookmarkEnd w:id="101"/>
      <w:bookmarkEnd w:id="102"/>
      <w:bookmarkEnd w:id="103"/>
    </w:p>
    <w:p>
      <w:pPr>
        <w:widowControl/>
        <w:ind w:firstLine="480"/>
        <w:jc w:val="left"/>
        <w:rPr>
          <w:rFonts w:hint="default" w:ascii="Times New Roman" w:hAnsi="Times New Roman" w:cs="Times New Roman"/>
          <w:color w:val="auto"/>
          <w:kern w:val="0"/>
        </w:rPr>
      </w:pPr>
      <w:r>
        <w:rPr>
          <w:rFonts w:hint="default" w:ascii="Times New Roman" w:hAnsi="Times New Roman" w:cs="Times New Roman"/>
          <w:color w:val="auto"/>
          <w:kern w:val="0"/>
        </w:rPr>
        <w:t>根据对项目工程分析及选址环境特征，确定本项目环境影响评价的重点如下：</w:t>
      </w:r>
    </w:p>
    <w:p>
      <w:pPr>
        <w:widowControl/>
        <w:ind w:firstLine="480"/>
        <w:jc w:val="left"/>
        <w:rPr>
          <w:rFonts w:hint="default" w:ascii="Times New Roman" w:hAnsi="Times New Roman" w:cs="Times New Roman"/>
          <w:color w:val="auto"/>
          <w:kern w:val="0"/>
        </w:rPr>
      </w:pPr>
      <w:r>
        <w:rPr>
          <w:rFonts w:hint="default" w:ascii="Times New Roman" w:hAnsi="Times New Roman" w:cs="Times New Roman"/>
          <w:color w:val="auto"/>
          <w:kern w:val="0"/>
        </w:rPr>
        <w:t>（1）工程分析</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针对养殖行业特点，调查分析废气、废水、固废等的污染物特性，重点核实项目污染物的排放源强和排放特征；</w:t>
      </w:r>
    </w:p>
    <w:p>
      <w:pPr>
        <w:widowControl/>
        <w:ind w:firstLine="480"/>
        <w:jc w:val="left"/>
        <w:rPr>
          <w:rFonts w:hint="default" w:ascii="Times New Roman" w:hAnsi="Times New Roman" w:cs="Times New Roman"/>
          <w:color w:val="auto"/>
          <w:kern w:val="0"/>
        </w:rPr>
      </w:pPr>
      <w:r>
        <w:rPr>
          <w:rFonts w:hint="default" w:ascii="Times New Roman" w:hAnsi="Times New Roman" w:cs="Times New Roman"/>
          <w:color w:val="auto"/>
          <w:kern w:val="0"/>
        </w:rPr>
        <w:t>（2）环境影响预测和评价：核实项目污染物的排放源强和排放特征，预测分析项目建设完成后对评价区环境的影响范围和程度；</w:t>
      </w:r>
    </w:p>
    <w:p>
      <w:pPr>
        <w:widowControl/>
        <w:ind w:firstLine="480"/>
        <w:jc w:val="left"/>
        <w:rPr>
          <w:rFonts w:hint="default" w:ascii="Times New Roman" w:hAnsi="Times New Roman" w:cs="Times New Roman"/>
          <w:color w:val="auto"/>
          <w:kern w:val="0"/>
        </w:rPr>
      </w:pPr>
      <w:r>
        <w:rPr>
          <w:rFonts w:hint="default" w:ascii="Times New Roman" w:hAnsi="Times New Roman" w:cs="Times New Roman"/>
          <w:color w:val="auto"/>
          <w:kern w:val="0"/>
        </w:rPr>
        <w:t>（3）污染防治措施及技术经济论证：根据建设项目产生的污染物特点，充分分析污染治理措施的技术先进性、经济合理性及运行的可靠性、农养一体化实施的可靠性，提出相应的对策和措施建议。</w:t>
      </w:r>
    </w:p>
    <w:p>
      <w:pPr>
        <w:widowControl/>
        <w:ind w:firstLine="480"/>
        <w:jc w:val="left"/>
        <w:rPr>
          <w:rFonts w:hint="default" w:ascii="Times New Roman" w:hAnsi="Times New Roman" w:cs="Times New Roman"/>
          <w:color w:val="auto"/>
          <w:kern w:val="0"/>
        </w:rPr>
      </w:pPr>
      <w:r>
        <w:rPr>
          <w:rFonts w:hint="default" w:ascii="Times New Roman" w:hAnsi="Times New Roman" w:cs="Times New Roman"/>
          <w:color w:val="auto"/>
          <w:kern w:val="0"/>
        </w:rPr>
        <w:t>（4）项目选址可行性：根据《畜禽养殖业污染防治技术规范》（HJ/T81-2001），以及清丰县人民政府出具的《</w:t>
      </w:r>
      <w:r>
        <w:rPr>
          <w:rFonts w:hint="default" w:ascii="Times New Roman" w:hAnsi="Times New Roman" w:cs="Times New Roman"/>
          <w:color w:val="auto"/>
        </w:rPr>
        <w:t>关于印发清丰县畜禽养殖业禁养区限养区划分调整方案的通知</w:t>
      </w:r>
      <w:r>
        <w:rPr>
          <w:rFonts w:hint="default" w:ascii="Times New Roman" w:hAnsi="Times New Roman" w:cs="Times New Roman"/>
          <w:color w:val="auto"/>
          <w:kern w:val="0"/>
        </w:rPr>
        <w:t>》</w:t>
      </w:r>
      <w:r>
        <w:rPr>
          <w:rFonts w:hint="default" w:ascii="Times New Roman" w:hAnsi="Times New Roman" w:cs="Times New Roman"/>
          <w:color w:val="auto"/>
        </w:rPr>
        <w:t>（清政办〔2016〕50号）</w:t>
      </w:r>
      <w:r>
        <w:rPr>
          <w:rFonts w:hint="default" w:ascii="Times New Roman" w:hAnsi="Times New Roman" w:cs="Times New Roman"/>
          <w:color w:val="auto"/>
          <w:kern w:val="0"/>
        </w:rPr>
        <w:t>的选址要求，充分论证本项目场址选址的合理性及可行性。</w:t>
      </w:r>
    </w:p>
    <w:p>
      <w:pPr>
        <w:pStyle w:val="30"/>
        <w:rPr>
          <w:rFonts w:hint="default" w:ascii="Times New Roman" w:hAnsi="Times New Roman" w:cs="Times New Roman"/>
          <w:color w:val="auto"/>
        </w:rPr>
      </w:pPr>
      <w:bookmarkStart w:id="104" w:name="_Toc4238"/>
      <w:bookmarkStart w:id="105" w:name="_Toc10916"/>
      <w:r>
        <w:rPr>
          <w:rFonts w:hint="default" w:ascii="Times New Roman" w:hAnsi="Times New Roman" w:cs="Times New Roman"/>
          <w:color w:val="auto"/>
        </w:rPr>
        <w:t xml:space="preserve">1.6 </w:t>
      </w:r>
      <w:bookmarkStart w:id="106" w:name="_Toc477160785"/>
      <w:bookmarkStart w:id="107" w:name="_Toc485578879"/>
      <w:bookmarkStart w:id="108" w:name="_Toc476921780"/>
      <w:bookmarkStart w:id="109" w:name="_Toc477187200"/>
      <w:r>
        <w:rPr>
          <w:rFonts w:hint="default" w:ascii="Times New Roman" w:hAnsi="Times New Roman" w:cs="Times New Roman"/>
          <w:color w:val="auto"/>
        </w:rPr>
        <w:t>结论</w:t>
      </w:r>
      <w:bookmarkEnd w:id="104"/>
      <w:bookmarkEnd w:id="105"/>
      <w:bookmarkEnd w:id="106"/>
      <w:bookmarkEnd w:id="107"/>
      <w:bookmarkEnd w:id="108"/>
      <w:bookmarkEnd w:id="109"/>
    </w:p>
    <w:bookmarkEnd w:id="95"/>
    <w:bookmarkEnd w:id="96"/>
    <w:bookmarkEnd w:id="97"/>
    <w:p>
      <w:pPr>
        <w:widowControl/>
        <w:ind w:firstLine="480"/>
        <w:jc w:val="left"/>
        <w:rPr>
          <w:rFonts w:hint="default" w:ascii="Times New Roman" w:hAnsi="Times New Roman" w:cs="Times New Roman"/>
          <w:color w:val="auto"/>
          <w:kern w:val="0"/>
        </w:rPr>
      </w:pPr>
      <w:r>
        <w:rPr>
          <w:rFonts w:hint="default" w:ascii="Times New Roman" w:hAnsi="Times New Roman" w:cs="Times New Roman"/>
          <w:color w:val="auto"/>
          <w:kern w:val="0"/>
        </w:rPr>
        <w:t>（1）项目建设符合国家产业政策和环保政策；</w:t>
      </w:r>
    </w:p>
    <w:p>
      <w:pPr>
        <w:widowControl/>
        <w:ind w:firstLine="480"/>
        <w:jc w:val="left"/>
        <w:rPr>
          <w:rFonts w:hint="default" w:ascii="Times New Roman" w:hAnsi="Times New Roman" w:cs="Times New Roman"/>
          <w:color w:val="auto"/>
          <w:kern w:val="0"/>
        </w:rPr>
      </w:pPr>
      <w:r>
        <w:rPr>
          <w:rFonts w:hint="default" w:ascii="Times New Roman" w:hAnsi="Times New Roman" w:cs="Times New Roman"/>
          <w:color w:val="auto"/>
          <w:kern w:val="0"/>
        </w:rPr>
        <w:t>（</w:t>
      </w:r>
      <w:r>
        <w:rPr>
          <w:rFonts w:hint="default" w:ascii="Times New Roman" w:hAnsi="Times New Roman" w:cs="Times New Roman"/>
          <w:color w:val="auto"/>
          <w:kern w:val="0"/>
          <w:lang w:val="en-US" w:eastAsia="zh-CN"/>
        </w:rPr>
        <w:t>2</w:t>
      </w:r>
      <w:r>
        <w:rPr>
          <w:rFonts w:hint="default" w:ascii="Times New Roman" w:hAnsi="Times New Roman" w:cs="Times New Roman"/>
          <w:color w:val="auto"/>
          <w:kern w:val="0"/>
        </w:rPr>
        <w:t>）项目建设用地为规划的一般耕地，用地性质符合规划要求；</w:t>
      </w:r>
    </w:p>
    <w:p>
      <w:pPr>
        <w:widowControl/>
        <w:ind w:firstLine="480"/>
        <w:jc w:val="left"/>
        <w:rPr>
          <w:rFonts w:hint="default" w:ascii="Times New Roman" w:hAnsi="Times New Roman" w:cs="Times New Roman"/>
          <w:color w:val="auto"/>
          <w:kern w:val="0"/>
        </w:rPr>
      </w:pPr>
      <w:r>
        <w:rPr>
          <w:rFonts w:hint="default" w:ascii="Times New Roman" w:hAnsi="Times New Roman" w:cs="Times New Roman"/>
          <w:color w:val="auto"/>
          <w:kern w:val="0"/>
        </w:rPr>
        <w:t>（</w:t>
      </w:r>
      <w:r>
        <w:rPr>
          <w:rFonts w:hint="default" w:ascii="Times New Roman" w:hAnsi="Times New Roman" w:cs="Times New Roman"/>
          <w:color w:val="auto"/>
          <w:kern w:val="0"/>
          <w:lang w:val="en-US" w:eastAsia="zh-CN"/>
        </w:rPr>
        <w:t>3</w:t>
      </w:r>
      <w:r>
        <w:rPr>
          <w:rFonts w:hint="default" w:ascii="Times New Roman" w:hAnsi="Times New Roman" w:cs="Times New Roman"/>
          <w:color w:val="auto"/>
          <w:kern w:val="0"/>
        </w:rPr>
        <w:t>）项目拟选场址符合</w:t>
      </w:r>
      <w:r>
        <w:rPr>
          <w:rFonts w:hint="default" w:ascii="Times New Roman" w:hAnsi="Times New Roman" w:cs="Times New Roman"/>
          <w:color w:val="auto"/>
          <w:szCs w:val="20"/>
        </w:rPr>
        <w:t>《河南省畜牧业“十三五”发展规划》</w:t>
      </w:r>
      <w:r>
        <w:rPr>
          <w:rFonts w:hint="default" w:ascii="Times New Roman" w:hAnsi="Times New Roman" w:cs="Times New Roman"/>
          <w:color w:val="auto"/>
          <w:kern w:val="0"/>
        </w:rPr>
        <w:t>要求；</w:t>
      </w:r>
    </w:p>
    <w:p>
      <w:pPr>
        <w:widowControl/>
        <w:ind w:firstLine="480"/>
        <w:jc w:val="left"/>
        <w:rPr>
          <w:rFonts w:hint="default" w:ascii="Times New Roman" w:hAnsi="Times New Roman" w:cs="Times New Roman"/>
          <w:color w:val="auto"/>
          <w:kern w:val="0"/>
        </w:rPr>
      </w:pPr>
      <w:r>
        <w:rPr>
          <w:rFonts w:hint="default" w:ascii="Times New Roman" w:hAnsi="Times New Roman" w:cs="Times New Roman"/>
          <w:color w:val="auto"/>
          <w:kern w:val="0"/>
        </w:rPr>
        <w:t>（</w:t>
      </w:r>
      <w:r>
        <w:rPr>
          <w:rFonts w:hint="default" w:ascii="Times New Roman" w:hAnsi="Times New Roman" w:cs="Times New Roman"/>
          <w:color w:val="auto"/>
          <w:kern w:val="0"/>
          <w:lang w:val="en-US" w:eastAsia="zh-CN"/>
        </w:rPr>
        <w:t>4</w:t>
      </w:r>
      <w:r>
        <w:rPr>
          <w:rFonts w:hint="default" w:ascii="Times New Roman" w:hAnsi="Times New Roman" w:cs="Times New Roman"/>
          <w:color w:val="auto"/>
          <w:kern w:val="0"/>
        </w:rPr>
        <w:t>）项目距离当地饮用水水源距离较远，不会对其产生明显不利影响；</w:t>
      </w:r>
    </w:p>
    <w:p>
      <w:pPr>
        <w:widowControl/>
        <w:ind w:firstLine="480"/>
        <w:jc w:val="left"/>
        <w:rPr>
          <w:rFonts w:hint="default" w:ascii="Times New Roman" w:hAnsi="Times New Roman" w:cs="Times New Roman"/>
          <w:color w:val="auto"/>
          <w:kern w:val="0"/>
        </w:rPr>
      </w:pPr>
      <w:r>
        <w:rPr>
          <w:rFonts w:hint="default" w:ascii="Times New Roman" w:hAnsi="Times New Roman" w:cs="Times New Roman"/>
          <w:color w:val="auto"/>
          <w:kern w:val="0"/>
        </w:rPr>
        <w:t>（</w:t>
      </w:r>
      <w:r>
        <w:rPr>
          <w:rFonts w:hint="default" w:ascii="Times New Roman" w:hAnsi="Times New Roman" w:cs="Times New Roman"/>
          <w:color w:val="auto"/>
          <w:kern w:val="0"/>
          <w:lang w:val="en-US" w:eastAsia="zh-CN"/>
        </w:rPr>
        <w:t>5</w:t>
      </w:r>
      <w:r>
        <w:rPr>
          <w:rFonts w:hint="default" w:ascii="Times New Roman" w:hAnsi="Times New Roman" w:cs="Times New Roman"/>
          <w:color w:val="auto"/>
          <w:kern w:val="0"/>
        </w:rPr>
        <w:t>）从项目的生产工艺装备水平和资源、能源利用水平来分析，总体可达到清洁生产国内先进水平；</w:t>
      </w:r>
    </w:p>
    <w:p>
      <w:pPr>
        <w:widowControl/>
        <w:ind w:firstLine="480"/>
        <w:jc w:val="left"/>
        <w:rPr>
          <w:rFonts w:hint="default" w:ascii="Times New Roman" w:hAnsi="Times New Roman" w:cs="Times New Roman"/>
          <w:color w:val="auto"/>
          <w:kern w:val="0"/>
        </w:rPr>
      </w:pPr>
      <w:r>
        <w:rPr>
          <w:rFonts w:hint="default" w:ascii="Times New Roman" w:hAnsi="Times New Roman" w:cs="Times New Roman"/>
          <w:color w:val="auto"/>
          <w:kern w:val="0"/>
        </w:rPr>
        <w:t>（</w:t>
      </w:r>
      <w:r>
        <w:rPr>
          <w:rFonts w:hint="default" w:ascii="Times New Roman" w:hAnsi="Times New Roman" w:cs="Times New Roman"/>
          <w:color w:val="auto"/>
          <w:kern w:val="0"/>
          <w:lang w:val="en-US" w:eastAsia="zh-CN"/>
        </w:rPr>
        <w:t>6</w:t>
      </w:r>
      <w:r>
        <w:rPr>
          <w:rFonts w:hint="default" w:ascii="Times New Roman" w:hAnsi="Times New Roman" w:cs="Times New Roman"/>
          <w:color w:val="auto"/>
          <w:kern w:val="0"/>
        </w:rPr>
        <w:t>）项目过程控制和污染防治技术较完备，污染防治措施可行，在实施了可行性研究报告和本环评提出的污染治理措施后，各污染物均可以做到稳定、达标排放；</w:t>
      </w:r>
    </w:p>
    <w:p>
      <w:pPr>
        <w:widowControl/>
        <w:ind w:firstLine="480"/>
        <w:jc w:val="left"/>
        <w:rPr>
          <w:rFonts w:hint="default" w:ascii="Times New Roman" w:hAnsi="Times New Roman" w:cs="Times New Roman"/>
          <w:color w:val="auto"/>
          <w:kern w:val="0"/>
        </w:rPr>
      </w:pPr>
      <w:r>
        <w:rPr>
          <w:rFonts w:hint="default" w:ascii="Times New Roman" w:hAnsi="Times New Roman" w:cs="Times New Roman"/>
          <w:color w:val="auto"/>
          <w:kern w:val="0"/>
        </w:rPr>
        <w:t>（</w:t>
      </w:r>
      <w:r>
        <w:rPr>
          <w:rFonts w:hint="default" w:ascii="Times New Roman" w:hAnsi="Times New Roman" w:cs="Times New Roman"/>
          <w:color w:val="auto"/>
          <w:kern w:val="0"/>
          <w:lang w:val="en-US" w:eastAsia="zh-CN"/>
        </w:rPr>
        <w:t>7</w:t>
      </w:r>
      <w:r>
        <w:rPr>
          <w:rFonts w:hint="default" w:ascii="Times New Roman" w:hAnsi="Times New Roman" w:cs="Times New Roman"/>
          <w:color w:val="auto"/>
          <w:kern w:val="0"/>
        </w:rPr>
        <w:t>）项目对区域环境空气、地表水、地下水、声环境和土壤环境的影响可以接受，因突发事故引起的环境风险在可接受范围内；</w:t>
      </w:r>
    </w:p>
    <w:p>
      <w:pPr>
        <w:widowControl/>
        <w:ind w:firstLine="480"/>
        <w:jc w:val="left"/>
        <w:rPr>
          <w:rFonts w:hint="default" w:ascii="Times New Roman" w:hAnsi="Times New Roman" w:cs="Times New Roman"/>
          <w:color w:val="auto"/>
          <w:kern w:val="0"/>
        </w:rPr>
      </w:pPr>
      <w:r>
        <w:rPr>
          <w:rFonts w:hint="default" w:ascii="Times New Roman" w:hAnsi="Times New Roman" w:cs="Times New Roman"/>
          <w:color w:val="auto"/>
          <w:kern w:val="0"/>
        </w:rPr>
        <w:t>（</w:t>
      </w:r>
      <w:r>
        <w:rPr>
          <w:rFonts w:hint="default" w:ascii="Times New Roman" w:hAnsi="Times New Roman" w:cs="Times New Roman"/>
          <w:color w:val="auto"/>
          <w:kern w:val="0"/>
          <w:lang w:val="en-US" w:eastAsia="zh-CN"/>
        </w:rPr>
        <w:t>8</w:t>
      </w:r>
      <w:r>
        <w:rPr>
          <w:rFonts w:hint="default" w:ascii="Times New Roman" w:hAnsi="Times New Roman" w:cs="Times New Roman"/>
          <w:color w:val="auto"/>
          <w:kern w:val="0"/>
        </w:rPr>
        <w:t>）项目环境防护距离为500m，环境防护距离内没有居住区、基本农田保护区等环境敏感点；</w:t>
      </w:r>
    </w:p>
    <w:p>
      <w:pPr>
        <w:widowControl/>
        <w:ind w:firstLine="480"/>
        <w:jc w:val="left"/>
        <w:rPr>
          <w:rFonts w:hint="default" w:ascii="Times New Roman" w:hAnsi="Times New Roman" w:cs="Times New Roman"/>
          <w:color w:val="auto"/>
          <w:kern w:val="0"/>
        </w:rPr>
      </w:pPr>
      <w:r>
        <w:rPr>
          <w:rFonts w:hint="default" w:ascii="Times New Roman" w:hAnsi="Times New Roman" w:cs="Times New Roman"/>
          <w:color w:val="auto"/>
          <w:kern w:val="0"/>
        </w:rPr>
        <w:t>（</w:t>
      </w:r>
      <w:r>
        <w:rPr>
          <w:rFonts w:hint="default" w:ascii="Times New Roman" w:hAnsi="Times New Roman" w:cs="Times New Roman"/>
          <w:color w:val="auto"/>
          <w:kern w:val="0"/>
          <w:lang w:val="en-US" w:eastAsia="zh-CN"/>
        </w:rPr>
        <w:t>9</w:t>
      </w:r>
      <w:r>
        <w:rPr>
          <w:rFonts w:hint="default" w:ascii="Times New Roman" w:hAnsi="Times New Roman" w:cs="Times New Roman"/>
          <w:color w:val="auto"/>
          <w:kern w:val="0"/>
        </w:rPr>
        <w:t>）当地政府承诺不在该项目卫生防护距离内布置新的环境敏感点。</w:t>
      </w:r>
    </w:p>
    <w:p>
      <w:pPr>
        <w:widowControl/>
        <w:ind w:firstLine="480"/>
        <w:jc w:val="left"/>
        <w:rPr>
          <w:rFonts w:hint="default" w:ascii="Times New Roman" w:hAnsi="Times New Roman" w:cs="Times New Roman"/>
          <w:color w:val="auto"/>
          <w:kern w:val="0"/>
        </w:rPr>
      </w:pPr>
    </w:p>
    <w:p>
      <w:pPr>
        <w:widowControl/>
        <w:ind w:firstLine="482"/>
        <w:jc w:val="left"/>
        <w:rPr>
          <w:rFonts w:hint="default" w:ascii="Times New Roman" w:hAnsi="Times New Roman" w:cs="Times New Roman"/>
          <w:b/>
          <w:color w:val="auto"/>
          <w:kern w:val="0"/>
        </w:rPr>
      </w:pPr>
      <w:r>
        <w:rPr>
          <w:rFonts w:hint="default" w:ascii="Times New Roman" w:hAnsi="Times New Roman" w:cs="Times New Roman"/>
          <w:b/>
          <w:color w:val="auto"/>
          <w:kern w:val="0"/>
        </w:rPr>
        <w:t>综上所述，牧原食品股份有限公司清丰一场生猪养殖项目在认真执行“三同时”制度，落实评价提出的污染物防治措施及建议的前提下，从环保的角度考虑，该项目的建设可行。</w:t>
      </w:r>
    </w:p>
    <w:p>
      <w:pPr>
        <w:pStyle w:val="4"/>
        <w:spacing w:before="100" w:beforeAutospacing="1" w:after="100" w:afterAutospacing="1"/>
        <w:ind w:firstLine="0" w:firstLineChars="0"/>
        <w:jc w:val="center"/>
        <w:rPr>
          <w:rFonts w:hint="default" w:ascii="Times New Roman" w:hAnsi="Times New Roman" w:cs="Times New Roman"/>
          <w:bCs w:val="0"/>
          <w:color w:val="auto"/>
          <w:sz w:val="44"/>
          <w:szCs w:val="44"/>
        </w:rPr>
        <w:sectPr>
          <w:headerReference r:id="rId5" w:type="default"/>
          <w:footerReference r:id="rId6" w:type="default"/>
          <w:pgSz w:w="11906" w:h="16838"/>
          <w:pgMar w:top="1587" w:right="1587" w:bottom="1587" w:left="1587" w:header="851" w:footer="992" w:gutter="0"/>
          <w:pgBorders>
            <w:top w:val="none" w:sz="0" w:space="0"/>
            <w:left w:val="none" w:sz="0" w:space="0"/>
            <w:bottom w:val="none" w:sz="0" w:space="0"/>
            <w:right w:val="none" w:sz="0" w:space="0"/>
          </w:pgBorders>
          <w:pgNumType w:start="1"/>
          <w:cols w:space="720" w:num="1"/>
          <w:docGrid w:linePitch="312" w:charSpace="0"/>
        </w:sectPr>
      </w:pPr>
      <w:bookmarkStart w:id="110" w:name="_Toc441490820"/>
      <w:bookmarkStart w:id="111" w:name="_Toc19539"/>
      <w:bookmarkStart w:id="112" w:name="_Toc15624"/>
      <w:bookmarkStart w:id="113" w:name="_Toc413827922"/>
      <w:bookmarkStart w:id="114" w:name="_Toc345417232"/>
    </w:p>
    <w:p>
      <w:pPr>
        <w:pStyle w:val="4"/>
        <w:spacing w:before="100" w:beforeAutospacing="1" w:after="100" w:afterAutospacing="1"/>
        <w:ind w:firstLine="0" w:firstLineChars="0"/>
        <w:jc w:val="center"/>
        <w:rPr>
          <w:rFonts w:hint="default" w:ascii="Times New Roman" w:hAnsi="Times New Roman" w:cs="Times New Roman"/>
          <w:bCs w:val="0"/>
          <w:color w:val="auto"/>
          <w:sz w:val="44"/>
          <w:szCs w:val="44"/>
        </w:rPr>
      </w:pPr>
      <w:r>
        <w:rPr>
          <w:rFonts w:hint="default" w:ascii="Times New Roman" w:hAnsi="Times New Roman" w:cs="Times New Roman"/>
          <w:bCs w:val="0"/>
          <w:color w:val="auto"/>
          <w:sz w:val="44"/>
          <w:szCs w:val="44"/>
        </w:rPr>
        <w:t>第二章  总论</w:t>
      </w:r>
      <w:bookmarkEnd w:id="110"/>
      <w:bookmarkEnd w:id="111"/>
      <w:bookmarkEnd w:id="112"/>
      <w:bookmarkEnd w:id="113"/>
    </w:p>
    <w:bookmarkEnd w:id="114"/>
    <w:p>
      <w:pPr>
        <w:pStyle w:val="30"/>
        <w:rPr>
          <w:rFonts w:hint="default" w:ascii="Times New Roman" w:hAnsi="Times New Roman" w:cs="Times New Roman"/>
          <w:color w:val="auto"/>
        </w:rPr>
      </w:pPr>
      <w:bookmarkStart w:id="115" w:name="_Toc402441857"/>
      <w:bookmarkStart w:id="116" w:name="_Toc413827924"/>
      <w:bookmarkStart w:id="117" w:name="_Toc441490822"/>
      <w:bookmarkStart w:id="118" w:name="_Toc23057"/>
      <w:bookmarkStart w:id="119" w:name="_Toc18132"/>
      <w:r>
        <w:rPr>
          <w:rFonts w:hint="default" w:ascii="Times New Roman" w:hAnsi="Times New Roman" w:cs="Times New Roman"/>
          <w:color w:val="auto"/>
        </w:rPr>
        <w:t>2.1 编制依据</w:t>
      </w:r>
      <w:bookmarkEnd w:id="115"/>
      <w:bookmarkEnd w:id="116"/>
      <w:bookmarkEnd w:id="117"/>
      <w:bookmarkEnd w:id="118"/>
      <w:bookmarkEnd w:id="119"/>
    </w:p>
    <w:p>
      <w:pPr>
        <w:pStyle w:val="5"/>
        <w:rPr>
          <w:rFonts w:hint="default" w:ascii="Times New Roman" w:hAnsi="Times New Roman" w:cs="Times New Roman"/>
          <w:color w:val="auto"/>
        </w:rPr>
      </w:pPr>
      <w:bookmarkStart w:id="120" w:name="_Toc363720523"/>
      <w:bookmarkStart w:id="121" w:name="_Toc345417234"/>
      <w:bookmarkStart w:id="122" w:name="_Toc278310142"/>
      <w:bookmarkStart w:id="123" w:name="_Toc275448951"/>
      <w:bookmarkStart w:id="124" w:name="_Toc275449582"/>
      <w:bookmarkStart w:id="125" w:name="_Toc275796840"/>
      <w:bookmarkStart w:id="126" w:name="_Toc328371590"/>
      <w:bookmarkStart w:id="127" w:name="_Toc275796677"/>
      <w:r>
        <w:rPr>
          <w:rFonts w:hint="default" w:ascii="Times New Roman" w:hAnsi="Times New Roman" w:cs="Times New Roman"/>
          <w:color w:val="auto"/>
        </w:rPr>
        <w:t>2.1.1法律</w:t>
      </w:r>
      <w:bookmarkEnd w:id="120"/>
      <w:r>
        <w:rPr>
          <w:rFonts w:hint="default" w:ascii="Times New Roman" w:hAnsi="Times New Roman" w:cs="Times New Roman"/>
          <w:color w:val="auto"/>
        </w:rPr>
        <w:t>法规、政策</w:t>
      </w:r>
    </w:p>
    <w:p>
      <w:pPr>
        <w:tabs>
          <w:tab w:val="left" w:pos="114"/>
        </w:tabs>
        <w:ind w:firstLine="480"/>
        <w:rPr>
          <w:rFonts w:hint="default" w:ascii="Times New Roman" w:hAnsi="Times New Roman" w:cs="Times New Roman"/>
          <w:color w:val="auto"/>
        </w:rPr>
      </w:pPr>
      <w:r>
        <w:rPr>
          <w:rFonts w:hint="default" w:ascii="Times New Roman" w:hAnsi="Times New Roman" w:cs="Times New Roman"/>
          <w:color w:val="auto"/>
        </w:rPr>
        <w:t>（1）《中华人民共和国环境保护法》（2015年1月1日）；</w:t>
      </w:r>
    </w:p>
    <w:p>
      <w:pPr>
        <w:tabs>
          <w:tab w:val="left" w:pos="114"/>
        </w:tabs>
        <w:ind w:firstLine="480"/>
        <w:rPr>
          <w:rFonts w:hint="default" w:ascii="Times New Roman" w:hAnsi="Times New Roman" w:cs="Times New Roman"/>
          <w:color w:val="auto"/>
        </w:rPr>
      </w:pPr>
      <w:r>
        <w:rPr>
          <w:rFonts w:hint="default" w:ascii="Times New Roman" w:hAnsi="Times New Roman" w:cs="Times New Roman"/>
          <w:color w:val="auto"/>
        </w:rPr>
        <w:t>（2）《中华人民共和国环境影响评价法》（2003年9月1日，2016年修正）；</w:t>
      </w:r>
    </w:p>
    <w:p>
      <w:pPr>
        <w:tabs>
          <w:tab w:val="left" w:pos="114"/>
        </w:tabs>
        <w:ind w:firstLine="480"/>
        <w:rPr>
          <w:rFonts w:hint="default" w:ascii="Times New Roman" w:hAnsi="Times New Roman" w:cs="Times New Roman"/>
          <w:color w:val="auto"/>
        </w:rPr>
      </w:pPr>
      <w:r>
        <w:rPr>
          <w:rFonts w:hint="default" w:ascii="Times New Roman" w:hAnsi="Times New Roman" w:cs="Times New Roman"/>
          <w:color w:val="auto"/>
        </w:rPr>
        <w:t>（3）《建设项目环境保护管理条例》（国务院令第682号，2017年10月1日）；</w:t>
      </w:r>
    </w:p>
    <w:p>
      <w:pPr>
        <w:tabs>
          <w:tab w:val="left" w:pos="114"/>
        </w:tabs>
        <w:ind w:firstLine="480"/>
        <w:rPr>
          <w:rFonts w:hint="default" w:ascii="Times New Roman" w:hAnsi="Times New Roman" w:cs="Times New Roman"/>
          <w:color w:val="auto"/>
        </w:rPr>
      </w:pPr>
      <w:r>
        <w:rPr>
          <w:rFonts w:hint="default" w:ascii="Times New Roman" w:hAnsi="Times New Roman" w:cs="Times New Roman"/>
          <w:color w:val="auto"/>
        </w:rPr>
        <w:t>（4）《中华人民共和国水污染防治法》（2017年修订，2018年1月1日）；</w:t>
      </w:r>
    </w:p>
    <w:p>
      <w:pPr>
        <w:tabs>
          <w:tab w:val="left" w:pos="114"/>
        </w:tabs>
        <w:ind w:firstLine="480"/>
        <w:rPr>
          <w:rFonts w:hint="default" w:ascii="Times New Roman" w:hAnsi="Times New Roman" w:cs="Times New Roman"/>
          <w:color w:val="auto"/>
        </w:rPr>
      </w:pPr>
      <w:r>
        <w:rPr>
          <w:rFonts w:hint="default" w:ascii="Times New Roman" w:hAnsi="Times New Roman" w:cs="Times New Roman"/>
          <w:color w:val="auto"/>
        </w:rPr>
        <w:t>（5）《中华人民共和国大气污染防治法》（2015年8月29日修订）；</w:t>
      </w:r>
    </w:p>
    <w:p>
      <w:pPr>
        <w:tabs>
          <w:tab w:val="left" w:pos="114"/>
        </w:tabs>
        <w:ind w:firstLine="480"/>
        <w:rPr>
          <w:rFonts w:hint="default" w:ascii="Times New Roman" w:hAnsi="Times New Roman" w:cs="Times New Roman"/>
          <w:color w:val="auto"/>
        </w:rPr>
      </w:pPr>
      <w:r>
        <w:rPr>
          <w:rFonts w:hint="default" w:ascii="Times New Roman" w:hAnsi="Times New Roman" w:cs="Times New Roman"/>
          <w:color w:val="auto"/>
        </w:rPr>
        <w:t>（6）《中华人民共和国环境噪声污染防治法》（2018年修订版）；</w:t>
      </w:r>
    </w:p>
    <w:p>
      <w:pPr>
        <w:tabs>
          <w:tab w:val="left" w:pos="114"/>
        </w:tabs>
        <w:ind w:firstLine="480"/>
        <w:rPr>
          <w:rFonts w:hint="default" w:ascii="Times New Roman" w:hAnsi="Times New Roman" w:cs="Times New Roman"/>
          <w:color w:val="auto"/>
        </w:rPr>
      </w:pPr>
      <w:r>
        <w:rPr>
          <w:rFonts w:hint="default" w:ascii="Times New Roman" w:hAnsi="Times New Roman" w:cs="Times New Roman"/>
          <w:color w:val="auto"/>
        </w:rPr>
        <w:t>（7）《中华人民共和国固体废物污染环境防治法》（2016年11月7日修订）；</w:t>
      </w:r>
    </w:p>
    <w:p>
      <w:pPr>
        <w:tabs>
          <w:tab w:val="left" w:pos="114"/>
        </w:tabs>
        <w:ind w:firstLine="480"/>
        <w:rPr>
          <w:rFonts w:hint="default" w:ascii="Times New Roman" w:hAnsi="Times New Roman" w:cs="Times New Roman"/>
          <w:color w:val="auto"/>
        </w:rPr>
      </w:pPr>
      <w:r>
        <w:rPr>
          <w:rFonts w:hint="default" w:ascii="Times New Roman" w:hAnsi="Times New Roman" w:cs="Times New Roman"/>
          <w:color w:val="auto"/>
        </w:rPr>
        <w:t>（8）《中华人民共和国土地管理法》（2004年8月28日）；</w:t>
      </w:r>
    </w:p>
    <w:p>
      <w:pPr>
        <w:tabs>
          <w:tab w:val="left" w:pos="114"/>
        </w:tabs>
        <w:ind w:firstLine="480"/>
        <w:rPr>
          <w:rFonts w:hint="default" w:ascii="Times New Roman" w:hAnsi="Times New Roman" w:cs="Times New Roman"/>
          <w:color w:val="auto"/>
        </w:rPr>
      </w:pPr>
      <w:r>
        <w:rPr>
          <w:rFonts w:hint="default" w:ascii="Times New Roman" w:hAnsi="Times New Roman" w:cs="Times New Roman"/>
          <w:color w:val="auto"/>
        </w:rPr>
        <w:t>（9）《中华人民共和国动物防疫法》（2008年1月1日）；</w:t>
      </w:r>
    </w:p>
    <w:p>
      <w:pPr>
        <w:tabs>
          <w:tab w:val="left" w:pos="114"/>
        </w:tabs>
        <w:ind w:firstLine="480"/>
        <w:rPr>
          <w:rFonts w:hint="default" w:ascii="Times New Roman" w:hAnsi="Times New Roman" w:cs="Times New Roman"/>
          <w:color w:val="auto"/>
        </w:rPr>
      </w:pPr>
      <w:r>
        <w:rPr>
          <w:rFonts w:hint="default" w:ascii="Times New Roman" w:hAnsi="Times New Roman" w:cs="Times New Roman"/>
          <w:color w:val="auto"/>
        </w:rPr>
        <w:t>（10）《畜禽规模养殖污染防治条例》（中华人民共和国国务院令第643号）；</w:t>
      </w:r>
    </w:p>
    <w:p>
      <w:pPr>
        <w:tabs>
          <w:tab w:val="left" w:pos="114"/>
        </w:tabs>
        <w:ind w:firstLine="480"/>
        <w:rPr>
          <w:rFonts w:hint="default" w:ascii="Times New Roman" w:hAnsi="Times New Roman" w:cs="Times New Roman"/>
          <w:color w:val="auto"/>
        </w:rPr>
      </w:pPr>
      <w:r>
        <w:rPr>
          <w:rFonts w:hint="default" w:ascii="Times New Roman" w:hAnsi="Times New Roman" w:cs="Times New Roman"/>
          <w:color w:val="auto"/>
        </w:rPr>
        <w:t>（11）《基本农田保护条例》（国务院令第257号，1998年12月27日）；</w:t>
      </w:r>
    </w:p>
    <w:p>
      <w:pPr>
        <w:tabs>
          <w:tab w:val="left" w:pos="114"/>
        </w:tabs>
        <w:ind w:firstLine="480"/>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val="en-US" w:eastAsia="zh-CN"/>
        </w:rPr>
        <w:t>2</w:t>
      </w:r>
      <w:r>
        <w:rPr>
          <w:rFonts w:hint="default" w:ascii="Times New Roman" w:hAnsi="Times New Roman" w:cs="Times New Roman"/>
          <w:color w:val="auto"/>
        </w:rPr>
        <w:t>）《建设项目环境影响评价分类管理名录》（中华人民共和国环境保护部令第44号）（2018年4月28日修订）；</w:t>
      </w:r>
    </w:p>
    <w:p>
      <w:pPr>
        <w:tabs>
          <w:tab w:val="left" w:pos="114"/>
        </w:tabs>
        <w:ind w:firstLine="480"/>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val="en-US" w:eastAsia="zh-CN"/>
        </w:rPr>
        <w:t>3</w:t>
      </w:r>
      <w:r>
        <w:rPr>
          <w:rFonts w:hint="default" w:ascii="Times New Roman" w:hAnsi="Times New Roman" w:cs="Times New Roman"/>
          <w:color w:val="auto"/>
        </w:rPr>
        <w:t>）《环境影响评价公众参与办法》（生态环境部令第4号，2019年1月1日起实施）；</w:t>
      </w:r>
    </w:p>
    <w:p>
      <w:pPr>
        <w:ind w:firstLine="480"/>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val="en-US" w:eastAsia="zh-CN"/>
        </w:rPr>
        <w:t>4</w:t>
      </w:r>
      <w:r>
        <w:rPr>
          <w:rFonts w:hint="default" w:ascii="Times New Roman" w:hAnsi="Times New Roman" w:cs="Times New Roman"/>
          <w:color w:val="auto"/>
        </w:rPr>
        <w:t>）《畜禽规模养殖污染防治条例》（中华人民共和国国务院令第643号）；</w:t>
      </w:r>
    </w:p>
    <w:p>
      <w:pPr>
        <w:ind w:firstLine="480"/>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val="en-US" w:eastAsia="zh-CN"/>
        </w:rPr>
        <w:t>5</w:t>
      </w:r>
      <w:r>
        <w:rPr>
          <w:rFonts w:hint="default" w:ascii="Times New Roman" w:hAnsi="Times New Roman" w:cs="Times New Roman"/>
          <w:color w:val="auto"/>
        </w:rPr>
        <w:t>）《“十三五”生态环境保护规划》（国发〔2016〕65号，2016年11月24日）；</w:t>
      </w:r>
    </w:p>
    <w:p>
      <w:pPr>
        <w:ind w:firstLine="480"/>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val="en-US" w:eastAsia="zh-CN"/>
        </w:rPr>
        <w:t>6</w:t>
      </w:r>
      <w:r>
        <w:rPr>
          <w:rFonts w:hint="default" w:ascii="Times New Roman" w:hAnsi="Times New Roman" w:cs="Times New Roman"/>
          <w:color w:val="auto"/>
        </w:rPr>
        <w:t>）《河南省“十三五”生态环境保护规划》（豫政办〔2017〕77号，2017年6月30日）；</w:t>
      </w:r>
    </w:p>
    <w:p>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17</w:t>
      </w:r>
      <w:r>
        <w:rPr>
          <w:rFonts w:hint="default" w:ascii="Times New Roman" w:hAnsi="Times New Roman" w:cs="Times New Roman"/>
          <w:color w:val="auto"/>
        </w:rPr>
        <w:t>）《关于进一步加强环境影响评价管理防范环境风险的通知》（环发〔2012〕77号）；</w:t>
      </w:r>
    </w:p>
    <w:p>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18</w:t>
      </w:r>
      <w:r>
        <w:rPr>
          <w:rFonts w:hint="default" w:ascii="Times New Roman" w:hAnsi="Times New Roman" w:cs="Times New Roman"/>
          <w:color w:val="auto"/>
        </w:rPr>
        <w:t>）《关于切实加强风险防范严格环境影响评价管理的通知》（环发〔2012〕98号）；</w:t>
      </w:r>
    </w:p>
    <w:p>
      <w:pPr>
        <w:tabs>
          <w:tab w:val="left" w:pos="114"/>
        </w:tabs>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19</w:t>
      </w:r>
      <w:r>
        <w:rPr>
          <w:rFonts w:hint="default" w:ascii="Times New Roman" w:hAnsi="Times New Roman" w:cs="Times New Roman"/>
          <w:color w:val="auto"/>
        </w:rPr>
        <w:t>）《农业部关于加快推进畜禽标准化规模养殖的意见》（农牧发〔2010〕6号）；</w:t>
      </w:r>
    </w:p>
    <w:p>
      <w:pPr>
        <w:tabs>
          <w:tab w:val="left" w:pos="114"/>
        </w:tabs>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20</w:t>
      </w:r>
      <w:r>
        <w:rPr>
          <w:rFonts w:hint="default" w:ascii="Times New Roman" w:hAnsi="Times New Roman" w:cs="Times New Roman"/>
          <w:color w:val="auto"/>
        </w:rPr>
        <w:t>）《河南省环保厅省农业厅省畜牧局关于印发2014年河南省畜禽养殖主要污染物总量减排实施方案的通知》（豫环文〔2014〕111号）；</w:t>
      </w:r>
    </w:p>
    <w:p>
      <w:pPr>
        <w:tabs>
          <w:tab w:val="left" w:pos="114"/>
        </w:tabs>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21</w:t>
      </w:r>
      <w:r>
        <w:rPr>
          <w:rFonts w:hint="default" w:ascii="Times New Roman" w:hAnsi="Times New Roman" w:cs="Times New Roman"/>
          <w:color w:val="auto"/>
        </w:rPr>
        <w:t>）河南省环保厅《畜禽养殖业污染源总量减排技术指导意见（试行）》（（豫环文〔2012〕99号）；</w:t>
      </w:r>
    </w:p>
    <w:p>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22</w:t>
      </w:r>
      <w:r>
        <w:rPr>
          <w:rFonts w:hint="default" w:ascii="Times New Roman" w:hAnsi="Times New Roman" w:cs="Times New Roman"/>
          <w:color w:val="auto"/>
        </w:rPr>
        <w:t>）清丰县人民政府出具的《关于印发清丰县畜禽养殖业禁养区限养区划分调整方案的通知》（清政办〔2016〕50号）</w:t>
      </w:r>
    </w:p>
    <w:p>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23</w:t>
      </w:r>
      <w:r>
        <w:rPr>
          <w:rFonts w:hint="default" w:ascii="Times New Roman" w:hAnsi="Times New Roman" w:cs="Times New Roman"/>
          <w:color w:val="auto"/>
        </w:rPr>
        <w:t>）《濮阳市2019年大气污染防治攻坚战实施方案》（濮环攻坚办〔2019〕82号）</w:t>
      </w:r>
    </w:p>
    <w:p>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24</w:t>
      </w:r>
      <w:r>
        <w:rPr>
          <w:rFonts w:hint="default" w:ascii="Times New Roman" w:hAnsi="Times New Roman" w:cs="Times New Roman"/>
          <w:color w:val="auto"/>
        </w:rPr>
        <w:t>）《关于印发畜禽养殖业污染源总量减排技术指导意见（试行）的通知》（豫环文[2012]99号）；</w:t>
      </w:r>
    </w:p>
    <w:p>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25</w:t>
      </w:r>
      <w:r>
        <w:rPr>
          <w:rFonts w:hint="default" w:ascii="Times New Roman" w:hAnsi="Times New Roman" w:cs="Times New Roman"/>
          <w:color w:val="auto"/>
        </w:rPr>
        <w:t>）《河南省人民政府办公厅关于印发河南省城市集中式饮用水源保护区划的通知》（豫政办[2007]125号）；</w:t>
      </w:r>
    </w:p>
    <w:p>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26</w:t>
      </w:r>
      <w:r>
        <w:rPr>
          <w:rFonts w:hint="default" w:ascii="Times New Roman" w:hAnsi="Times New Roman" w:cs="Times New Roman"/>
          <w:color w:val="auto"/>
        </w:rPr>
        <w:t>）《河南省人民政府办公厅关于印发河南省县级集中式饮用水水源保护区划的通知》（豫政办[2013]107号）；</w:t>
      </w:r>
    </w:p>
    <w:p>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27</w:t>
      </w:r>
      <w:r>
        <w:rPr>
          <w:rFonts w:hint="default" w:ascii="Times New Roman" w:hAnsi="Times New Roman" w:cs="Times New Roman"/>
          <w:color w:val="auto"/>
        </w:rPr>
        <w:t>）《河南省人民政府办公厅关于印发河南省乡镇集中式饮用水水源保护区划的通知》（豫政办[2016]23号）；</w:t>
      </w:r>
    </w:p>
    <w:p>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28</w:t>
      </w:r>
      <w:r>
        <w:rPr>
          <w:rFonts w:hint="default" w:ascii="Times New Roman" w:hAnsi="Times New Roman" w:cs="Times New Roman"/>
          <w:color w:val="auto"/>
        </w:rPr>
        <w:t>）《河南省人民政府关于印发河南省大气污染防治攻坚战8个专项实施方案的通知》（豫环攻坚办[2018]24号）；</w:t>
      </w:r>
    </w:p>
    <w:p>
      <w:pPr>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29</w:t>
      </w:r>
      <w:r>
        <w:rPr>
          <w:rFonts w:hint="default" w:ascii="Times New Roman" w:hAnsi="Times New Roman" w:cs="Times New Roman"/>
          <w:color w:val="auto"/>
        </w:rPr>
        <w:t>）《濮阳市人民政府关于印发濮阳市碧水工程行动计划工作方案的通知》（濮政[2016]11号）；</w:t>
      </w:r>
    </w:p>
    <w:p>
      <w:pPr>
        <w:pStyle w:val="5"/>
        <w:rPr>
          <w:rFonts w:hint="default" w:ascii="Times New Roman" w:hAnsi="Times New Roman" w:cs="Times New Roman"/>
          <w:color w:val="auto"/>
        </w:rPr>
      </w:pPr>
      <w:bookmarkStart w:id="128" w:name="_Toc363720524"/>
      <w:r>
        <w:rPr>
          <w:rFonts w:hint="default" w:ascii="Times New Roman" w:hAnsi="Times New Roman" w:cs="Times New Roman"/>
          <w:color w:val="auto"/>
        </w:rPr>
        <w:t>2.1.2</w:t>
      </w:r>
      <w:bookmarkEnd w:id="128"/>
      <w:r>
        <w:rPr>
          <w:rFonts w:hint="default" w:ascii="Times New Roman" w:hAnsi="Times New Roman" w:cs="Times New Roman"/>
          <w:color w:val="auto"/>
        </w:rPr>
        <w:t>技术依据</w:t>
      </w:r>
    </w:p>
    <w:p>
      <w:pPr>
        <w:ind w:firstLine="480"/>
        <w:rPr>
          <w:rFonts w:hint="default" w:ascii="Times New Roman" w:hAnsi="Times New Roman" w:cs="Times New Roman"/>
          <w:color w:val="auto"/>
        </w:rPr>
      </w:pPr>
      <w:r>
        <w:rPr>
          <w:rFonts w:hint="default" w:ascii="Times New Roman" w:hAnsi="Times New Roman" w:cs="Times New Roman"/>
          <w:color w:val="auto"/>
        </w:rPr>
        <w:t>（1）《环境影响评价技术导则—总纲》（HJ 2.1-2016）；</w:t>
      </w:r>
    </w:p>
    <w:bookmarkEnd w:id="121"/>
    <w:bookmarkEnd w:id="122"/>
    <w:bookmarkEnd w:id="123"/>
    <w:bookmarkEnd w:id="124"/>
    <w:bookmarkEnd w:id="125"/>
    <w:bookmarkEnd w:id="126"/>
    <w:bookmarkEnd w:id="127"/>
    <w:p>
      <w:pPr>
        <w:ind w:firstLine="480"/>
        <w:rPr>
          <w:rFonts w:hint="default" w:ascii="Times New Roman" w:hAnsi="Times New Roman" w:cs="Times New Roman"/>
          <w:color w:val="auto"/>
        </w:rPr>
      </w:pPr>
      <w:r>
        <w:rPr>
          <w:rFonts w:hint="default" w:ascii="Times New Roman" w:hAnsi="Times New Roman" w:cs="Times New Roman"/>
          <w:color w:val="auto"/>
        </w:rPr>
        <w:t>（2）《环境影响评价技术导则—大气环境》（HJ 2.2-2018）；</w:t>
      </w:r>
    </w:p>
    <w:p>
      <w:pPr>
        <w:ind w:firstLine="480"/>
        <w:rPr>
          <w:rFonts w:hint="default" w:ascii="Times New Roman" w:hAnsi="Times New Roman" w:cs="Times New Roman"/>
          <w:color w:val="auto"/>
        </w:rPr>
      </w:pPr>
      <w:r>
        <w:rPr>
          <w:rFonts w:hint="default" w:ascii="Times New Roman" w:hAnsi="Times New Roman" w:cs="Times New Roman"/>
          <w:color w:val="auto"/>
        </w:rPr>
        <w:t>（3）《环境影响评价技术导则—地表水环境》（HJ 2.3-2018）；</w:t>
      </w:r>
    </w:p>
    <w:p>
      <w:pPr>
        <w:ind w:firstLine="480"/>
        <w:rPr>
          <w:rFonts w:hint="default" w:ascii="Times New Roman" w:hAnsi="Times New Roman" w:cs="Times New Roman"/>
          <w:color w:val="auto"/>
        </w:rPr>
      </w:pPr>
      <w:r>
        <w:rPr>
          <w:rFonts w:hint="default" w:ascii="Times New Roman" w:hAnsi="Times New Roman" w:cs="Times New Roman"/>
          <w:color w:val="auto"/>
        </w:rPr>
        <w:t>（4）《环境影响评价技术导则—声环境》（HJ 2.4-2009）；</w:t>
      </w:r>
    </w:p>
    <w:p>
      <w:pPr>
        <w:ind w:firstLine="480"/>
        <w:rPr>
          <w:rFonts w:hint="default" w:ascii="Times New Roman" w:hAnsi="Times New Roman" w:cs="Times New Roman"/>
          <w:color w:val="auto"/>
        </w:rPr>
      </w:pPr>
      <w:r>
        <w:rPr>
          <w:rFonts w:hint="default" w:ascii="Times New Roman" w:hAnsi="Times New Roman" w:cs="Times New Roman"/>
          <w:color w:val="auto"/>
        </w:rPr>
        <w:t>（5）《环境影响评价技术导则—地下水环境》（HJ 610-2016）；</w:t>
      </w:r>
    </w:p>
    <w:p>
      <w:pPr>
        <w:ind w:firstLine="480"/>
        <w:rPr>
          <w:rFonts w:hint="default" w:ascii="Times New Roman" w:hAnsi="Times New Roman" w:cs="Times New Roman"/>
          <w:color w:val="auto"/>
        </w:rPr>
      </w:pPr>
      <w:r>
        <w:rPr>
          <w:rFonts w:hint="default" w:ascii="Times New Roman" w:hAnsi="Times New Roman" w:cs="Times New Roman"/>
          <w:color w:val="auto"/>
        </w:rPr>
        <w:t>（6）《环境影响评价技术导则—生态影响》（HJ 19-2011）；</w:t>
      </w:r>
    </w:p>
    <w:p>
      <w:pPr>
        <w:ind w:firstLine="480"/>
        <w:rPr>
          <w:rFonts w:hint="default" w:ascii="Times New Roman" w:hAnsi="Times New Roman" w:cs="Times New Roman"/>
          <w:color w:val="auto"/>
        </w:rPr>
      </w:pPr>
      <w:r>
        <w:rPr>
          <w:rFonts w:hint="default" w:ascii="Times New Roman" w:hAnsi="Times New Roman" w:cs="Times New Roman"/>
          <w:color w:val="auto"/>
        </w:rPr>
        <w:t>（7）《建设项目环境风险评价技术导则》（HJ 169-2018）；</w:t>
      </w:r>
    </w:p>
    <w:p>
      <w:pPr>
        <w:ind w:firstLine="480"/>
        <w:rPr>
          <w:rFonts w:hint="default" w:ascii="Times New Roman" w:hAnsi="Times New Roman" w:cs="Times New Roman"/>
          <w:color w:val="auto"/>
        </w:rPr>
      </w:pPr>
      <w:r>
        <w:rPr>
          <w:rFonts w:hint="default" w:ascii="Times New Roman" w:hAnsi="Times New Roman" w:cs="Times New Roman"/>
          <w:color w:val="auto"/>
        </w:rPr>
        <w:t>（8）《畜禽养殖业污染防治技术规范》（HJ/T81-2001）；</w:t>
      </w:r>
    </w:p>
    <w:p>
      <w:pPr>
        <w:ind w:firstLine="480"/>
        <w:rPr>
          <w:rFonts w:hint="default" w:ascii="Times New Roman" w:hAnsi="Times New Roman" w:cs="Times New Roman"/>
          <w:color w:val="auto"/>
        </w:rPr>
      </w:pPr>
      <w:r>
        <w:rPr>
          <w:rFonts w:hint="default" w:ascii="Times New Roman" w:hAnsi="Times New Roman" w:cs="Times New Roman"/>
          <w:color w:val="auto"/>
        </w:rPr>
        <w:t>（9）《畜禽养殖业污染治理工程技术规范》（HJ497-2009）；</w:t>
      </w:r>
    </w:p>
    <w:p>
      <w:pPr>
        <w:ind w:firstLine="480"/>
        <w:rPr>
          <w:rFonts w:hint="default" w:ascii="Times New Roman" w:hAnsi="Times New Roman" w:cs="Times New Roman"/>
          <w:color w:val="auto"/>
        </w:rPr>
      </w:pPr>
      <w:bookmarkStart w:id="129" w:name="_Toc275448953"/>
      <w:bookmarkStart w:id="130" w:name="_Toc278310144"/>
      <w:bookmarkStart w:id="131" w:name="_Toc275796679"/>
      <w:bookmarkStart w:id="132" w:name="_Toc328371592"/>
      <w:bookmarkStart w:id="133" w:name="_Toc275449584"/>
      <w:bookmarkStart w:id="134" w:name="_Toc275796842"/>
      <w:bookmarkStart w:id="135" w:name="_Toc345417236"/>
      <w:r>
        <w:rPr>
          <w:rFonts w:hint="default" w:ascii="Times New Roman" w:hAnsi="Times New Roman" w:cs="Times New Roman"/>
          <w:color w:val="auto"/>
        </w:rPr>
        <w:t>（10）《畜禽养殖业污染防治技术政策》（环发[2010]151号）；</w:t>
      </w:r>
    </w:p>
    <w:p>
      <w:pPr>
        <w:ind w:firstLine="480"/>
        <w:rPr>
          <w:rFonts w:hint="default" w:ascii="Times New Roman" w:hAnsi="Times New Roman" w:cs="Times New Roman"/>
          <w:color w:val="auto"/>
        </w:rPr>
      </w:pPr>
      <w:r>
        <w:rPr>
          <w:rFonts w:hint="default" w:ascii="Times New Roman" w:hAnsi="Times New Roman" w:cs="Times New Roman"/>
          <w:color w:val="auto"/>
        </w:rPr>
        <w:t>（11）《畜禽养殖污水贮存设施设计要求》（GB/T26624-2011）；</w:t>
      </w:r>
    </w:p>
    <w:p>
      <w:pPr>
        <w:ind w:firstLine="480"/>
        <w:rPr>
          <w:rFonts w:hint="default" w:ascii="Times New Roman" w:hAnsi="Times New Roman" w:cs="Times New Roman"/>
          <w:color w:val="auto"/>
        </w:rPr>
      </w:pPr>
      <w:r>
        <w:rPr>
          <w:rFonts w:hint="default" w:ascii="Times New Roman" w:hAnsi="Times New Roman" w:cs="Times New Roman"/>
          <w:color w:val="auto"/>
        </w:rPr>
        <w:t>（12）《农业部关于印发&lt;病死及病害动物无害化处理技术规范&gt;的通知》（农医发[2017]25号）；</w:t>
      </w:r>
    </w:p>
    <w:p>
      <w:pPr>
        <w:ind w:firstLine="480"/>
        <w:rPr>
          <w:rFonts w:hint="default" w:ascii="Times New Roman" w:hAnsi="Times New Roman" w:cs="Times New Roman"/>
          <w:color w:val="auto"/>
        </w:rPr>
      </w:pPr>
      <w:r>
        <w:rPr>
          <w:rFonts w:hint="default" w:ascii="Times New Roman" w:hAnsi="Times New Roman" w:cs="Times New Roman"/>
          <w:color w:val="auto"/>
        </w:rPr>
        <w:t>（13）《关于进一步加强建设项目环境影响评价管理防范环境风险的通知》（环发[2012]77号；</w:t>
      </w:r>
    </w:p>
    <w:p>
      <w:pPr>
        <w:ind w:firstLine="480"/>
        <w:rPr>
          <w:rFonts w:hint="default" w:ascii="Times New Roman" w:hAnsi="Times New Roman" w:cs="Times New Roman"/>
          <w:color w:val="auto"/>
        </w:rPr>
      </w:pPr>
      <w:r>
        <w:rPr>
          <w:rFonts w:hint="default" w:ascii="Times New Roman" w:hAnsi="Times New Roman" w:cs="Times New Roman"/>
          <w:color w:val="auto"/>
        </w:rPr>
        <w:t>（14）《国务院关于印发水污染防治行动计划的通知》（国发[2015]17号）；</w:t>
      </w:r>
    </w:p>
    <w:p>
      <w:pPr>
        <w:ind w:firstLine="480"/>
        <w:rPr>
          <w:rFonts w:hint="default" w:ascii="Times New Roman" w:hAnsi="Times New Roman" w:cs="Times New Roman"/>
          <w:color w:val="auto"/>
        </w:rPr>
      </w:pPr>
      <w:r>
        <w:rPr>
          <w:rFonts w:hint="default" w:ascii="Times New Roman" w:hAnsi="Times New Roman" w:cs="Times New Roman"/>
          <w:color w:val="auto"/>
        </w:rPr>
        <w:t>（15）《国家危险废物名录》（环境保护部令第39号，2016年8月1日）；</w:t>
      </w:r>
    </w:p>
    <w:p>
      <w:pPr>
        <w:ind w:firstLine="480"/>
        <w:rPr>
          <w:rFonts w:hint="default" w:ascii="Times New Roman" w:hAnsi="Times New Roman" w:cs="Times New Roman"/>
          <w:color w:val="auto"/>
        </w:rPr>
      </w:pPr>
      <w:r>
        <w:rPr>
          <w:rFonts w:hint="default" w:ascii="Times New Roman" w:hAnsi="Times New Roman" w:cs="Times New Roman"/>
          <w:color w:val="auto"/>
        </w:rPr>
        <w:t>（16）《农业部关于印发&lt;高致病性禽流感疫情处置技术规范&gt;的通知》（农政发[2005]28号）。</w:t>
      </w:r>
    </w:p>
    <w:p>
      <w:pPr>
        <w:ind w:firstLine="480"/>
        <w:rPr>
          <w:rFonts w:hint="default" w:ascii="Times New Roman" w:hAnsi="Times New Roman" w:cs="Times New Roman"/>
          <w:color w:val="auto"/>
        </w:rPr>
      </w:pPr>
      <w:r>
        <w:rPr>
          <w:rFonts w:hint="default" w:ascii="Times New Roman" w:hAnsi="Times New Roman" w:cs="Times New Roman"/>
          <w:color w:val="auto"/>
        </w:rPr>
        <w:t>（17）《国务院办公厅关于加快推进畜禽养殖废弃物资源化利用的意见》（国办发[2017]48号）；</w:t>
      </w:r>
    </w:p>
    <w:p>
      <w:pPr>
        <w:ind w:firstLine="480"/>
        <w:rPr>
          <w:rFonts w:hint="default" w:ascii="Times New Roman" w:hAnsi="Times New Roman" w:cs="Times New Roman"/>
          <w:color w:val="auto"/>
        </w:rPr>
      </w:pPr>
      <w:r>
        <w:rPr>
          <w:rFonts w:hint="default" w:ascii="Times New Roman" w:hAnsi="Times New Roman" w:cs="Times New Roman"/>
          <w:color w:val="auto"/>
        </w:rPr>
        <w:t>（18）《畜禽规模养殖场粪污资源化利用设施建设规范（试行）》（农办牧[2018]2号）；</w:t>
      </w:r>
    </w:p>
    <w:bookmarkEnd w:id="129"/>
    <w:bookmarkEnd w:id="130"/>
    <w:bookmarkEnd w:id="131"/>
    <w:bookmarkEnd w:id="132"/>
    <w:bookmarkEnd w:id="133"/>
    <w:bookmarkEnd w:id="134"/>
    <w:bookmarkEnd w:id="135"/>
    <w:p>
      <w:pPr>
        <w:ind w:firstLine="480"/>
        <w:rPr>
          <w:rFonts w:hint="default" w:ascii="Times New Roman" w:hAnsi="Times New Roman" w:cs="Times New Roman"/>
          <w:color w:val="auto"/>
        </w:rPr>
      </w:pPr>
      <w:r>
        <w:rPr>
          <w:rFonts w:hint="default" w:ascii="Times New Roman" w:hAnsi="Times New Roman" w:cs="Times New Roman"/>
          <w:color w:val="auto"/>
        </w:rPr>
        <w:t>（19）《动物防疫条件审查办法》（农业部令2010年第7号）。</w:t>
      </w:r>
    </w:p>
    <w:p>
      <w:pPr>
        <w:ind w:firstLine="480"/>
        <w:rPr>
          <w:rFonts w:hint="default" w:ascii="Times New Roman" w:hAnsi="Times New Roman" w:cs="Times New Roman"/>
          <w:color w:val="auto"/>
          <w:szCs w:val="32"/>
        </w:rPr>
      </w:pPr>
      <w:r>
        <w:rPr>
          <w:rFonts w:hint="default" w:ascii="Times New Roman" w:hAnsi="Times New Roman" w:cs="Times New Roman"/>
          <w:color w:val="auto"/>
          <w:szCs w:val="32"/>
        </w:rPr>
        <w:t>（20）《关于做好畜禽规模养殖项目环境影响评价管理工作的通知》（环办环评[2018]31号）；</w:t>
      </w:r>
    </w:p>
    <w:p>
      <w:pPr>
        <w:ind w:firstLine="480"/>
        <w:rPr>
          <w:rFonts w:hint="default" w:ascii="Times New Roman" w:hAnsi="Times New Roman" w:cs="Times New Roman"/>
          <w:color w:val="auto"/>
        </w:rPr>
      </w:pPr>
      <w:r>
        <w:rPr>
          <w:rFonts w:hint="default" w:ascii="Times New Roman" w:hAnsi="Times New Roman" w:cs="Times New Roman"/>
          <w:color w:val="auto"/>
          <w:szCs w:val="32"/>
        </w:rPr>
        <w:t>（21）《建设项目危险废物环境影响评价指南》（公告2017年 第43号）。</w:t>
      </w:r>
    </w:p>
    <w:p>
      <w:pPr>
        <w:pStyle w:val="5"/>
        <w:rPr>
          <w:rFonts w:hint="default" w:ascii="Times New Roman" w:hAnsi="Times New Roman" w:cs="Times New Roman"/>
          <w:color w:val="auto"/>
        </w:rPr>
      </w:pPr>
      <w:r>
        <w:rPr>
          <w:rFonts w:hint="default" w:ascii="Times New Roman" w:hAnsi="Times New Roman" w:cs="Times New Roman"/>
          <w:color w:val="auto"/>
        </w:rPr>
        <w:t>2.1.3 项目相关划及其他资料</w:t>
      </w:r>
    </w:p>
    <w:p>
      <w:pPr>
        <w:ind w:firstLine="480"/>
        <w:rPr>
          <w:rFonts w:hint="default" w:ascii="Times New Roman" w:hAnsi="Times New Roman" w:cs="Times New Roman"/>
          <w:color w:val="auto"/>
        </w:rPr>
      </w:pPr>
      <w:r>
        <w:rPr>
          <w:rFonts w:hint="default" w:ascii="Times New Roman" w:hAnsi="Times New Roman" w:cs="Times New Roman"/>
          <w:color w:val="auto"/>
        </w:rPr>
        <w:t>（1）《清丰县环境保护局关于牧原食品股份有限公司清丰一场生猪养殖项目环境影响评价执行标准的意见》；</w:t>
      </w:r>
    </w:p>
    <w:p>
      <w:pPr>
        <w:ind w:firstLine="480"/>
        <w:rPr>
          <w:rFonts w:hint="default" w:ascii="Times New Roman" w:hAnsi="Times New Roman" w:cs="Times New Roman"/>
          <w:color w:val="auto"/>
        </w:rPr>
      </w:pPr>
      <w:r>
        <w:rPr>
          <w:rFonts w:hint="default" w:ascii="Times New Roman" w:hAnsi="Times New Roman" w:cs="Times New Roman"/>
          <w:color w:val="auto"/>
        </w:rPr>
        <w:t>（2）《河南省畜牧业“十三五”规划》；</w:t>
      </w:r>
    </w:p>
    <w:p>
      <w:pPr>
        <w:ind w:firstLine="480"/>
        <w:rPr>
          <w:rFonts w:hint="default" w:ascii="Times New Roman" w:hAnsi="Times New Roman" w:cs="Times New Roman"/>
          <w:color w:val="auto"/>
        </w:rPr>
      </w:pPr>
      <w:r>
        <w:rPr>
          <w:rFonts w:hint="default" w:ascii="Times New Roman" w:hAnsi="Times New Roman" w:cs="Times New Roman"/>
          <w:color w:val="auto"/>
        </w:rPr>
        <w:t>（3）《河南省清丰县乡镇集中式饮用水水源地保护区划》；</w:t>
      </w:r>
    </w:p>
    <w:p>
      <w:pPr>
        <w:ind w:firstLine="480"/>
        <w:rPr>
          <w:rFonts w:hint="default" w:ascii="Times New Roman" w:hAnsi="Times New Roman" w:cs="Times New Roman"/>
          <w:color w:val="auto"/>
        </w:rPr>
      </w:pPr>
      <w:r>
        <w:rPr>
          <w:rFonts w:hint="default" w:ascii="Times New Roman" w:hAnsi="Times New Roman" w:cs="Times New Roman"/>
          <w:color w:val="auto"/>
        </w:rPr>
        <w:t>（4）环评委托书；</w:t>
      </w:r>
    </w:p>
    <w:p>
      <w:pPr>
        <w:ind w:firstLine="480"/>
        <w:rPr>
          <w:rFonts w:hint="default" w:ascii="Times New Roman" w:hAnsi="Times New Roman" w:cs="Times New Roman"/>
          <w:color w:val="auto"/>
        </w:rPr>
      </w:pPr>
      <w:r>
        <w:rPr>
          <w:rFonts w:hint="default" w:ascii="Times New Roman" w:hAnsi="Times New Roman" w:cs="Times New Roman"/>
          <w:color w:val="auto"/>
        </w:rPr>
        <w:t>（5）与项目有关的其他资料和文件。</w:t>
      </w:r>
    </w:p>
    <w:p>
      <w:pPr>
        <w:pStyle w:val="30"/>
        <w:spacing w:line="360" w:lineRule="auto"/>
        <w:rPr>
          <w:rFonts w:hint="default" w:ascii="Times New Roman" w:hAnsi="Times New Roman" w:cs="Times New Roman"/>
          <w:color w:val="auto"/>
        </w:rPr>
      </w:pPr>
      <w:bookmarkStart w:id="136" w:name="_Toc413827925"/>
      <w:bookmarkStart w:id="137" w:name="_Toc441490823"/>
      <w:bookmarkStart w:id="138" w:name="_Toc12195"/>
      <w:bookmarkStart w:id="139" w:name="_Toc402441858"/>
      <w:bookmarkStart w:id="140" w:name="_Toc14836"/>
      <w:r>
        <w:rPr>
          <w:rFonts w:hint="default" w:ascii="Times New Roman" w:hAnsi="Times New Roman" w:cs="Times New Roman"/>
          <w:color w:val="auto"/>
        </w:rPr>
        <w:t>2.2 评价对象及目的</w:t>
      </w:r>
      <w:bookmarkEnd w:id="136"/>
      <w:bookmarkEnd w:id="137"/>
      <w:bookmarkEnd w:id="138"/>
      <w:bookmarkEnd w:id="139"/>
      <w:bookmarkEnd w:id="140"/>
    </w:p>
    <w:p>
      <w:pPr>
        <w:pStyle w:val="5"/>
        <w:rPr>
          <w:rFonts w:hint="default" w:ascii="Times New Roman" w:hAnsi="Times New Roman" w:cs="Times New Roman"/>
          <w:color w:val="auto"/>
        </w:rPr>
      </w:pPr>
      <w:r>
        <w:rPr>
          <w:rFonts w:hint="default" w:ascii="Times New Roman" w:hAnsi="Times New Roman" w:cs="Times New Roman"/>
          <w:color w:val="auto"/>
        </w:rPr>
        <w:t>2.2.1 评价对象</w:t>
      </w:r>
    </w:p>
    <w:p>
      <w:pPr>
        <w:ind w:firstLine="480"/>
        <w:rPr>
          <w:rFonts w:hint="default" w:ascii="Times New Roman" w:hAnsi="Times New Roman" w:cs="Times New Roman"/>
          <w:color w:val="auto"/>
        </w:rPr>
      </w:pPr>
      <w:r>
        <w:rPr>
          <w:rFonts w:hint="default" w:ascii="Times New Roman" w:hAnsi="Times New Roman" w:cs="Times New Roman"/>
          <w:color w:val="auto"/>
        </w:rPr>
        <w:t>牧原食品股份有限公司清丰一场生猪养殖项目。</w:t>
      </w:r>
    </w:p>
    <w:p>
      <w:pPr>
        <w:pStyle w:val="5"/>
        <w:rPr>
          <w:rFonts w:hint="default" w:ascii="Times New Roman" w:hAnsi="Times New Roman" w:cs="Times New Roman"/>
          <w:color w:val="auto"/>
        </w:rPr>
      </w:pPr>
      <w:r>
        <w:rPr>
          <w:rFonts w:hint="default" w:ascii="Times New Roman" w:hAnsi="Times New Roman" w:cs="Times New Roman"/>
          <w:color w:val="auto"/>
        </w:rPr>
        <w:t>2.2.2 评价目的</w:t>
      </w:r>
    </w:p>
    <w:p>
      <w:pPr>
        <w:ind w:firstLine="480"/>
        <w:rPr>
          <w:rFonts w:hint="default" w:ascii="Times New Roman" w:hAnsi="Times New Roman" w:cs="Times New Roman"/>
          <w:color w:val="auto"/>
        </w:rPr>
      </w:pPr>
      <w:r>
        <w:rPr>
          <w:rFonts w:hint="default" w:ascii="Times New Roman" w:hAnsi="Times New Roman" w:cs="Times New Roman"/>
          <w:color w:val="auto"/>
        </w:rPr>
        <w:t>（1）分析项目的建设与国家产业政策、行业政策的相符性，论证场址可行性。</w:t>
      </w:r>
    </w:p>
    <w:p>
      <w:pPr>
        <w:ind w:firstLine="480"/>
        <w:rPr>
          <w:rFonts w:hint="default" w:ascii="Times New Roman" w:hAnsi="Times New Roman" w:cs="Times New Roman"/>
          <w:color w:val="auto"/>
        </w:rPr>
      </w:pPr>
      <w:r>
        <w:rPr>
          <w:rFonts w:hint="default" w:ascii="Times New Roman" w:hAnsi="Times New Roman" w:cs="Times New Roman"/>
          <w:color w:val="auto"/>
        </w:rPr>
        <w:t>（2）根据同类行业类比调查、查阅数据手册、物料衡算等方法，分析确定本项目工艺产污环节及污染物排放情况，并进行达标分析。</w:t>
      </w:r>
    </w:p>
    <w:p>
      <w:pPr>
        <w:ind w:firstLine="480"/>
        <w:rPr>
          <w:rFonts w:hint="default" w:ascii="Times New Roman" w:hAnsi="Times New Roman" w:cs="Times New Roman"/>
          <w:color w:val="auto"/>
        </w:rPr>
      </w:pPr>
      <w:r>
        <w:rPr>
          <w:rFonts w:hint="default" w:ascii="Times New Roman" w:hAnsi="Times New Roman" w:cs="Times New Roman"/>
          <w:color w:val="auto"/>
        </w:rPr>
        <w:t>（3）对评价区域环境质量现状进行调查、监测与评价，明确环境保护目标。</w:t>
      </w:r>
    </w:p>
    <w:p>
      <w:pPr>
        <w:ind w:firstLine="480"/>
        <w:rPr>
          <w:rFonts w:hint="default" w:ascii="Times New Roman" w:hAnsi="Times New Roman" w:cs="Times New Roman"/>
          <w:color w:val="auto"/>
        </w:rPr>
      </w:pPr>
      <w:r>
        <w:rPr>
          <w:rFonts w:hint="default" w:ascii="Times New Roman" w:hAnsi="Times New Roman" w:cs="Times New Roman"/>
          <w:color w:val="auto"/>
        </w:rPr>
        <w:t>（4）预测本项目投产后全场污染物排放对周围环境影响的程度和范围，并对其进行影响评价，给出影响结论。</w:t>
      </w:r>
    </w:p>
    <w:p>
      <w:pPr>
        <w:ind w:firstLine="480"/>
        <w:rPr>
          <w:rFonts w:hint="default" w:ascii="Times New Roman" w:hAnsi="Times New Roman" w:cs="Times New Roman"/>
          <w:color w:val="auto"/>
        </w:rPr>
      </w:pPr>
      <w:r>
        <w:rPr>
          <w:rFonts w:hint="default" w:ascii="Times New Roman" w:hAnsi="Times New Roman" w:cs="Times New Roman"/>
          <w:color w:val="auto"/>
        </w:rPr>
        <w:t>（5）分析论证本项目拟采取的污染防治措施的技术经济可行性。</w:t>
      </w:r>
    </w:p>
    <w:p>
      <w:pPr>
        <w:ind w:firstLine="480"/>
        <w:rPr>
          <w:rFonts w:hint="default" w:ascii="Times New Roman" w:hAnsi="Times New Roman" w:cs="Times New Roman"/>
          <w:color w:val="auto"/>
        </w:rPr>
      </w:pPr>
      <w:r>
        <w:rPr>
          <w:rFonts w:hint="default" w:ascii="Times New Roman" w:hAnsi="Times New Roman" w:cs="Times New Roman"/>
          <w:color w:val="auto"/>
        </w:rPr>
        <w:t>（6）分析本项目清洁生产水平，并提出持续清洁生产的建议。</w:t>
      </w:r>
    </w:p>
    <w:p>
      <w:pPr>
        <w:ind w:firstLine="480"/>
        <w:rPr>
          <w:rFonts w:hint="default" w:ascii="Times New Roman" w:hAnsi="Times New Roman" w:cs="Times New Roman"/>
          <w:color w:val="auto"/>
        </w:rPr>
      </w:pPr>
      <w:r>
        <w:rPr>
          <w:rFonts w:hint="default" w:ascii="Times New Roman" w:hAnsi="Times New Roman" w:cs="Times New Roman"/>
          <w:color w:val="auto"/>
        </w:rPr>
        <w:t>（7）根据预测评价结果，分析项目选址的可行性。</w:t>
      </w:r>
    </w:p>
    <w:p>
      <w:pPr>
        <w:ind w:firstLine="480"/>
        <w:rPr>
          <w:rFonts w:hint="default" w:ascii="Times New Roman" w:hAnsi="Times New Roman" w:cs="Times New Roman"/>
          <w:color w:val="auto"/>
        </w:rPr>
      </w:pPr>
      <w:r>
        <w:rPr>
          <w:rFonts w:hint="default" w:ascii="Times New Roman" w:hAnsi="Times New Roman" w:cs="Times New Roman"/>
          <w:color w:val="auto"/>
        </w:rPr>
        <w:t>（8）预测环境风险事故发生后对周围环境及人员的影响程度和范围，提出防范措施和应急预案。</w:t>
      </w:r>
    </w:p>
    <w:p>
      <w:pPr>
        <w:ind w:firstLine="480"/>
        <w:rPr>
          <w:rFonts w:hint="default" w:ascii="Times New Roman" w:hAnsi="Times New Roman" w:cs="Times New Roman"/>
          <w:color w:val="auto"/>
        </w:rPr>
      </w:pPr>
      <w:r>
        <w:rPr>
          <w:rFonts w:hint="default" w:ascii="Times New Roman" w:hAnsi="Times New Roman" w:cs="Times New Roman"/>
          <w:color w:val="auto"/>
        </w:rPr>
        <w:t>（9）从环保角度，给出本项目建设是否可行的明确结论，为工程设计和环境管理提供科学依据。</w:t>
      </w:r>
    </w:p>
    <w:p>
      <w:pPr>
        <w:pStyle w:val="30"/>
        <w:spacing w:line="360" w:lineRule="auto"/>
        <w:rPr>
          <w:rFonts w:hint="default" w:ascii="Times New Roman" w:hAnsi="Times New Roman" w:cs="Times New Roman"/>
          <w:color w:val="auto"/>
        </w:rPr>
      </w:pPr>
      <w:bookmarkStart w:id="141" w:name="_Toc402441860"/>
      <w:bookmarkStart w:id="142" w:name="_Toc345417240"/>
      <w:bookmarkStart w:id="143" w:name="_Toc13437"/>
      <w:bookmarkStart w:id="144" w:name="_Toc27899"/>
      <w:bookmarkStart w:id="145" w:name="_Toc413827927"/>
      <w:bookmarkStart w:id="146" w:name="_Toc441490824"/>
      <w:r>
        <w:rPr>
          <w:rFonts w:hint="default" w:ascii="Times New Roman" w:hAnsi="Times New Roman" w:cs="Times New Roman"/>
          <w:color w:val="auto"/>
        </w:rPr>
        <w:t>2.3 环境影响因素识别及评价因子筛选</w:t>
      </w:r>
      <w:bookmarkEnd w:id="141"/>
      <w:bookmarkEnd w:id="142"/>
      <w:bookmarkEnd w:id="143"/>
      <w:bookmarkEnd w:id="144"/>
      <w:bookmarkEnd w:id="145"/>
      <w:bookmarkEnd w:id="146"/>
    </w:p>
    <w:p>
      <w:pPr>
        <w:pStyle w:val="5"/>
        <w:rPr>
          <w:rFonts w:hint="default" w:ascii="Times New Roman" w:hAnsi="Times New Roman" w:cs="Times New Roman"/>
          <w:color w:val="auto"/>
        </w:rPr>
      </w:pPr>
      <w:bookmarkStart w:id="147" w:name="_Toc345417241"/>
      <w:r>
        <w:rPr>
          <w:rFonts w:hint="default" w:ascii="Times New Roman" w:hAnsi="Times New Roman" w:cs="Times New Roman"/>
          <w:color w:val="auto"/>
        </w:rPr>
        <w:t>2.3.1 环境影响因素识别</w:t>
      </w:r>
      <w:bookmarkEnd w:id="147"/>
    </w:p>
    <w:p>
      <w:pPr>
        <w:ind w:firstLine="480"/>
        <w:rPr>
          <w:rFonts w:hint="default" w:ascii="Times New Roman" w:hAnsi="Times New Roman" w:cs="Times New Roman"/>
          <w:color w:val="auto"/>
        </w:rPr>
      </w:pPr>
      <w:r>
        <w:rPr>
          <w:rFonts w:hint="default" w:ascii="Times New Roman" w:hAnsi="Times New Roman" w:cs="Times New Roman"/>
          <w:color w:val="auto"/>
        </w:rPr>
        <w:t>根据本项目特点及实地踏勘，采用矩阵法对可能受本项目影响的环境要素进行识别和筛选。本项目营运期产生的废气、废水及噪声会对大气环境、水环境和声环境产生长期的不利影响，在非正常工况和事故排放时这些影响会加剧。与此同时项目的建成可以增加就业岗位和当地财政收入，带动相关产业的发展，促进清丰县经济的发展。本项目环境影响因素识别其结果见表2.3-1。</w:t>
      </w:r>
    </w:p>
    <w:p>
      <w:pPr>
        <w:numPr>
          <w:ilvl w:val="0"/>
          <w:numId w:val="3"/>
        </w:numPr>
        <w:spacing w:afterLines="30" w:line="500" w:lineRule="exact"/>
        <w:ind w:left="0"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 xml:space="preserve">                      环境影响识别一览表</w:t>
      </w:r>
    </w:p>
    <w:tbl>
      <w:tblPr>
        <w:tblStyle w:val="25"/>
        <w:tblW w:w="8946" w:type="dxa"/>
        <w:jc w:val="center"/>
        <w:tblBorders>
          <w:top w:val="single" w:color="auto" w:sz="2" w:space="0"/>
          <w:left w:val="none" w:color="auto" w:sz="0" w:space="0"/>
          <w:bottom w:val="single" w:color="auto" w:sz="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6"/>
        <w:gridCol w:w="2115"/>
        <w:gridCol w:w="1066"/>
        <w:gridCol w:w="1066"/>
        <w:gridCol w:w="1066"/>
        <w:gridCol w:w="1066"/>
        <w:gridCol w:w="1066"/>
        <w:gridCol w:w="1075"/>
      </w:tblGrid>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8" w:hRule="atLeast"/>
          <w:tblHeader/>
          <w:jc w:val="center"/>
        </w:trPr>
        <w:tc>
          <w:tcPr>
            <w:tcW w:w="426"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阶</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段</w:t>
            </w:r>
          </w:p>
        </w:tc>
        <w:tc>
          <w:tcPr>
            <w:tcW w:w="2115"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污染因素</w:t>
            </w:r>
          </w:p>
        </w:tc>
        <w:tc>
          <w:tcPr>
            <w:tcW w:w="6405" w:type="dxa"/>
            <w:gridSpan w:val="6"/>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环境要素</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8" w:hRule="atLeast"/>
          <w:tblHeader/>
          <w:jc w:val="center"/>
        </w:trPr>
        <w:tc>
          <w:tcPr>
            <w:tcW w:w="426"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2115"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w:t>
            </w:r>
          </w:p>
        </w:tc>
        <w:tc>
          <w:tcPr>
            <w:tcW w:w="107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居民生活</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426"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期</w:t>
            </w:r>
          </w:p>
        </w:tc>
        <w:tc>
          <w:tcPr>
            <w:tcW w:w="2115" w:type="dxa"/>
            <w:tcBorders>
              <w:bottom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施工噪声</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7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426"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2115" w:type="dxa"/>
            <w:tcBorders>
              <w:top w:val="single" w:color="auto" w:sz="4" w:space="0"/>
              <w:bottom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施工扬尘</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7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426"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2115" w:type="dxa"/>
            <w:tcBorders>
              <w:top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施工废水</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7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426"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211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车辆运输</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7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426"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211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路管工程</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7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426"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营</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期</w:t>
            </w:r>
          </w:p>
        </w:tc>
        <w:tc>
          <w:tcPr>
            <w:tcW w:w="2115" w:type="dxa"/>
            <w:tcBorders>
              <w:bottom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工程废水</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7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426"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2115" w:type="dxa"/>
            <w:tcBorders>
              <w:top w:val="single" w:color="auto" w:sz="4" w:space="0"/>
              <w:bottom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生产恶臭</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7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426"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2115" w:type="dxa"/>
            <w:tcBorders>
              <w:top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生产噪声</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7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426"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211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固废综合利用</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7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426"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211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车辆运输</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7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426"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211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施肥管网</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7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426"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211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土壤</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7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8946" w:type="dxa"/>
            <w:gridSpan w:val="8"/>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有影响，▲有轻微影响，△可能有影响，○ 没有影响。</w:t>
            </w:r>
          </w:p>
        </w:tc>
      </w:tr>
    </w:tbl>
    <w:p>
      <w:pPr>
        <w:pStyle w:val="5"/>
        <w:spacing w:line="600" w:lineRule="exact"/>
        <w:rPr>
          <w:rFonts w:hint="default" w:ascii="Times New Roman" w:hAnsi="Times New Roman" w:cs="Times New Roman"/>
          <w:color w:val="auto"/>
        </w:rPr>
      </w:pPr>
      <w:bookmarkStart w:id="148" w:name="_Toc345417242"/>
      <w:r>
        <w:rPr>
          <w:rFonts w:hint="default" w:ascii="Times New Roman" w:hAnsi="Times New Roman" w:cs="Times New Roman"/>
          <w:color w:val="auto"/>
        </w:rPr>
        <w:t>2.3.2 评价因子筛选</w:t>
      </w:r>
      <w:bookmarkEnd w:id="148"/>
    </w:p>
    <w:p>
      <w:pPr>
        <w:spacing w:line="500" w:lineRule="exact"/>
        <w:ind w:firstLine="480"/>
        <w:rPr>
          <w:rFonts w:hint="default" w:ascii="Times New Roman" w:hAnsi="Times New Roman" w:cs="Times New Roman"/>
          <w:color w:val="auto"/>
        </w:rPr>
      </w:pPr>
      <w:r>
        <w:rPr>
          <w:rFonts w:hint="default" w:ascii="Times New Roman" w:hAnsi="Times New Roman" w:cs="Times New Roman"/>
          <w:color w:val="auto"/>
        </w:rPr>
        <w:t>根据工程特点和区域环境特征，确定本项目的评价因子见表2.3-2。</w:t>
      </w:r>
    </w:p>
    <w:p>
      <w:pPr>
        <w:numPr>
          <w:ilvl w:val="0"/>
          <w:numId w:val="3"/>
        </w:numPr>
        <w:spacing w:afterLines="30" w:line="500" w:lineRule="exact"/>
        <w:ind w:left="0"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 xml:space="preserve">                     项目环境评价因子</w:t>
      </w:r>
    </w:p>
    <w:tbl>
      <w:tblPr>
        <w:tblStyle w:val="25"/>
        <w:tblW w:w="894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4357"/>
        <w:gridCol w:w="333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blHeader/>
          <w:jc w:val="center"/>
        </w:trPr>
        <w:tc>
          <w:tcPr>
            <w:tcW w:w="1251" w:type="dxa"/>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szCs w:val="21"/>
              </w:rPr>
            </w:pPr>
            <w:bookmarkStart w:id="149" w:name="_Toc441490825"/>
            <w:r>
              <w:rPr>
                <w:rFonts w:hint="default" w:ascii="Times New Roman" w:hAnsi="Times New Roman" w:cs="Times New Roman"/>
                <w:b/>
                <w:color w:val="auto"/>
                <w:kern w:val="0"/>
                <w:sz w:val="21"/>
                <w:szCs w:val="21"/>
              </w:rPr>
              <w:t>项目</w:t>
            </w:r>
          </w:p>
        </w:tc>
        <w:tc>
          <w:tcPr>
            <w:tcW w:w="4357" w:type="dxa"/>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现状评价因子</w:t>
            </w:r>
          </w:p>
        </w:tc>
        <w:tc>
          <w:tcPr>
            <w:tcW w:w="3338" w:type="dxa"/>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预测因子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大气环境</w:t>
            </w:r>
          </w:p>
        </w:tc>
        <w:tc>
          <w:tcPr>
            <w:tcW w:w="435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H</w:t>
            </w:r>
            <w:r>
              <w:rPr>
                <w:rFonts w:hint="default" w:ascii="Times New Roman" w:hAnsi="Times New Roman" w:cs="Times New Roman"/>
                <w:color w:val="auto"/>
                <w:kern w:val="0"/>
                <w:sz w:val="21"/>
                <w:szCs w:val="21"/>
                <w:vertAlign w:val="subscript"/>
              </w:rPr>
              <w:t>2</w:t>
            </w:r>
            <w:r>
              <w:rPr>
                <w:rFonts w:hint="default" w:ascii="Times New Roman" w:hAnsi="Times New Roman" w:cs="Times New Roman"/>
                <w:color w:val="auto"/>
                <w:kern w:val="0"/>
                <w:sz w:val="21"/>
                <w:szCs w:val="21"/>
              </w:rPr>
              <w:t>S、NH</w:t>
            </w:r>
            <w:r>
              <w:rPr>
                <w:rFonts w:hint="default" w:ascii="Times New Roman" w:hAnsi="Times New Roman" w:cs="Times New Roman"/>
                <w:color w:val="auto"/>
                <w:kern w:val="0"/>
                <w:sz w:val="21"/>
                <w:szCs w:val="21"/>
                <w:vertAlign w:val="subscript"/>
              </w:rPr>
              <w:t>3</w:t>
            </w:r>
            <w:r>
              <w:rPr>
                <w:rFonts w:hint="default" w:ascii="Times New Roman" w:hAnsi="Times New Roman" w:cs="Times New Roman"/>
                <w:color w:val="auto"/>
                <w:kern w:val="0"/>
                <w:sz w:val="21"/>
                <w:szCs w:val="21"/>
              </w:rPr>
              <w:t>、SO</w:t>
            </w:r>
            <w:r>
              <w:rPr>
                <w:rFonts w:hint="default" w:ascii="Times New Roman" w:hAnsi="Times New Roman" w:cs="Times New Roman"/>
                <w:color w:val="auto"/>
                <w:kern w:val="0"/>
                <w:sz w:val="21"/>
                <w:szCs w:val="21"/>
                <w:vertAlign w:val="subscript"/>
              </w:rPr>
              <w:t>2</w:t>
            </w:r>
            <w:r>
              <w:rPr>
                <w:rFonts w:hint="default" w:ascii="Times New Roman" w:hAnsi="Times New Roman" w:cs="Times New Roman"/>
                <w:color w:val="auto"/>
                <w:kern w:val="0"/>
                <w:sz w:val="21"/>
                <w:szCs w:val="21"/>
              </w:rPr>
              <w:t>、NO</w:t>
            </w:r>
            <w:r>
              <w:rPr>
                <w:rFonts w:hint="default" w:ascii="Times New Roman" w:hAnsi="Times New Roman" w:cs="Times New Roman"/>
                <w:color w:val="auto"/>
                <w:kern w:val="0"/>
                <w:sz w:val="21"/>
                <w:szCs w:val="21"/>
                <w:vertAlign w:val="subscript"/>
              </w:rPr>
              <w:t>2</w:t>
            </w:r>
            <w:r>
              <w:rPr>
                <w:rFonts w:hint="default" w:ascii="Times New Roman" w:hAnsi="Times New Roman" w:cs="Times New Roman"/>
                <w:color w:val="auto"/>
                <w:kern w:val="0"/>
                <w:sz w:val="21"/>
                <w:szCs w:val="21"/>
              </w:rPr>
              <w:t>、PM</w:t>
            </w:r>
            <w:r>
              <w:rPr>
                <w:rFonts w:hint="default" w:ascii="Times New Roman" w:hAnsi="Times New Roman" w:cs="Times New Roman"/>
                <w:color w:val="auto"/>
                <w:kern w:val="0"/>
                <w:sz w:val="21"/>
                <w:szCs w:val="21"/>
                <w:vertAlign w:val="subscript"/>
              </w:rPr>
              <w:t>2.5</w:t>
            </w:r>
            <w:r>
              <w:rPr>
                <w:rFonts w:hint="default" w:ascii="Times New Roman" w:hAnsi="Times New Roman" w:cs="Times New Roman"/>
                <w:color w:val="auto"/>
                <w:kern w:val="0"/>
                <w:sz w:val="21"/>
                <w:szCs w:val="21"/>
              </w:rPr>
              <w:t>、PM</w:t>
            </w:r>
            <w:r>
              <w:rPr>
                <w:rFonts w:hint="default" w:ascii="Times New Roman" w:hAnsi="Times New Roman" w:cs="Times New Roman"/>
                <w:color w:val="auto"/>
                <w:kern w:val="0"/>
                <w:sz w:val="21"/>
                <w:szCs w:val="21"/>
                <w:vertAlign w:val="subscript"/>
              </w:rPr>
              <w:t>10</w:t>
            </w:r>
            <w:r>
              <w:rPr>
                <w:rFonts w:hint="default" w:ascii="Times New Roman" w:hAnsi="Times New Roman" w:cs="Times New Roman"/>
                <w:color w:val="auto"/>
                <w:kern w:val="0"/>
                <w:sz w:val="21"/>
                <w:szCs w:val="21"/>
              </w:rPr>
              <w:t>、O</w:t>
            </w:r>
            <w:r>
              <w:rPr>
                <w:rFonts w:hint="default" w:ascii="Times New Roman" w:hAnsi="Times New Roman" w:cs="Times New Roman"/>
                <w:color w:val="auto"/>
                <w:kern w:val="0"/>
                <w:sz w:val="21"/>
                <w:szCs w:val="21"/>
                <w:vertAlign w:val="subscript"/>
              </w:rPr>
              <w:t>3</w:t>
            </w:r>
            <w:r>
              <w:rPr>
                <w:rFonts w:hint="default" w:ascii="Times New Roman" w:hAnsi="Times New Roman" w:cs="Times New Roman"/>
                <w:color w:val="auto"/>
                <w:kern w:val="0"/>
                <w:sz w:val="21"/>
                <w:szCs w:val="21"/>
              </w:rPr>
              <w:t>、CO</w:t>
            </w:r>
          </w:p>
        </w:tc>
        <w:tc>
          <w:tcPr>
            <w:tcW w:w="333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H</w:t>
            </w:r>
            <w:r>
              <w:rPr>
                <w:rFonts w:hint="default" w:ascii="Times New Roman" w:hAnsi="Times New Roman" w:cs="Times New Roman"/>
                <w:color w:val="auto"/>
                <w:kern w:val="0"/>
                <w:sz w:val="21"/>
                <w:szCs w:val="21"/>
                <w:vertAlign w:val="subscript"/>
              </w:rPr>
              <w:t>2</w:t>
            </w:r>
            <w:r>
              <w:rPr>
                <w:rFonts w:hint="default" w:ascii="Times New Roman" w:hAnsi="Times New Roman" w:cs="Times New Roman"/>
                <w:color w:val="auto"/>
                <w:kern w:val="0"/>
                <w:sz w:val="21"/>
                <w:szCs w:val="21"/>
              </w:rPr>
              <w:t>S、NH</w:t>
            </w:r>
            <w:r>
              <w:rPr>
                <w:rFonts w:hint="default" w:ascii="Times New Roman" w:hAnsi="Times New Roman" w:cs="Times New Roman"/>
                <w:color w:val="auto"/>
                <w:kern w:val="0"/>
                <w:sz w:val="21"/>
                <w:szCs w:val="21"/>
                <w:vertAlign w:val="subscript"/>
              </w:rPr>
              <w:t>3</w:t>
            </w:r>
            <w:r>
              <w:rPr>
                <w:rFonts w:hint="default" w:ascii="Times New Roman" w:hAnsi="Times New Roman" w:cs="Times New Roman"/>
                <w:color w:val="auto"/>
                <w:kern w:val="0"/>
                <w:sz w:val="21"/>
                <w:szCs w:val="21"/>
              </w:rPr>
              <w:t>、SO</w:t>
            </w:r>
            <w:r>
              <w:rPr>
                <w:rFonts w:hint="default" w:ascii="Times New Roman" w:hAnsi="Times New Roman" w:cs="Times New Roman"/>
                <w:color w:val="auto"/>
                <w:kern w:val="0"/>
                <w:sz w:val="21"/>
                <w:szCs w:val="21"/>
                <w:vertAlign w:val="subscript"/>
              </w:rPr>
              <w:t>2</w:t>
            </w:r>
            <w:r>
              <w:rPr>
                <w:rFonts w:hint="default" w:ascii="Times New Roman" w:hAnsi="Times New Roman" w:cs="Times New Roman"/>
                <w:color w:val="auto"/>
                <w:kern w:val="0"/>
                <w:sz w:val="21"/>
                <w:szCs w:val="21"/>
              </w:rPr>
              <w:t>、NO</w:t>
            </w:r>
            <w:r>
              <w:rPr>
                <w:rFonts w:hint="default" w:ascii="Times New Roman" w:hAnsi="Times New Roman" w:cs="Times New Roman"/>
                <w:color w:val="auto"/>
                <w:kern w:val="0"/>
                <w:sz w:val="21"/>
                <w:szCs w:val="21"/>
                <w:vertAlign w:val="subscript"/>
              </w:rPr>
              <w:t>2</w:t>
            </w:r>
            <w:r>
              <w:rPr>
                <w:rFonts w:hint="default" w:ascii="Times New Roman" w:hAnsi="Times New Roman" w:cs="Times New Roman"/>
                <w:color w:val="auto"/>
                <w:kern w:val="0"/>
                <w:sz w:val="21"/>
                <w:szCs w:val="21"/>
              </w:rPr>
              <w:t>、PM</w:t>
            </w:r>
            <w:r>
              <w:rPr>
                <w:rFonts w:hint="default" w:ascii="Times New Roman" w:hAnsi="Times New Roman" w:cs="Times New Roman"/>
                <w:color w:val="auto"/>
                <w:kern w:val="0"/>
                <w:sz w:val="21"/>
                <w:szCs w:val="21"/>
                <w:vertAlign w:val="subscript"/>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地表水环境</w:t>
            </w:r>
          </w:p>
        </w:tc>
        <w:tc>
          <w:tcPr>
            <w:tcW w:w="435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COD、NH</w:t>
            </w:r>
            <w:r>
              <w:rPr>
                <w:rFonts w:hint="default" w:ascii="Times New Roman" w:hAnsi="Times New Roman" w:cs="Times New Roman"/>
                <w:color w:val="auto"/>
                <w:kern w:val="0"/>
                <w:sz w:val="21"/>
                <w:szCs w:val="21"/>
                <w:vertAlign w:val="subscript"/>
              </w:rPr>
              <w:t>3</w:t>
            </w:r>
            <w:r>
              <w:rPr>
                <w:rFonts w:hint="default" w:ascii="Times New Roman" w:hAnsi="Times New Roman" w:cs="Times New Roman"/>
                <w:color w:val="auto"/>
                <w:kern w:val="0"/>
                <w:sz w:val="21"/>
                <w:szCs w:val="21"/>
              </w:rPr>
              <w:t>-N、总磷</w:t>
            </w:r>
          </w:p>
        </w:tc>
        <w:tc>
          <w:tcPr>
            <w:tcW w:w="333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简单分析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地下水环境</w:t>
            </w:r>
          </w:p>
        </w:tc>
        <w:tc>
          <w:tcPr>
            <w:tcW w:w="435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pH、浑浊度、臭和味、K</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、Ca</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、Mg</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、HCO</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、Cl</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、pH、氨氮、亚硝酸盐、硝酸盐、挥发性酚类、氰化物、砷、汞、铬（六价）、总硬度、铅、氟、镉、铁、锰、溶解性总固体、高锰酸盐指数、硫酸盐、氯化物、总大肠菌群、细菌总数</w:t>
            </w:r>
          </w:p>
        </w:tc>
        <w:tc>
          <w:tcPr>
            <w:tcW w:w="333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影响分析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固体废物</w:t>
            </w:r>
          </w:p>
        </w:tc>
        <w:tc>
          <w:tcPr>
            <w:tcW w:w="435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333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猪粪、病死猪、生活垃圾、母猪胎盘、医疗废物等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声环境</w:t>
            </w:r>
          </w:p>
        </w:tc>
        <w:tc>
          <w:tcPr>
            <w:tcW w:w="435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等效连续A声级（Lep）</w:t>
            </w:r>
          </w:p>
        </w:tc>
        <w:tc>
          <w:tcPr>
            <w:tcW w:w="333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等效连续A声级（Lep）</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土壤</w:t>
            </w:r>
          </w:p>
        </w:tc>
        <w:tc>
          <w:tcPr>
            <w:tcW w:w="435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pH、镉、铬、汞、铅、砷、铜、镍、锌</w:t>
            </w:r>
          </w:p>
        </w:tc>
        <w:tc>
          <w:tcPr>
            <w:tcW w:w="333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风险</w:t>
            </w:r>
          </w:p>
        </w:tc>
        <w:tc>
          <w:tcPr>
            <w:tcW w:w="435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沼气（甲烷）</w:t>
            </w:r>
          </w:p>
        </w:tc>
        <w:tc>
          <w:tcPr>
            <w:tcW w:w="333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简单分析</w:t>
            </w:r>
          </w:p>
        </w:tc>
      </w:tr>
    </w:tbl>
    <w:p>
      <w:pPr>
        <w:pStyle w:val="30"/>
        <w:rPr>
          <w:rFonts w:hint="default" w:ascii="Times New Roman" w:hAnsi="Times New Roman" w:cs="Times New Roman"/>
          <w:color w:val="auto"/>
        </w:rPr>
      </w:pPr>
      <w:bookmarkStart w:id="150" w:name="_Toc30937"/>
      <w:bookmarkStart w:id="151" w:name="_Toc2941"/>
      <w:r>
        <w:rPr>
          <w:rFonts w:hint="default" w:ascii="Times New Roman" w:hAnsi="Times New Roman" w:cs="Times New Roman"/>
          <w:color w:val="auto"/>
        </w:rPr>
        <w:t>2.4 评价标准</w:t>
      </w:r>
      <w:bookmarkEnd w:id="149"/>
      <w:bookmarkEnd w:id="150"/>
      <w:bookmarkEnd w:id="151"/>
    </w:p>
    <w:p>
      <w:pPr>
        <w:ind w:firstLine="480"/>
        <w:rPr>
          <w:rFonts w:hint="default" w:ascii="Times New Roman" w:hAnsi="Times New Roman" w:cs="Times New Roman"/>
          <w:color w:val="auto"/>
        </w:rPr>
      </w:pPr>
      <w:bookmarkStart w:id="152" w:name="_Toc363720537"/>
      <w:r>
        <w:rPr>
          <w:rFonts w:hint="default" w:ascii="Times New Roman" w:hAnsi="Times New Roman" w:cs="Times New Roman"/>
          <w:color w:val="auto"/>
        </w:rPr>
        <w:t>根据清丰县环境保护局关于本项目执行标准的意见，项目执行环境质量标准见2.4-1和污染物排放标准见2.4-2。</w:t>
      </w:r>
    </w:p>
    <w:p>
      <w:pPr>
        <w:pStyle w:val="5"/>
        <w:rPr>
          <w:rFonts w:hint="default" w:ascii="Times New Roman" w:hAnsi="Times New Roman" w:cs="Times New Roman"/>
          <w:color w:val="auto"/>
        </w:rPr>
      </w:pPr>
      <w:r>
        <w:rPr>
          <w:rFonts w:hint="default" w:ascii="Times New Roman" w:hAnsi="Times New Roman" w:cs="Times New Roman"/>
          <w:color w:val="auto"/>
        </w:rPr>
        <w:t>2.4.1环境质量标准</w:t>
      </w:r>
      <w:bookmarkEnd w:id="152"/>
    </w:p>
    <w:p>
      <w:pPr>
        <w:numPr>
          <w:ilvl w:val="0"/>
          <w:numId w:val="4"/>
        </w:numPr>
        <w:spacing w:afterLines="30" w:line="500" w:lineRule="exact"/>
        <w:ind w:left="0"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 xml:space="preserve">                             环境质量标准表</w:t>
      </w:r>
    </w:p>
    <w:tbl>
      <w:tblPr>
        <w:tblStyle w:val="25"/>
        <w:tblW w:w="894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3462"/>
        <w:gridCol w:w="1698"/>
        <w:gridCol w:w="1013"/>
        <w:gridCol w:w="766"/>
        <w:gridCol w:w="96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blHeader/>
          <w:jc w:val="center"/>
        </w:trPr>
        <w:tc>
          <w:tcPr>
            <w:tcW w:w="104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环境要素</w:t>
            </w:r>
          </w:p>
        </w:tc>
        <w:tc>
          <w:tcPr>
            <w:tcW w:w="3462"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标准名称及级（类）别</w:t>
            </w:r>
          </w:p>
        </w:tc>
        <w:tc>
          <w:tcPr>
            <w:tcW w:w="169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项目</w:t>
            </w:r>
          </w:p>
        </w:tc>
        <w:tc>
          <w:tcPr>
            <w:tcW w:w="2743"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blHeade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szCs w:val="21"/>
              </w:rPr>
            </w:pPr>
          </w:p>
        </w:tc>
        <w:tc>
          <w:tcPr>
            <w:tcW w:w="169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szCs w:val="21"/>
              </w:rPr>
            </w:pP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单位</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数值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4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环境空气</w:t>
            </w:r>
          </w:p>
        </w:tc>
        <w:tc>
          <w:tcPr>
            <w:tcW w:w="3462"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《环境空气质量标准》（GB3095-2012）中二级标准</w:t>
            </w:r>
          </w:p>
        </w:tc>
        <w:tc>
          <w:tcPr>
            <w:tcW w:w="169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SO</w:t>
            </w:r>
            <w:r>
              <w:rPr>
                <w:rFonts w:hint="default" w:ascii="Times New Roman" w:hAnsi="Times New Roman" w:cs="Times New Roman"/>
                <w:color w:val="auto"/>
                <w:kern w:val="0"/>
                <w:sz w:val="21"/>
                <w:szCs w:val="21"/>
                <w:vertAlign w:val="subscript"/>
              </w:rPr>
              <w:t>2</w:t>
            </w:r>
          </w:p>
        </w:tc>
        <w:tc>
          <w:tcPr>
            <w:tcW w:w="101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µg/m</w:t>
            </w:r>
            <w:r>
              <w:rPr>
                <w:rFonts w:hint="default" w:ascii="Times New Roman" w:hAnsi="Times New Roman" w:cs="Times New Roman"/>
                <w:color w:val="auto"/>
                <w:kern w:val="0"/>
                <w:sz w:val="21"/>
                <w:szCs w:val="21"/>
                <w:vertAlign w:val="superscript"/>
              </w:rPr>
              <w:t>3</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年平均：60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01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24小时平均：150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01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1小时平均：500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NO</w:t>
            </w:r>
            <w:r>
              <w:rPr>
                <w:rFonts w:hint="default" w:ascii="Times New Roman" w:hAnsi="Times New Roman" w:cs="Times New Roman"/>
                <w:color w:val="auto"/>
                <w:kern w:val="0"/>
                <w:sz w:val="21"/>
                <w:szCs w:val="21"/>
                <w:vertAlign w:val="subscript"/>
              </w:rPr>
              <w:t>2</w:t>
            </w:r>
          </w:p>
        </w:tc>
        <w:tc>
          <w:tcPr>
            <w:tcW w:w="101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µg/m</w:t>
            </w:r>
            <w:r>
              <w:rPr>
                <w:rFonts w:hint="default" w:ascii="Times New Roman" w:hAnsi="Times New Roman" w:cs="Times New Roman"/>
                <w:color w:val="auto"/>
                <w:kern w:val="0"/>
                <w:sz w:val="21"/>
                <w:szCs w:val="21"/>
                <w:vertAlign w:val="superscript"/>
              </w:rPr>
              <w:t>3</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年平均：40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01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24小时平均：80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01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1小时平均：200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PM</w:t>
            </w:r>
            <w:r>
              <w:rPr>
                <w:rFonts w:hint="default" w:ascii="Times New Roman" w:hAnsi="Times New Roman" w:cs="Times New Roman"/>
                <w:color w:val="auto"/>
                <w:kern w:val="0"/>
                <w:sz w:val="21"/>
                <w:szCs w:val="21"/>
                <w:vertAlign w:val="subscript"/>
              </w:rPr>
              <w:t>2.5</w:t>
            </w:r>
          </w:p>
        </w:tc>
        <w:tc>
          <w:tcPr>
            <w:tcW w:w="101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µg/m</w:t>
            </w:r>
            <w:r>
              <w:rPr>
                <w:rFonts w:hint="default" w:ascii="Times New Roman" w:hAnsi="Times New Roman" w:cs="Times New Roman"/>
                <w:color w:val="auto"/>
                <w:kern w:val="0"/>
                <w:sz w:val="21"/>
                <w:szCs w:val="21"/>
                <w:vertAlign w:val="superscript"/>
              </w:rPr>
              <w:t>3</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年平均：35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01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24小时平均：75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vertAlign w:val="subscript"/>
              </w:rPr>
            </w:pPr>
            <w:r>
              <w:rPr>
                <w:rFonts w:hint="default" w:ascii="Times New Roman" w:hAnsi="Times New Roman" w:cs="Times New Roman"/>
                <w:color w:val="auto"/>
                <w:kern w:val="0"/>
                <w:sz w:val="21"/>
                <w:szCs w:val="21"/>
              </w:rPr>
              <w:t>PM</w:t>
            </w:r>
            <w:r>
              <w:rPr>
                <w:rFonts w:hint="default" w:ascii="Times New Roman" w:hAnsi="Times New Roman" w:cs="Times New Roman"/>
                <w:color w:val="auto"/>
                <w:kern w:val="0"/>
                <w:sz w:val="21"/>
                <w:szCs w:val="21"/>
                <w:vertAlign w:val="subscript"/>
              </w:rPr>
              <w:t>10</w:t>
            </w:r>
          </w:p>
        </w:tc>
        <w:tc>
          <w:tcPr>
            <w:tcW w:w="101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µg/m</w:t>
            </w:r>
            <w:r>
              <w:rPr>
                <w:rFonts w:hint="default" w:ascii="Times New Roman" w:hAnsi="Times New Roman" w:cs="Times New Roman"/>
                <w:color w:val="auto"/>
                <w:kern w:val="0"/>
                <w:sz w:val="21"/>
                <w:szCs w:val="21"/>
                <w:vertAlign w:val="superscript"/>
              </w:rPr>
              <w:t>3</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年平均：70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01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24小时平均：150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01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24小时平均：300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《环境影响评价技术导则 大气环境》(HJ2.2-2018)中附录D参考限值</w:t>
            </w: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H</w:t>
            </w:r>
            <w:r>
              <w:rPr>
                <w:rFonts w:hint="default" w:ascii="Times New Roman" w:hAnsi="Times New Roman" w:cs="Times New Roman"/>
                <w:color w:val="auto"/>
                <w:kern w:val="0"/>
                <w:sz w:val="21"/>
                <w:szCs w:val="21"/>
                <w:vertAlign w:val="subscript"/>
              </w:rPr>
              <w:t>2</w:t>
            </w:r>
            <w:r>
              <w:rPr>
                <w:rFonts w:hint="default" w:ascii="Times New Roman" w:hAnsi="Times New Roman" w:cs="Times New Roman"/>
                <w:color w:val="auto"/>
                <w:kern w:val="0"/>
                <w:sz w:val="21"/>
                <w:szCs w:val="21"/>
              </w:rPr>
              <w:t>S</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µg/m</w:t>
            </w:r>
            <w:r>
              <w:rPr>
                <w:rFonts w:hint="default" w:ascii="Times New Roman" w:hAnsi="Times New Roman" w:cs="Times New Roman"/>
                <w:color w:val="auto"/>
                <w:kern w:val="0"/>
                <w:sz w:val="21"/>
                <w:szCs w:val="21"/>
                <w:vertAlign w:val="superscript"/>
              </w:rPr>
              <w:t>3</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一次值：10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NH</w:t>
            </w:r>
            <w:r>
              <w:rPr>
                <w:rFonts w:hint="default" w:ascii="Times New Roman" w:hAnsi="Times New Roman" w:cs="Times New Roman"/>
                <w:color w:val="auto"/>
                <w:kern w:val="0"/>
                <w:sz w:val="21"/>
                <w:szCs w:val="21"/>
                <w:vertAlign w:val="subscript"/>
              </w:rPr>
              <w:t>3</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µg/m</w:t>
            </w:r>
            <w:r>
              <w:rPr>
                <w:rFonts w:hint="default" w:ascii="Times New Roman" w:hAnsi="Times New Roman" w:cs="Times New Roman"/>
                <w:color w:val="auto"/>
                <w:kern w:val="0"/>
                <w:sz w:val="21"/>
                <w:szCs w:val="21"/>
                <w:vertAlign w:val="superscript"/>
              </w:rPr>
              <w:t>3</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一次值：200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4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声环境</w:t>
            </w:r>
          </w:p>
        </w:tc>
        <w:tc>
          <w:tcPr>
            <w:tcW w:w="3462"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《声环境质量标准》（GB3096-2008）2类标准</w:t>
            </w:r>
          </w:p>
        </w:tc>
        <w:tc>
          <w:tcPr>
            <w:tcW w:w="169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vertAlign w:val="subscript"/>
              </w:rPr>
            </w:pPr>
            <w:r>
              <w:rPr>
                <w:rFonts w:hint="default" w:ascii="Times New Roman" w:hAnsi="Times New Roman" w:cs="Times New Roman"/>
                <w:color w:val="auto"/>
                <w:kern w:val="0"/>
                <w:sz w:val="21"/>
                <w:szCs w:val="21"/>
              </w:rPr>
              <w:t>等效声级LA</w:t>
            </w:r>
            <w:r>
              <w:rPr>
                <w:rFonts w:hint="default" w:ascii="Times New Roman" w:hAnsi="Times New Roman" w:cs="Times New Roman"/>
                <w:color w:val="auto"/>
                <w:kern w:val="0"/>
                <w:sz w:val="21"/>
                <w:szCs w:val="21"/>
                <w:vertAlign w:val="subscript"/>
              </w:rPr>
              <w:t>eq</w:t>
            </w:r>
          </w:p>
        </w:tc>
        <w:tc>
          <w:tcPr>
            <w:tcW w:w="101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dB（A）</w:t>
            </w:r>
          </w:p>
        </w:tc>
        <w:tc>
          <w:tcPr>
            <w:tcW w:w="76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昼</w:t>
            </w:r>
          </w:p>
        </w:tc>
        <w:tc>
          <w:tcPr>
            <w:tcW w:w="96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01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76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夜</w:t>
            </w:r>
          </w:p>
        </w:tc>
        <w:tc>
          <w:tcPr>
            <w:tcW w:w="96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04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地表水</w:t>
            </w:r>
          </w:p>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环境</w:t>
            </w:r>
          </w:p>
        </w:tc>
        <w:tc>
          <w:tcPr>
            <w:tcW w:w="3462"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《地表水环境质量标准》（GB3838-2002）</w:t>
            </w:r>
            <w:r>
              <w:rPr>
                <w:rFonts w:hint="default" w:ascii="Times New Roman" w:hAnsi="Times New Roman" w:cs="Times New Roman"/>
                <w:color w:val="auto"/>
                <w:kern w:val="0"/>
                <w:sz w:val="21"/>
                <w:szCs w:val="21"/>
              </w:rPr>
              <w:fldChar w:fldCharType="begin"/>
            </w:r>
            <w:r>
              <w:rPr>
                <w:rFonts w:hint="default" w:ascii="Times New Roman" w:hAnsi="Times New Roman" w:cs="Times New Roman"/>
                <w:color w:val="auto"/>
                <w:kern w:val="0"/>
                <w:sz w:val="21"/>
                <w:szCs w:val="21"/>
              </w:rPr>
              <w:instrText xml:space="preserve"> = 4 \* ROMAN \* MERGEFORMAT </w:instrText>
            </w:r>
            <w:r>
              <w:rPr>
                <w:rFonts w:hint="default" w:ascii="Times New Roman" w:hAnsi="Times New Roman" w:cs="Times New Roman"/>
                <w:color w:val="auto"/>
                <w:kern w:val="0"/>
                <w:sz w:val="21"/>
                <w:szCs w:val="21"/>
              </w:rPr>
              <w:fldChar w:fldCharType="separate"/>
            </w:r>
            <w:r>
              <w:rPr>
                <w:rFonts w:hint="default" w:ascii="Times New Roman" w:hAnsi="Times New Roman" w:cs="Times New Roman"/>
                <w:color w:val="auto"/>
                <w:kern w:val="0"/>
                <w:sz w:val="21"/>
                <w:szCs w:val="21"/>
              </w:rPr>
              <w:t>IV</w:t>
            </w:r>
            <w:r>
              <w:rPr>
                <w:rFonts w:hint="default" w:ascii="Times New Roman" w:hAnsi="Times New Roman" w:cs="Times New Roman"/>
                <w:color w:val="auto"/>
                <w:kern w:val="0"/>
                <w:sz w:val="21"/>
                <w:szCs w:val="21"/>
              </w:rPr>
              <w:fldChar w:fldCharType="end"/>
            </w:r>
            <w:r>
              <w:rPr>
                <w:rFonts w:hint="default" w:ascii="Times New Roman" w:hAnsi="Times New Roman" w:cs="Times New Roman"/>
                <w:color w:val="auto"/>
                <w:kern w:val="0"/>
                <w:sz w:val="21"/>
                <w:szCs w:val="21"/>
              </w:rPr>
              <w:t>类</w:t>
            </w: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pH</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vertAlign w:val="subscript"/>
              </w:rPr>
            </w:pPr>
            <w:r>
              <w:rPr>
                <w:rFonts w:hint="default" w:ascii="Times New Roman" w:hAnsi="Times New Roman" w:cs="Times New Roman"/>
                <w:color w:val="auto"/>
                <w:kern w:val="0"/>
                <w:sz w:val="21"/>
                <w:szCs w:val="21"/>
              </w:rPr>
              <w:t>COD</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氨氮</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总磷</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w:t>
            </w:r>
            <w:r>
              <w:rPr>
                <w:rFonts w:hint="default" w:ascii="Times New Roman" w:hAnsi="Times New Roman" w:cs="Times New Roman"/>
                <w:color w:val="auto"/>
                <w:kern w:val="0"/>
                <w:sz w:val="21"/>
                <w:szCs w:val="21"/>
                <w:lang w:val="en-US" w:eastAsia="zh-CN"/>
              </w:rPr>
              <w:t>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地下水</w:t>
            </w:r>
          </w:p>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环境</w:t>
            </w:r>
          </w:p>
        </w:tc>
        <w:tc>
          <w:tcPr>
            <w:tcW w:w="3462"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《地下水质量标准》（GB/T14848-2017）Ⅲ类</w:t>
            </w: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pH</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6.5-8.5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氨氮</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总硬度</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氰化物</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溶解性总固体</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硝酸盐</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耗氧量</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亚硝酸盐</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总大肠菌群</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个/L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细菌总数</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个/L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硫酸盐</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氯化物</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6"/>
                <w:kern w:val="0"/>
                <w:sz w:val="21"/>
                <w:szCs w:val="21"/>
              </w:rPr>
            </w:pPr>
            <w:r>
              <w:rPr>
                <w:rFonts w:hint="default" w:ascii="Times New Roman" w:hAnsi="Times New Roman" w:cs="Times New Roman"/>
                <w:color w:val="auto"/>
                <w:spacing w:val="-6"/>
                <w:kern w:val="0"/>
                <w:sz w:val="21"/>
                <w:szCs w:val="21"/>
              </w:rPr>
              <w:t>挥发性酚类</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6"/>
                <w:kern w:val="0"/>
                <w:sz w:val="21"/>
                <w:szCs w:val="21"/>
              </w:rPr>
            </w:pPr>
            <w:r>
              <w:rPr>
                <w:rFonts w:hint="default" w:ascii="Times New Roman" w:hAnsi="Times New Roman" w:cs="Times New Roman"/>
                <w:color w:val="auto"/>
                <w:spacing w:val="-6"/>
                <w:kern w:val="0"/>
                <w:sz w:val="21"/>
                <w:szCs w:val="21"/>
              </w:rPr>
              <w:t>mg/L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6"/>
                <w:kern w:val="0"/>
                <w:sz w:val="21"/>
                <w:szCs w:val="21"/>
              </w:rPr>
            </w:pPr>
            <w:r>
              <w:rPr>
                <w:rFonts w:hint="default" w:ascii="Times New Roman" w:hAnsi="Times New Roman" w:cs="Times New Roman"/>
                <w:color w:val="auto"/>
                <w:spacing w:val="-6"/>
                <w:kern w:val="0"/>
                <w:sz w:val="21"/>
                <w:szCs w:val="21"/>
              </w:rPr>
              <w:t>≤0.002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6"/>
                <w:kern w:val="0"/>
                <w:sz w:val="21"/>
                <w:szCs w:val="21"/>
              </w:rPr>
            </w:pPr>
            <w:r>
              <w:rPr>
                <w:rFonts w:hint="default" w:ascii="Times New Roman" w:hAnsi="Times New Roman" w:cs="Times New Roman"/>
                <w:color w:val="auto"/>
                <w:spacing w:val="-6"/>
                <w:kern w:val="0"/>
                <w:sz w:val="21"/>
                <w:szCs w:val="21"/>
              </w:rPr>
              <w:t>砷</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6"/>
                <w:kern w:val="0"/>
                <w:sz w:val="21"/>
                <w:szCs w:val="21"/>
              </w:rPr>
            </w:pPr>
            <w:r>
              <w:rPr>
                <w:rFonts w:hint="default" w:ascii="Times New Roman" w:hAnsi="Times New Roman" w:cs="Times New Roman"/>
                <w:color w:val="auto"/>
                <w:spacing w:val="-6"/>
                <w:kern w:val="0"/>
                <w:sz w:val="21"/>
                <w:szCs w:val="21"/>
              </w:rPr>
              <w:t>mg/L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6"/>
                <w:kern w:val="0"/>
                <w:sz w:val="21"/>
                <w:szCs w:val="21"/>
              </w:rPr>
            </w:pPr>
            <w:r>
              <w:rPr>
                <w:rFonts w:hint="default" w:ascii="Times New Roman" w:hAnsi="Times New Roman" w:cs="Times New Roman"/>
                <w:color w:val="auto"/>
                <w:spacing w:val="-6"/>
                <w:kern w:val="0"/>
                <w:sz w:val="21"/>
                <w:szCs w:val="21"/>
              </w:rPr>
              <w:t>≤0.01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6"/>
                <w:kern w:val="0"/>
                <w:sz w:val="21"/>
                <w:szCs w:val="21"/>
              </w:rPr>
            </w:pPr>
            <w:r>
              <w:rPr>
                <w:rFonts w:hint="default" w:ascii="Times New Roman" w:hAnsi="Times New Roman" w:cs="Times New Roman"/>
                <w:color w:val="auto"/>
                <w:spacing w:val="-6"/>
                <w:kern w:val="0"/>
                <w:sz w:val="21"/>
                <w:szCs w:val="21"/>
              </w:rPr>
              <w:t>汞</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6"/>
                <w:kern w:val="0"/>
                <w:sz w:val="21"/>
                <w:szCs w:val="21"/>
              </w:rPr>
            </w:pPr>
            <w:r>
              <w:rPr>
                <w:rFonts w:hint="default" w:ascii="Times New Roman" w:hAnsi="Times New Roman" w:cs="Times New Roman"/>
                <w:color w:val="auto"/>
                <w:spacing w:val="-6"/>
                <w:kern w:val="0"/>
                <w:sz w:val="21"/>
                <w:szCs w:val="21"/>
              </w:rPr>
              <w:t>mg/L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6"/>
                <w:kern w:val="0"/>
                <w:sz w:val="21"/>
                <w:szCs w:val="21"/>
              </w:rPr>
            </w:pPr>
            <w:r>
              <w:rPr>
                <w:rFonts w:hint="default" w:ascii="Times New Roman" w:hAnsi="Times New Roman" w:cs="Times New Roman"/>
                <w:color w:val="auto"/>
                <w:spacing w:val="-6"/>
                <w:kern w:val="0"/>
                <w:sz w:val="21"/>
                <w:szCs w:val="21"/>
              </w:rPr>
              <w:t>≤0.001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6"/>
                <w:kern w:val="0"/>
                <w:sz w:val="21"/>
                <w:szCs w:val="21"/>
              </w:rPr>
            </w:pPr>
            <w:r>
              <w:rPr>
                <w:rFonts w:hint="default" w:ascii="Times New Roman" w:hAnsi="Times New Roman" w:cs="Times New Roman"/>
                <w:color w:val="auto"/>
                <w:spacing w:val="-6"/>
                <w:kern w:val="0"/>
                <w:sz w:val="21"/>
                <w:szCs w:val="21"/>
              </w:rPr>
              <w:t>铬（六价）</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6"/>
                <w:kern w:val="0"/>
                <w:sz w:val="21"/>
                <w:szCs w:val="21"/>
              </w:rPr>
            </w:pPr>
            <w:r>
              <w:rPr>
                <w:rFonts w:hint="default" w:ascii="Times New Roman" w:hAnsi="Times New Roman" w:cs="Times New Roman"/>
                <w:color w:val="auto"/>
                <w:spacing w:val="-6"/>
                <w:kern w:val="0"/>
                <w:sz w:val="21"/>
                <w:szCs w:val="21"/>
              </w:rPr>
              <w:t>mg/L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6"/>
                <w:kern w:val="0"/>
                <w:sz w:val="21"/>
                <w:szCs w:val="21"/>
              </w:rPr>
            </w:pPr>
            <w:r>
              <w:rPr>
                <w:rFonts w:hint="default" w:ascii="Times New Roman" w:hAnsi="Times New Roman" w:cs="Times New Roman"/>
                <w:color w:val="auto"/>
                <w:spacing w:val="-6"/>
                <w:kern w:val="0"/>
                <w:sz w:val="21"/>
                <w:szCs w:val="21"/>
              </w:rPr>
              <w:t>≤0.05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6"/>
                <w:kern w:val="0"/>
                <w:sz w:val="21"/>
                <w:szCs w:val="21"/>
              </w:rPr>
            </w:pPr>
            <w:r>
              <w:rPr>
                <w:rFonts w:hint="default" w:ascii="Times New Roman" w:hAnsi="Times New Roman" w:cs="Times New Roman"/>
                <w:color w:val="auto"/>
                <w:spacing w:val="-6"/>
                <w:kern w:val="0"/>
                <w:sz w:val="21"/>
                <w:szCs w:val="21"/>
              </w:rPr>
              <w:t>铅</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6"/>
                <w:kern w:val="0"/>
                <w:sz w:val="21"/>
                <w:szCs w:val="21"/>
              </w:rPr>
            </w:pPr>
            <w:r>
              <w:rPr>
                <w:rFonts w:hint="default" w:ascii="Times New Roman" w:hAnsi="Times New Roman" w:cs="Times New Roman"/>
                <w:color w:val="auto"/>
                <w:spacing w:val="-6"/>
                <w:kern w:val="0"/>
                <w:sz w:val="21"/>
                <w:szCs w:val="21"/>
              </w:rPr>
              <w:t>mg/L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6"/>
                <w:kern w:val="0"/>
                <w:sz w:val="21"/>
                <w:szCs w:val="21"/>
              </w:rPr>
            </w:pPr>
            <w:r>
              <w:rPr>
                <w:rFonts w:hint="default" w:ascii="Times New Roman" w:hAnsi="Times New Roman" w:cs="Times New Roman"/>
                <w:color w:val="auto"/>
                <w:spacing w:val="-6"/>
                <w:kern w:val="0"/>
                <w:sz w:val="21"/>
                <w:szCs w:val="21"/>
              </w:rPr>
              <w:t>≤0.01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6"/>
                <w:kern w:val="0"/>
                <w:sz w:val="21"/>
                <w:szCs w:val="21"/>
              </w:rPr>
            </w:pPr>
            <w:r>
              <w:rPr>
                <w:rFonts w:hint="default" w:ascii="Times New Roman" w:hAnsi="Times New Roman" w:cs="Times New Roman"/>
                <w:color w:val="auto"/>
                <w:spacing w:val="-6"/>
                <w:kern w:val="0"/>
                <w:sz w:val="21"/>
                <w:szCs w:val="21"/>
              </w:rPr>
              <w:t>氟</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6"/>
                <w:kern w:val="0"/>
                <w:sz w:val="21"/>
                <w:szCs w:val="21"/>
              </w:rPr>
            </w:pPr>
            <w:r>
              <w:rPr>
                <w:rFonts w:hint="default" w:ascii="Times New Roman" w:hAnsi="Times New Roman" w:cs="Times New Roman"/>
                <w:color w:val="auto"/>
                <w:spacing w:val="-6"/>
                <w:kern w:val="0"/>
                <w:sz w:val="21"/>
                <w:szCs w:val="21"/>
              </w:rPr>
              <w:t>mg/L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6"/>
                <w:kern w:val="0"/>
                <w:sz w:val="21"/>
                <w:szCs w:val="21"/>
              </w:rPr>
            </w:pPr>
            <w:r>
              <w:rPr>
                <w:rFonts w:hint="default" w:ascii="Times New Roman" w:hAnsi="Times New Roman" w:cs="Times New Roman"/>
                <w:color w:val="auto"/>
                <w:spacing w:val="-6"/>
                <w:kern w:val="0"/>
                <w:sz w:val="21"/>
                <w:szCs w:val="21"/>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6"/>
                <w:kern w:val="0"/>
                <w:sz w:val="21"/>
                <w:szCs w:val="21"/>
              </w:rPr>
            </w:pPr>
            <w:r>
              <w:rPr>
                <w:rFonts w:hint="default" w:ascii="Times New Roman" w:hAnsi="Times New Roman" w:cs="Times New Roman"/>
                <w:color w:val="auto"/>
                <w:spacing w:val="-6"/>
                <w:kern w:val="0"/>
                <w:sz w:val="21"/>
                <w:szCs w:val="21"/>
              </w:rPr>
              <w:t>镉</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6"/>
                <w:kern w:val="0"/>
                <w:sz w:val="21"/>
                <w:szCs w:val="21"/>
              </w:rPr>
            </w:pPr>
            <w:r>
              <w:rPr>
                <w:rFonts w:hint="default" w:ascii="Times New Roman" w:hAnsi="Times New Roman" w:cs="Times New Roman"/>
                <w:color w:val="auto"/>
                <w:spacing w:val="-6"/>
                <w:kern w:val="0"/>
                <w:sz w:val="21"/>
                <w:szCs w:val="21"/>
              </w:rPr>
              <w:t>mg/L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6"/>
                <w:kern w:val="0"/>
                <w:sz w:val="21"/>
                <w:szCs w:val="21"/>
              </w:rPr>
            </w:pPr>
            <w:r>
              <w:rPr>
                <w:rFonts w:hint="default" w:ascii="Times New Roman" w:hAnsi="Times New Roman" w:cs="Times New Roman"/>
                <w:color w:val="auto"/>
                <w:spacing w:val="-6"/>
                <w:kern w:val="0"/>
                <w:sz w:val="21"/>
                <w:szCs w:val="21"/>
              </w:rPr>
              <w:t>≤0.005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6"/>
                <w:kern w:val="0"/>
                <w:sz w:val="21"/>
                <w:szCs w:val="21"/>
              </w:rPr>
            </w:pPr>
            <w:r>
              <w:rPr>
                <w:rFonts w:hint="default" w:ascii="Times New Roman" w:hAnsi="Times New Roman" w:cs="Times New Roman"/>
                <w:color w:val="auto"/>
                <w:spacing w:val="-6"/>
                <w:kern w:val="0"/>
                <w:sz w:val="21"/>
                <w:szCs w:val="21"/>
              </w:rPr>
              <w:t>铁</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6"/>
                <w:kern w:val="0"/>
                <w:sz w:val="21"/>
                <w:szCs w:val="21"/>
              </w:rPr>
            </w:pPr>
            <w:r>
              <w:rPr>
                <w:rFonts w:hint="default" w:ascii="Times New Roman" w:hAnsi="Times New Roman" w:cs="Times New Roman"/>
                <w:color w:val="auto"/>
                <w:spacing w:val="-6"/>
                <w:kern w:val="0"/>
                <w:sz w:val="21"/>
                <w:szCs w:val="21"/>
              </w:rPr>
              <w:t>mg/L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6"/>
                <w:kern w:val="0"/>
                <w:sz w:val="21"/>
                <w:szCs w:val="21"/>
              </w:rPr>
            </w:pPr>
            <w:r>
              <w:rPr>
                <w:rFonts w:hint="default" w:ascii="Times New Roman" w:hAnsi="Times New Roman" w:cs="Times New Roman"/>
                <w:color w:val="auto"/>
                <w:spacing w:val="-6"/>
                <w:kern w:val="0"/>
                <w:sz w:val="21"/>
                <w:szCs w:val="21"/>
              </w:rPr>
              <w:t>≤0.3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6"/>
                <w:kern w:val="0"/>
                <w:sz w:val="21"/>
                <w:szCs w:val="21"/>
              </w:rPr>
            </w:pPr>
            <w:r>
              <w:rPr>
                <w:rFonts w:hint="default" w:ascii="Times New Roman" w:hAnsi="Times New Roman" w:cs="Times New Roman"/>
                <w:color w:val="auto"/>
                <w:spacing w:val="-6"/>
                <w:kern w:val="0"/>
                <w:sz w:val="21"/>
                <w:szCs w:val="21"/>
              </w:rPr>
              <w:t>锰</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6"/>
                <w:kern w:val="0"/>
                <w:sz w:val="21"/>
                <w:szCs w:val="21"/>
              </w:rPr>
            </w:pPr>
            <w:r>
              <w:rPr>
                <w:rFonts w:hint="default" w:ascii="Times New Roman" w:hAnsi="Times New Roman" w:cs="Times New Roman"/>
                <w:color w:val="auto"/>
                <w:spacing w:val="-6"/>
                <w:kern w:val="0"/>
                <w:sz w:val="21"/>
                <w:szCs w:val="21"/>
              </w:rPr>
              <w:t>mg/L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6"/>
                <w:kern w:val="0"/>
                <w:sz w:val="21"/>
                <w:szCs w:val="21"/>
              </w:rPr>
            </w:pPr>
            <w:r>
              <w:rPr>
                <w:rFonts w:hint="default" w:ascii="Times New Roman" w:hAnsi="Times New Roman" w:cs="Times New Roman"/>
                <w:color w:val="auto"/>
                <w:spacing w:val="-6"/>
                <w:kern w:val="0"/>
                <w:sz w:val="21"/>
                <w:szCs w:val="21"/>
              </w:rPr>
              <w:t>≤0.1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土壤环境</w:t>
            </w:r>
          </w:p>
        </w:tc>
        <w:tc>
          <w:tcPr>
            <w:tcW w:w="3462"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《土壤环境质量标准 农用地土壤污染风险管控标准（试行）》GB15618-2018</w:t>
            </w: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pH</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铜（其他）</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mg/kg</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镉（其他）</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mg/kg</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汞（其他）</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mg/kg</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砷（其他）</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mg/kg</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铅（其他）</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mg/kg</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铬（其他）</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mg/kg</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锌</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mg/kg</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镍</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mg/kg</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行业标准</w:t>
            </w:r>
          </w:p>
        </w:tc>
        <w:tc>
          <w:tcPr>
            <w:tcW w:w="3462"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《畜禽养殖产地环境评价规范》（HJ568-2010）中表2畜禽饮用水水质评价指标限值禽类</w:t>
            </w: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pH</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6.5-8.5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总硬度</w:t>
            </w:r>
          </w:p>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（以CaCO</w:t>
            </w:r>
            <w:r>
              <w:rPr>
                <w:rFonts w:hint="default" w:ascii="Times New Roman" w:hAnsi="Times New Roman" w:cs="Times New Roman"/>
                <w:color w:val="auto"/>
                <w:kern w:val="0"/>
                <w:sz w:val="21"/>
                <w:szCs w:val="21"/>
                <w:vertAlign w:val="subscript"/>
              </w:rPr>
              <w:t>3</w:t>
            </w:r>
            <w:r>
              <w:rPr>
                <w:rFonts w:hint="default" w:ascii="Times New Roman" w:hAnsi="Times New Roman" w:cs="Times New Roman"/>
                <w:color w:val="auto"/>
                <w:kern w:val="0"/>
                <w:sz w:val="21"/>
                <w:szCs w:val="21"/>
              </w:rPr>
              <w:t>）</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1500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总大肠菌群</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溶解性总固体</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硝酸盐(以N计)</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硫酸盐</w:t>
            </w:r>
          </w:p>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（以SO</w:t>
            </w:r>
            <w:r>
              <w:rPr>
                <w:rFonts w:hint="default" w:ascii="Times New Roman" w:hAnsi="Times New Roman" w:cs="Times New Roman"/>
                <w:color w:val="auto"/>
                <w:kern w:val="0"/>
                <w:sz w:val="21"/>
                <w:szCs w:val="21"/>
                <w:vertAlign w:val="subscript"/>
              </w:rPr>
              <w:t>4</w:t>
            </w:r>
            <w:r>
              <w:rPr>
                <w:rFonts w:hint="default" w:ascii="Times New Roman" w:hAnsi="Times New Roman" w:cs="Times New Roman"/>
                <w:color w:val="auto"/>
                <w:kern w:val="0"/>
                <w:sz w:val="21"/>
                <w:szCs w:val="21"/>
                <w:vertAlign w:val="superscript"/>
              </w:rPr>
              <w:t>2-</w:t>
            </w:r>
            <w:r>
              <w:rPr>
                <w:rFonts w:hint="default" w:ascii="Times New Roman" w:hAnsi="Times New Roman" w:cs="Times New Roman"/>
                <w:color w:val="auto"/>
                <w:kern w:val="0"/>
                <w:sz w:val="21"/>
                <w:szCs w:val="21"/>
              </w:rPr>
              <w:t>）</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eastAsia="楷体_GB2312" w:cs="Times New Roman"/>
                <w:color w:val="auto"/>
                <w:spacing w:val="-6"/>
                <w:kern w:val="0"/>
                <w:sz w:val="28"/>
                <w:szCs w:val="20"/>
              </w:rPr>
            </w:pPr>
            <w:r>
              <w:rPr>
                <w:rFonts w:hint="default" w:ascii="Times New Roman" w:hAnsi="Times New Roman" w:cs="Times New Roman"/>
                <w:color w:val="auto"/>
                <w:kern w:val="0"/>
                <w:sz w:val="21"/>
                <w:szCs w:val="21"/>
              </w:rPr>
              <w:t>mg/L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砷</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eastAsia="楷体_GB2312" w:cs="Times New Roman"/>
                <w:color w:val="auto"/>
                <w:spacing w:val="-6"/>
                <w:kern w:val="0"/>
                <w:sz w:val="28"/>
                <w:szCs w:val="20"/>
              </w:rPr>
            </w:pPr>
            <w:r>
              <w:rPr>
                <w:rFonts w:hint="default" w:ascii="Times New Roman" w:hAnsi="Times New Roman" w:cs="Times New Roman"/>
                <w:color w:val="auto"/>
                <w:kern w:val="0"/>
                <w:sz w:val="21"/>
                <w:szCs w:val="21"/>
              </w:rPr>
              <w:t>mg/L</w:t>
            </w:r>
          </w:p>
        </w:tc>
        <w:tc>
          <w:tcPr>
            <w:tcW w:w="1730" w:type="dxa"/>
            <w:gridSpan w:val="2"/>
            <w:tcBorders>
              <w:tl2br w:val="nil"/>
              <w:tr2bl w:val="nil"/>
            </w:tcBorders>
            <w:vAlign w:val="center"/>
          </w:tcPr>
          <w:p>
            <w:pPr>
              <w:spacing w:line="240" w:lineRule="auto"/>
              <w:ind w:firstLine="525" w:firstLineChars="25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汞</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eastAsia="楷体_GB2312" w:cs="Times New Roman"/>
                <w:color w:val="auto"/>
                <w:spacing w:val="-6"/>
                <w:kern w:val="0"/>
                <w:sz w:val="28"/>
                <w:szCs w:val="20"/>
              </w:rPr>
            </w:pPr>
            <w:r>
              <w:rPr>
                <w:rFonts w:hint="default" w:ascii="Times New Roman" w:hAnsi="Times New Roman" w:cs="Times New Roman"/>
                <w:color w:val="auto"/>
                <w:kern w:val="0"/>
                <w:sz w:val="21"/>
                <w:szCs w:val="21"/>
              </w:rPr>
              <w:t>mg/L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铅</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eastAsia="楷体_GB2312" w:cs="Times New Roman"/>
                <w:color w:val="auto"/>
                <w:spacing w:val="-6"/>
                <w:kern w:val="0"/>
                <w:sz w:val="28"/>
                <w:szCs w:val="20"/>
              </w:rPr>
            </w:pPr>
            <w:r>
              <w:rPr>
                <w:rFonts w:hint="default" w:ascii="Times New Roman" w:hAnsi="Times New Roman" w:cs="Times New Roman"/>
                <w:color w:val="auto"/>
                <w:kern w:val="0"/>
                <w:sz w:val="21"/>
                <w:szCs w:val="21"/>
              </w:rPr>
              <w:t>mg/L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pacing w:val="-6"/>
                <w:kern w:val="0"/>
                <w:sz w:val="21"/>
                <w:szCs w:val="21"/>
              </w:rPr>
              <w:t>铬（六价）</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eastAsia="楷体_GB2312" w:cs="Times New Roman"/>
                <w:color w:val="auto"/>
                <w:spacing w:val="-6"/>
                <w:kern w:val="0"/>
                <w:sz w:val="28"/>
                <w:szCs w:val="20"/>
              </w:rPr>
            </w:pPr>
            <w:r>
              <w:rPr>
                <w:rFonts w:hint="default" w:ascii="Times New Roman" w:hAnsi="Times New Roman" w:cs="Times New Roman"/>
                <w:color w:val="auto"/>
                <w:kern w:val="0"/>
                <w:sz w:val="21"/>
                <w:szCs w:val="21"/>
              </w:rPr>
              <w:t>mg/L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pacing w:val="-6"/>
                <w:kern w:val="0"/>
                <w:sz w:val="21"/>
                <w:szCs w:val="21"/>
              </w:rPr>
            </w:pPr>
            <w:r>
              <w:rPr>
                <w:rFonts w:hint="default" w:ascii="Times New Roman" w:hAnsi="Times New Roman" w:cs="Times New Roman"/>
                <w:color w:val="auto"/>
                <w:kern w:val="0"/>
                <w:sz w:val="21"/>
                <w:szCs w:val="21"/>
              </w:rPr>
              <w:t>镉</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eastAsia="楷体_GB2312" w:cs="Times New Roman"/>
                <w:color w:val="auto"/>
                <w:spacing w:val="-6"/>
                <w:kern w:val="0"/>
                <w:sz w:val="28"/>
                <w:szCs w:val="20"/>
              </w:rPr>
            </w:pPr>
            <w:r>
              <w:rPr>
                <w:rFonts w:hint="default" w:ascii="Times New Roman" w:hAnsi="Times New Roman" w:cs="Times New Roman"/>
                <w:color w:val="auto"/>
                <w:kern w:val="0"/>
                <w:sz w:val="21"/>
                <w:szCs w:val="21"/>
              </w:rPr>
              <w:t>mg/L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氟化物</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《畜禽养殖产地环境评价规范》（HJ568-2010）中表4土壤环境质量评价指标限值</w:t>
            </w: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镉</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mg/kg</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汞</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mg/kg</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砷</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mg/kg</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铜</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mg/kg</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铅</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mg/kg</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铬</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mg/kg</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锌</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mg/kg</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镍</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mg/kg</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《畜禽养殖产地环境评价规范》（HJ568-2010）中表5环境空气质量评价指标限值（1日平均）</w:t>
            </w: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NH</w:t>
            </w:r>
            <w:r>
              <w:rPr>
                <w:rFonts w:hint="default" w:ascii="Times New Roman" w:hAnsi="Times New Roman" w:cs="Times New Roman"/>
                <w:color w:val="auto"/>
                <w:kern w:val="0"/>
                <w:sz w:val="21"/>
                <w:szCs w:val="21"/>
                <w:vertAlign w:val="subscript"/>
              </w:rPr>
              <w:t>3</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H</w:t>
            </w:r>
            <w:r>
              <w:rPr>
                <w:rFonts w:hint="default" w:ascii="Times New Roman" w:hAnsi="Times New Roman" w:cs="Times New Roman"/>
                <w:color w:val="auto"/>
                <w:kern w:val="0"/>
                <w:sz w:val="21"/>
                <w:szCs w:val="21"/>
                <w:vertAlign w:val="subscript"/>
              </w:rPr>
              <w:t>2</w:t>
            </w:r>
            <w:r>
              <w:rPr>
                <w:rFonts w:hint="default" w:ascii="Times New Roman" w:hAnsi="Times New Roman" w:cs="Times New Roman"/>
                <w:color w:val="auto"/>
                <w:kern w:val="0"/>
                <w:sz w:val="21"/>
                <w:szCs w:val="21"/>
              </w:rPr>
              <w:t>S</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PM</w:t>
            </w:r>
            <w:r>
              <w:rPr>
                <w:rFonts w:hint="default" w:ascii="Times New Roman" w:hAnsi="Times New Roman" w:cs="Times New Roman"/>
                <w:color w:val="auto"/>
                <w:kern w:val="0"/>
                <w:sz w:val="21"/>
                <w:szCs w:val="21"/>
                <w:vertAlign w:val="subscript"/>
              </w:rPr>
              <w:t>10</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TSP</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《畜禽养殖产地环境评价规范》（HJ568-2010）中表6声环境质量评价指标限值</w:t>
            </w: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昼间</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dB（A）</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4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46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6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夜间</w:t>
            </w:r>
          </w:p>
        </w:tc>
        <w:tc>
          <w:tcPr>
            <w:tcW w:w="10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dB（A）</w:t>
            </w:r>
          </w:p>
        </w:tc>
        <w:tc>
          <w:tcPr>
            <w:tcW w:w="1730"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50</w:t>
            </w:r>
          </w:p>
        </w:tc>
      </w:tr>
    </w:tbl>
    <w:p>
      <w:pPr>
        <w:pStyle w:val="5"/>
        <w:spacing w:line="600" w:lineRule="exact"/>
        <w:rPr>
          <w:rFonts w:hint="default" w:ascii="Times New Roman" w:hAnsi="Times New Roman" w:cs="Times New Roman"/>
          <w:color w:val="auto"/>
        </w:rPr>
      </w:pPr>
      <w:r>
        <w:rPr>
          <w:rFonts w:hint="default" w:ascii="Times New Roman" w:hAnsi="Times New Roman" w:cs="Times New Roman"/>
          <w:color w:val="auto"/>
        </w:rPr>
        <w:t>2.4.2污染物排放标准</w:t>
      </w:r>
    </w:p>
    <w:p>
      <w:pPr>
        <w:numPr>
          <w:ilvl w:val="0"/>
          <w:numId w:val="4"/>
        </w:numPr>
        <w:spacing w:afterLines="30" w:line="500" w:lineRule="exact"/>
        <w:ind w:left="0" w:firstLine="482"/>
        <w:jc w:val="left"/>
        <w:rPr>
          <w:rFonts w:hint="default" w:ascii="Times New Roman" w:hAnsi="Times New Roman" w:eastAsia="黑体" w:cs="Times New Roman"/>
          <w:color w:val="auto"/>
          <w:szCs w:val="21"/>
        </w:rPr>
      </w:pPr>
      <w:r>
        <w:rPr>
          <w:rFonts w:hint="default" w:ascii="Times New Roman" w:hAnsi="Times New Roman" w:cs="Times New Roman"/>
          <w:b/>
          <w:color w:val="auto"/>
          <w:szCs w:val="21"/>
        </w:rPr>
        <w:t xml:space="preserve">                污染物排放控制标准表</w:t>
      </w:r>
    </w:p>
    <w:tbl>
      <w:tblPr>
        <w:tblStyle w:val="25"/>
        <w:tblW w:w="8944" w:type="dxa"/>
        <w:tblInd w:w="0" w:type="dxa"/>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8"/>
        <w:gridCol w:w="3623"/>
        <w:gridCol w:w="1430"/>
        <w:gridCol w:w="1245"/>
        <w:gridCol w:w="751"/>
        <w:gridCol w:w="957"/>
        <w:gridCol w:w="20"/>
      </w:tblGrid>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blHeader/>
        </w:trPr>
        <w:tc>
          <w:tcPr>
            <w:tcW w:w="918" w:type="dxa"/>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szCs w:val="21"/>
              </w:rPr>
            </w:pPr>
            <w:bookmarkStart w:id="153" w:name="_Toc402441862"/>
            <w:bookmarkStart w:id="154" w:name="_Toc441490826"/>
            <w:bookmarkStart w:id="155" w:name="_Toc413827929"/>
            <w:r>
              <w:rPr>
                <w:rFonts w:hint="default" w:ascii="Times New Roman" w:hAnsi="Times New Roman" w:cs="Times New Roman"/>
                <w:b/>
                <w:color w:val="auto"/>
                <w:kern w:val="0"/>
                <w:sz w:val="21"/>
                <w:szCs w:val="21"/>
              </w:rPr>
              <w:t>污染</w:t>
            </w:r>
          </w:p>
          <w:p>
            <w:pPr>
              <w:spacing w:line="240" w:lineRule="auto"/>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类型</w:t>
            </w:r>
          </w:p>
        </w:tc>
        <w:tc>
          <w:tcPr>
            <w:tcW w:w="3623" w:type="dxa"/>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标准名称</w:t>
            </w:r>
          </w:p>
        </w:tc>
        <w:tc>
          <w:tcPr>
            <w:tcW w:w="1430" w:type="dxa"/>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污染因子</w:t>
            </w:r>
          </w:p>
        </w:tc>
        <w:tc>
          <w:tcPr>
            <w:tcW w:w="2973" w:type="dxa"/>
            <w:gridSpan w:val="4"/>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标准限值</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91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废气</w:t>
            </w:r>
          </w:p>
        </w:tc>
        <w:tc>
          <w:tcPr>
            <w:tcW w:w="362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143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2973" w:type="dxa"/>
            <w:gridSpan w:val="4"/>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最高允许排放浓度</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91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62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《恶臭污染物排放标准》（GB14554-93）厂界无组织</w:t>
            </w:r>
          </w:p>
        </w:tc>
        <w:tc>
          <w:tcPr>
            <w:tcW w:w="143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NH</w:t>
            </w:r>
            <w:r>
              <w:rPr>
                <w:rFonts w:hint="default" w:ascii="Times New Roman" w:hAnsi="Times New Roman" w:cs="Times New Roman"/>
                <w:color w:val="auto"/>
                <w:kern w:val="0"/>
                <w:sz w:val="21"/>
                <w:szCs w:val="21"/>
                <w:vertAlign w:val="subscript"/>
              </w:rPr>
              <w:t>3</w:t>
            </w:r>
            <w:r>
              <w:rPr>
                <w:rFonts w:hint="default" w:ascii="Times New Roman" w:hAnsi="Times New Roman" w:cs="Times New Roman"/>
                <w:color w:val="auto"/>
                <w:kern w:val="0"/>
                <w:sz w:val="21"/>
                <w:szCs w:val="21"/>
              </w:rPr>
              <w:t>（mg/m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w:t>
            </w:r>
          </w:p>
        </w:tc>
        <w:tc>
          <w:tcPr>
            <w:tcW w:w="2973" w:type="dxa"/>
            <w:gridSpan w:val="4"/>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≤1.5</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91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62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43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H</w:t>
            </w:r>
            <w:r>
              <w:rPr>
                <w:rFonts w:hint="default" w:ascii="Times New Roman" w:hAnsi="Times New Roman" w:cs="Times New Roman"/>
                <w:color w:val="auto"/>
                <w:kern w:val="0"/>
                <w:sz w:val="21"/>
                <w:szCs w:val="21"/>
                <w:vertAlign w:val="subscript"/>
              </w:rPr>
              <w:t>2</w:t>
            </w:r>
            <w:r>
              <w:rPr>
                <w:rFonts w:hint="default" w:ascii="Times New Roman" w:hAnsi="Times New Roman" w:cs="Times New Roman"/>
                <w:color w:val="auto"/>
                <w:kern w:val="0"/>
                <w:sz w:val="21"/>
                <w:szCs w:val="21"/>
              </w:rPr>
              <w:t>S（mg/m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w:t>
            </w:r>
          </w:p>
        </w:tc>
        <w:tc>
          <w:tcPr>
            <w:tcW w:w="2973" w:type="dxa"/>
            <w:gridSpan w:val="4"/>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≤0.06</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1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62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《畜禽养殖业污染物排放标准》（GB18596-2001）</w:t>
            </w:r>
          </w:p>
        </w:tc>
        <w:tc>
          <w:tcPr>
            <w:tcW w:w="143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臭气浓度</w:t>
            </w:r>
          </w:p>
        </w:tc>
        <w:tc>
          <w:tcPr>
            <w:tcW w:w="2973" w:type="dxa"/>
            <w:gridSpan w:val="4"/>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≤70</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91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62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《餐饮业油烟污染物排放标准》（DB41/1604-2018）表1</w:t>
            </w:r>
          </w:p>
        </w:tc>
        <w:tc>
          <w:tcPr>
            <w:tcW w:w="143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油烟排放限值</w:t>
            </w:r>
          </w:p>
        </w:tc>
        <w:tc>
          <w:tcPr>
            <w:tcW w:w="2973" w:type="dxa"/>
            <w:gridSpan w:val="4"/>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小型规模：油烟排放限值1.5mg/m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、烟去除效率≥90%</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91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62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43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非甲烷总烃排放限值</w:t>
            </w:r>
          </w:p>
        </w:tc>
        <w:tc>
          <w:tcPr>
            <w:tcW w:w="2973" w:type="dxa"/>
            <w:gridSpan w:val="4"/>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465" w:hRule="atLeast"/>
        </w:trPr>
        <w:tc>
          <w:tcPr>
            <w:tcW w:w="91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噪声</w:t>
            </w:r>
          </w:p>
        </w:tc>
        <w:tc>
          <w:tcPr>
            <w:tcW w:w="362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《建筑施工场界环境噪声排放标准》（GB12523-2011）</w:t>
            </w:r>
          </w:p>
        </w:tc>
        <w:tc>
          <w:tcPr>
            <w:tcW w:w="143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噪声dB（A）</w:t>
            </w:r>
          </w:p>
        </w:tc>
        <w:tc>
          <w:tcPr>
            <w:tcW w:w="124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昼间</w:t>
            </w:r>
          </w:p>
        </w:tc>
        <w:tc>
          <w:tcPr>
            <w:tcW w:w="1708"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70</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0" w:type="dxa"/>
          <w:trHeight w:val="465" w:hRule="atLeast"/>
        </w:trPr>
        <w:tc>
          <w:tcPr>
            <w:tcW w:w="91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62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43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24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夜间</w:t>
            </w:r>
          </w:p>
        </w:tc>
        <w:tc>
          <w:tcPr>
            <w:tcW w:w="1708"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55</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91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62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《工业企业厂界环境噪声排放标准》（GB12348-2008）</w:t>
            </w:r>
          </w:p>
        </w:tc>
        <w:tc>
          <w:tcPr>
            <w:tcW w:w="143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噪声dB（A）</w:t>
            </w:r>
          </w:p>
        </w:tc>
        <w:tc>
          <w:tcPr>
            <w:tcW w:w="124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功能类别</w:t>
            </w:r>
          </w:p>
        </w:tc>
        <w:tc>
          <w:tcPr>
            <w:tcW w:w="75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昼间</w:t>
            </w:r>
          </w:p>
        </w:tc>
        <w:tc>
          <w:tcPr>
            <w:tcW w:w="977"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夜间</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1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62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43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24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2类</w:t>
            </w:r>
          </w:p>
        </w:tc>
        <w:tc>
          <w:tcPr>
            <w:tcW w:w="75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60</w:t>
            </w:r>
          </w:p>
        </w:tc>
        <w:tc>
          <w:tcPr>
            <w:tcW w:w="977"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50</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91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固废</w:t>
            </w:r>
          </w:p>
        </w:tc>
        <w:tc>
          <w:tcPr>
            <w:tcW w:w="8026" w:type="dxa"/>
            <w:gridSpan w:val="6"/>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《一般工业固体废物贮存、污染控制标准》（GB18599-2001)及其2013年修改单</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1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8026" w:type="dxa"/>
            <w:gridSpan w:val="6"/>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《危险废物贮存污染控制标准》（GB18597-2001）及其2013年修改单</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91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62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《畜禽养殖业污染物排放标准》（GB18596-2001）</w:t>
            </w:r>
          </w:p>
        </w:tc>
        <w:tc>
          <w:tcPr>
            <w:tcW w:w="143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蛔虫卵</w:t>
            </w:r>
          </w:p>
        </w:tc>
        <w:tc>
          <w:tcPr>
            <w:tcW w:w="2973" w:type="dxa"/>
            <w:gridSpan w:val="4"/>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死亡率≥95%</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91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362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43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粪大肠菌群数值</w:t>
            </w:r>
          </w:p>
        </w:tc>
        <w:tc>
          <w:tcPr>
            <w:tcW w:w="2973" w:type="dxa"/>
            <w:gridSpan w:val="4"/>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w:t>
            </w:r>
            <w:r>
              <w:rPr>
                <w:rFonts w:hint="default" w:ascii="Times New Roman" w:hAnsi="Times New Roman" w:cs="Times New Roman"/>
                <w:color w:val="auto"/>
                <w:kern w:val="0"/>
                <w:sz w:val="21"/>
                <w:szCs w:val="21"/>
                <w:vertAlign w:val="superscript"/>
              </w:rPr>
              <w:t>5</w:t>
            </w:r>
            <w:r>
              <w:rPr>
                <w:rFonts w:hint="default" w:ascii="Times New Roman" w:hAnsi="Times New Roman" w:cs="Times New Roman"/>
                <w:color w:val="auto"/>
                <w:kern w:val="0"/>
                <w:sz w:val="21"/>
                <w:szCs w:val="21"/>
              </w:rPr>
              <w:t>个/kg</w:t>
            </w:r>
          </w:p>
        </w:tc>
      </w:tr>
    </w:tbl>
    <w:p>
      <w:pPr>
        <w:pStyle w:val="30"/>
        <w:spacing w:before="156" w:line="360" w:lineRule="auto"/>
        <w:rPr>
          <w:rFonts w:hint="default" w:ascii="Times New Roman" w:hAnsi="Times New Roman" w:cs="Times New Roman"/>
          <w:color w:val="auto"/>
        </w:rPr>
      </w:pPr>
      <w:bookmarkStart w:id="156" w:name="_Toc14919"/>
      <w:bookmarkStart w:id="157" w:name="_Toc16591"/>
      <w:r>
        <w:rPr>
          <w:rFonts w:hint="default" w:ascii="Times New Roman" w:hAnsi="Times New Roman" w:cs="Times New Roman"/>
          <w:color w:val="auto"/>
        </w:rPr>
        <w:t>2.5 评价等级及评价范围</w:t>
      </w:r>
      <w:bookmarkEnd w:id="153"/>
      <w:bookmarkEnd w:id="154"/>
      <w:bookmarkEnd w:id="155"/>
      <w:bookmarkEnd w:id="156"/>
      <w:bookmarkEnd w:id="157"/>
    </w:p>
    <w:p>
      <w:pPr>
        <w:pStyle w:val="5"/>
        <w:rPr>
          <w:rFonts w:hint="default" w:ascii="Times New Roman" w:hAnsi="Times New Roman" w:cs="Times New Roman"/>
          <w:color w:val="auto"/>
        </w:rPr>
      </w:pPr>
      <w:bookmarkStart w:id="158" w:name="_Toc275448960"/>
      <w:bookmarkStart w:id="159" w:name="_Toc275449591"/>
      <w:bookmarkStart w:id="160" w:name="_Toc328371597"/>
      <w:bookmarkStart w:id="161" w:name="_Toc275796849"/>
      <w:bookmarkStart w:id="162" w:name="_Toc275796686"/>
      <w:bookmarkStart w:id="163" w:name="_Toc345417247"/>
      <w:bookmarkStart w:id="164" w:name="_Toc278310151"/>
      <w:r>
        <w:rPr>
          <w:rFonts w:hint="default" w:ascii="Times New Roman" w:hAnsi="Times New Roman" w:cs="Times New Roman"/>
          <w:color w:val="auto"/>
        </w:rPr>
        <w:t xml:space="preserve">2.5.1 </w:t>
      </w:r>
      <w:bookmarkEnd w:id="158"/>
      <w:bookmarkEnd w:id="159"/>
      <w:bookmarkEnd w:id="160"/>
      <w:bookmarkEnd w:id="161"/>
      <w:bookmarkEnd w:id="162"/>
      <w:bookmarkEnd w:id="163"/>
      <w:bookmarkEnd w:id="164"/>
      <w:r>
        <w:rPr>
          <w:rFonts w:hint="default" w:ascii="Times New Roman" w:hAnsi="Times New Roman" w:cs="Times New Roman"/>
          <w:color w:val="auto"/>
        </w:rPr>
        <w:t>环境空气</w:t>
      </w:r>
    </w:p>
    <w:p>
      <w:pPr>
        <w:pStyle w:val="32"/>
        <w:rPr>
          <w:rFonts w:hint="default" w:ascii="Times New Roman" w:hAnsi="Times New Roman" w:cs="Times New Roman"/>
          <w:color w:val="auto"/>
        </w:rPr>
      </w:pPr>
      <w:r>
        <w:rPr>
          <w:rFonts w:hint="default" w:ascii="Times New Roman" w:hAnsi="Times New Roman" w:cs="Times New Roman"/>
          <w:color w:val="auto"/>
        </w:rPr>
        <w:t>按照《环境影响评价技术导则 大气环境》（HJ2.2-2018）规定，分别计算每一种污染物的最大地面浓度占标率Pi（第i个污染物），及第i个污染物的地面浓度达标准限值10%时所对应的最远距离D</w:t>
      </w:r>
      <w:r>
        <w:rPr>
          <w:rFonts w:hint="default" w:ascii="Times New Roman" w:hAnsi="Times New Roman" w:cs="Times New Roman"/>
          <w:color w:val="auto"/>
          <w:vertAlign w:val="subscript"/>
        </w:rPr>
        <w:t>10%</w:t>
      </w:r>
      <w:r>
        <w:rPr>
          <w:rFonts w:hint="default" w:ascii="Times New Roman" w:hAnsi="Times New Roman" w:cs="Times New Roman"/>
          <w:color w:val="auto"/>
        </w:rPr>
        <w:t>，其中Pi定义为：</w:t>
      </w:r>
    </w:p>
    <w:p>
      <w:pPr>
        <w:pStyle w:val="32"/>
        <w:ind w:firstLine="2160" w:firstLineChars="900"/>
        <w:rPr>
          <w:rFonts w:hint="default" w:ascii="Times New Roman" w:hAnsi="Times New Roman" w:cs="Times New Roman"/>
          <w:color w:val="auto"/>
        </w:rPr>
      </w:pPr>
      <w:r>
        <w:rPr>
          <w:rFonts w:hint="default" w:ascii="Times New Roman" w:hAnsi="Times New Roman" w:cs="Times New Roman"/>
          <w:color w:val="auto"/>
        </w:rPr>
        <w:t>Pi＝(C</w:t>
      </w:r>
      <w:r>
        <w:rPr>
          <w:rFonts w:hint="default" w:ascii="Times New Roman" w:hAnsi="Times New Roman" w:cs="Times New Roman"/>
          <w:color w:val="auto"/>
          <w:vertAlign w:val="subscript"/>
        </w:rPr>
        <w:t>i</w:t>
      </w:r>
      <w:r>
        <w:rPr>
          <w:rFonts w:hint="default" w:ascii="Times New Roman" w:hAnsi="Times New Roman" w:cs="Times New Roman"/>
          <w:color w:val="auto"/>
        </w:rPr>
        <w:t>/C</w:t>
      </w:r>
      <w:r>
        <w:rPr>
          <w:rFonts w:hint="default" w:ascii="Times New Roman" w:hAnsi="Times New Roman" w:cs="Times New Roman"/>
          <w:color w:val="auto"/>
          <w:vertAlign w:val="subscript"/>
        </w:rPr>
        <w:t>0i</w:t>
      </w:r>
      <w:r>
        <w:rPr>
          <w:rFonts w:hint="default" w:ascii="Times New Roman" w:hAnsi="Times New Roman" w:cs="Times New Roman"/>
          <w:color w:val="auto"/>
        </w:rPr>
        <w:t>)×100%</w:t>
      </w:r>
    </w:p>
    <w:p>
      <w:pPr>
        <w:pStyle w:val="32"/>
        <w:ind w:firstLine="480" w:firstLineChars="200"/>
        <w:rPr>
          <w:rFonts w:hint="default" w:ascii="Times New Roman" w:hAnsi="Times New Roman" w:cs="Times New Roman"/>
          <w:color w:val="auto"/>
        </w:rPr>
      </w:pPr>
      <w:r>
        <w:rPr>
          <w:rFonts w:hint="default" w:ascii="Times New Roman" w:hAnsi="Times New Roman" w:cs="Times New Roman"/>
          <w:color w:val="auto"/>
        </w:rPr>
        <w:t>式中：P</w:t>
      </w:r>
      <w:r>
        <w:rPr>
          <w:rFonts w:hint="default" w:ascii="Times New Roman" w:hAnsi="Times New Roman" w:cs="Times New Roman"/>
          <w:color w:val="auto"/>
          <w:vertAlign w:val="subscript"/>
        </w:rPr>
        <w:t>i</w:t>
      </w:r>
      <w:r>
        <w:rPr>
          <w:rFonts w:hint="default" w:ascii="Times New Roman" w:hAnsi="Times New Roman" w:cs="Times New Roman"/>
          <w:color w:val="auto"/>
        </w:rPr>
        <w:t>－第i个污染物的最大地面浓度占标率，%；</w:t>
      </w:r>
    </w:p>
    <w:p>
      <w:pPr>
        <w:pStyle w:val="32"/>
        <w:ind w:firstLine="1200" w:firstLineChars="500"/>
        <w:rPr>
          <w:rFonts w:hint="default" w:ascii="Times New Roman" w:hAnsi="Times New Roman" w:cs="Times New Roman"/>
          <w:color w:val="auto"/>
        </w:rPr>
      </w:pPr>
      <w:r>
        <w:rPr>
          <w:rFonts w:hint="default" w:ascii="Times New Roman" w:hAnsi="Times New Roman" w:cs="Times New Roman"/>
          <w:color w:val="auto"/>
        </w:rPr>
        <w:t>C</w:t>
      </w:r>
      <w:r>
        <w:rPr>
          <w:rFonts w:hint="default" w:ascii="Times New Roman" w:hAnsi="Times New Roman" w:cs="Times New Roman"/>
          <w:color w:val="auto"/>
          <w:vertAlign w:val="subscript"/>
        </w:rPr>
        <w:t>i</w:t>
      </w:r>
      <w:r>
        <w:rPr>
          <w:rFonts w:hint="default" w:ascii="Times New Roman" w:hAnsi="Times New Roman" w:cs="Times New Roman"/>
          <w:color w:val="auto"/>
        </w:rPr>
        <w:t>－采用估算模式计算出的第i个污染物的最大地面浓度，mg/m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pStyle w:val="32"/>
        <w:ind w:firstLine="1200" w:firstLineChars="500"/>
        <w:rPr>
          <w:rFonts w:hint="default" w:ascii="Times New Roman" w:hAnsi="Times New Roman" w:cs="Times New Roman"/>
          <w:color w:val="auto"/>
        </w:rPr>
      </w:pPr>
      <w:r>
        <w:rPr>
          <w:rFonts w:hint="default" w:ascii="Times New Roman" w:hAnsi="Times New Roman" w:cs="Times New Roman"/>
          <w:color w:val="auto"/>
        </w:rPr>
        <w:t>C</w:t>
      </w:r>
      <w:r>
        <w:rPr>
          <w:rFonts w:hint="default" w:ascii="Times New Roman" w:hAnsi="Times New Roman" w:cs="Times New Roman"/>
          <w:color w:val="auto"/>
          <w:vertAlign w:val="subscript"/>
        </w:rPr>
        <w:t>0i</w:t>
      </w:r>
      <w:r>
        <w:rPr>
          <w:rFonts w:hint="default" w:ascii="Times New Roman" w:hAnsi="Times New Roman" w:cs="Times New Roman"/>
          <w:color w:val="auto"/>
        </w:rPr>
        <w:t>－第i个污染物的环境空气质量标准，mg/m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ind w:firstLine="480"/>
        <w:jc w:val="left"/>
        <w:rPr>
          <w:rFonts w:hint="default" w:ascii="Times New Roman" w:hAnsi="Times New Roman" w:cs="Times New Roman"/>
          <w:color w:val="auto"/>
        </w:rPr>
      </w:pPr>
      <w:r>
        <w:rPr>
          <w:rFonts w:hint="default" w:ascii="Times New Roman" w:hAnsi="Times New Roman" w:cs="Times New Roman"/>
          <w:color w:val="auto"/>
        </w:rPr>
        <w:t>估值模式</w:t>
      </w:r>
      <w:r>
        <w:rPr>
          <w:rFonts w:hint="default" w:ascii="Times New Roman" w:hAnsi="Times New Roman" w:cs="Times New Roman"/>
          <w:color w:val="auto"/>
          <w:lang w:eastAsia="zh-CN"/>
        </w:rPr>
        <w:t>结果</w:t>
      </w:r>
      <w:r>
        <w:rPr>
          <w:rFonts w:hint="default" w:ascii="Times New Roman" w:hAnsi="Times New Roman" w:cs="Times New Roman"/>
          <w:color w:val="auto"/>
        </w:rPr>
        <w:t>取值见表2.5-</w:t>
      </w:r>
      <w:r>
        <w:rPr>
          <w:rFonts w:hint="default" w:ascii="Times New Roman" w:hAnsi="Times New Roman" w:cs="Times New Roman"/>
          <w:color w:val="auto"/>
          <w:lang w:val="en-US" w:eastAsia="zh-CN"/>
        </w:rPr>
        <w:t>1</w:t>
      </w:r>
      <w:r>
        <w:rPr>
          <w:rFonts w:hint="default" w:ascii="Times New Roman" w:hAnsi="Times New Roman" w:cs="Times New Roman"/>
          <w:color w:val="auto"/>
        </w:rPr>
        <w:t>。</w:t>
      </w:r>
    </w:p>
    <w:p>
      <w:pPr>
        <w:numPr>
          <w:ilvl w:val="0"/>
          <w:numId w:val="5"/>
        </w:numPr>
        <w:spacing w:afterLines="30" w:line="500" w:lineRule="exact"/>
        <w:ind w:left="0"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 xml:space="preserve">              估算模式参数取值及结果一览表</w:t>
      </w:r>
    </w:p>
    <w:tbl>
      <w:tblPr>
        <w:tblStyle w:val="25"/>
        <w:tblW w:w="8946" w:type="dxa"/>
        <w:jc w:val="center"/>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97"/>
        <w:gridCol w:w="998"/>
        <w:gridCol w:w="1838"/>
        <w:gridCol w:w="1592"/>
        <w:gridCol w:w="1000"/>
        <w:gridCol w:w="1721"/>
      </w:tblGrid>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79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项  目</w:t>
            </w:r>
          </w:p>
        </w:tc>
        <w:tc>
          <w:tcPr>
            <w:tcW w:w="99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污染物</w:t>
            </w:r>
          </w:p>
        </w:tc>
        <w:tc>
          <w:tcPr>
            <w:tcW w:w="183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排放速率kg/h</w:t>
            </w:r>
          </w:p>
        </w:tc>
        <w:tc>
          <w:tcPr>
            <w:tcW w:w="1592" w:type="dxa"/>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排放源参数</w:t>
            </w:r>
          </w:p>
        </w:tc>
        <w:tc>
          <w:tcPr>
            <w:tcW w:w="1000"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b/>
                <w:color w:val="auto"/>
                <w:kern w:val="0"/>
                <w:sz w:val="21"/>
                <w:szCs w:val="21"/>
                <w:lang w:val="en-US" w:eastAsia="zh-CN"/>
              </w:rPr>
            </w:pPr>
            <w:r>
              <w:rPr>
                <w:rFonts w:hint="default" w:ascii="Times New Roman" w:hAnsi="Times New Roman" w:cs="Times New Roman"/>
                <w:b/>
                <w:color w:val="auto"/>
                <w:kern w:val="0"/>
                <w:sz w:val="21"/>
                <w:szCs w:val="21"/>
              </w:rPr>
              <w:t>占标率</w:t>
            </w:r>
            <w:r>
              <w:rPr>
                <w:rFonts w:hint="default" w:ascii="Times New Roman" w:hAnsi="Times New Roman" w:cs="Times New Roman"/>
                <w:b/>
                <w:color w:val="auto"/>
                <w:kern w:val="0"/>
                <w:sz w:val="21"/>
                <w:szCs w:val="21"/>
                <w:lang w:val="en-US" w:eastAsia="zh-CN"/>
              </w:rPr>
              <w:t>%</w:t>
            </w:r>
          </w:p>
        </w:tc>
        <w:tc>
          <w:tcPr>
            <w:tcW w:w="1721"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评价等级</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79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szCs w:val="21"/>
              </w:rPr>
            </w:pPr>
          </w:p>
        </w:tc>
        <w:tc>
          <w:tcPr>
            <w:tcW w:w="99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szCs w:val="21"/>
              </w:rPr>
            </w:pPr>
          </w:p>
        </w:tc>
        <w:tc>
          <w:tcPr>
            <w:tcW w:w="183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szCs w:val="21"/>
              </w:rPr>
            </w:pPr>
          </w:p>
        </w:tc>
        <w:tc>
          <w:tcPr>
            <w:tcW w:w="1592" w:type="dxa"/>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长×宽×高（m）</w:t>
            </w:r>
          </w:p>
        </w:tc>
        <w:tc>
          <w:tcPr>
            <w:tcW w:w="100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szCs w:val="21"/>
              </w:rPr>
            </w:pPr>
          </w:p>
        </w:tc>
        <w:tc>
          <w:tcPr>
            <w:tcW w:w="172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szCs w:val="21"/>
              </w:rPr>
            </w:pP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1797"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养殖厂</w:t>
            </w:r>
          </w:p>
        </w:tc>
        <w:tc>
          <w:tcPr>
            <w:tcW w:w="998" w:type="dxa"/>
            <w:tcBorders>
              <w:tl2br w:val="nil"/>
              <w:tr2bl w:val="nil"/>
            </w:tcBorders>
            <w:vAlign w:val="center"/>
          </w:tcPr>
          <w:p>
            <w:pPr>
              <w:spacing w:line="240" w:lineRule="auto"/>
              <w:ind w:firstLine="105" w:firstLineChars="5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NH</w:t>
            </w:r>
            <w:r>
              <w:rPr>
                <w:rFonts w:hint="default" w:ascii="Times New Roman" w:hAnsi="Times New Roman" w:cs="Times New Roman"/>
                <w:color w:val="auto"/>
                <w:kern w:val="0"/>
                <w:sz w:val="21"/>
                <w:szCs w:val="21"/>
                <w:vertAlign w:val="subscript"/>
              </w:rPr>
              <w:t>3</w:t>
            </w:r>
          </w:p>
        </w:tc>
        <w:tc>
          <w:tcPr>
            <w:tcW w:w="1838" w:type="dxa"/>
            <w:tcBorders>
              <w:tl2br w:val="nil"/>
              <w:tr2bl w:val="nil"/>
            </w:tcBorders>
            <w:vAlign w:val="center"/>
          </w:tcPr>
          <w:p>
            <w:pPr>
              <w:autoSpaceDE w:val="0"/>
              <w:autoSpaceDN w:val="0"/>
              <w:spacing w:line="240" w:lineRule="atLeast"/>
              <w:ind w:firstLine="0" w:firstLineChars="0"/>
              <w:jc w:val="center"/>
              <w:textAlignment w:val="baseline"/>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w:t>
            </w:r>
            <w:r>
              <w:rPr>
                <w:rFonts w:hint="default" w:ascii="Times New Roman" w:hAnsi="Times New Roman" w:cs="Times New Roman"/>
                <w:color w:val="auto"/>
                <w:kern w:val="0"/>
                <w:sz w:val="21"/>
                <w:szCs w:val="21"/>
                <w:lang w:val="en-US" w:eastAsia="zh-CN"/>
              </w:rPr>
              <w:t>8</w:t>
            </w:r>
          </w:p>
        </w:tc>
        <w:tc>
          <w:tcPr>
            <w:tcW w:w="1592" w:type="dxa"/>
            <w:vMerge w:val="restart"/>
            <w:tcBorders>
              <w:tl2br w:val="nil"/>
              <w:tr2bl w:val="nil"/>
            </w:tcBorders>
            <w:vAlign w:val="center"/>
          </w:tcPr>
          <w:p>
            <w:pPr>
              <w:spacing w:line="240" w:lineRule="auto"/>
              <w:ind w:firstLine="105" w:firstLineChars="5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69000</w:t>
            </w:r>
          </w:p>
        </w:tc>
        <w:tc>
          <w:tcPr>
            <w:tcW w:w="100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16.37</w:t>
            </w:r>
          </w:p>
        </w:tc>
        <w:tc>
          <w:tcPr>
            <w:tcW w:w="172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eastAsia="zh-CN"/>
              </w:rPr>
              <w:t>一</w:t>
            </w:r>
            <w:r>
              <w:rPr>
                <w:rFonts w:hint="default" w:ascii="Times New Roman" w:hAnsi="Times New Roman" w:cs="Times New Roman"/>
                <w:color w:val="auto"/>
                <w:kern w:val="0"/>
                <w:sz w:val="21"/>
                <w:szCs w:val="21"/>
              </w:rPr>
              <w:t>级</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797"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998" w:type="dxa"/>
            <w:tcBorders>
              <w:tl2br w:val="nil"/>
              <w:tr2bl w:val="nil"/>
            </w:tcBorders>
            <w:vAlign w:val="center"/>
          </w:tcPr>
          <w:p>
            <w:pPr>
              <w:spacing w:line="240" w:lineRule="auto"/>
              <w:ind w:firstLine="105" w:firstLineChars="5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H</w:t>
            </w:r>
            <w:r>
              <w:rPr>
                <w:rFonts w:hint="default" w:ascii="Times New Roman" w:hAnsi="Times New Roman" w:cs="Times New Roman"/>
                <w:color w:val="auto"/>
                <w:kern w:val="0"/>
                <w:sz w:val="21"/>
                <w:szCs w:val="21"/>
                <w:vertAlign w:val="subscript"/>
              </w:rPr>
              <w:t>2</w:t>
            </w:r>
            <w:r>
              <w:rPr>
                <w:rFonts w:hint="default" w:ascii="Times New Roman" w:hAnsi="Times New Roman" w:cs="Times New Roman"/>
                <w:color w:val="auto"/>
                <w:kern w:val="0"/>
                <w:sz w:val="21"/>
                <w:szCs w:val="21"/>
              </w:rPr>
              <w:t>S</w:t>
            </w:r>
          </w:p>
        </w:tc>
        <w:tc>
          <w:tcPr>
            <w:tcW w:w="1838" w:type="dxa"/>
            <w:tcBorders>
              <w:tl2br w:val="nil"/>
              <w:tr2bl w:val="nil"/>
            </w:tcBorders>
            <w:vAlign w:val="center"/>
          </w:tcPr>
          <w:p>
            <w:pPr>
              <w:autoSpaceDE w:val="0"/>
              <w:autoSpaceDN w:val="0"/>
              <w:spacing w:line="240" w:lineRule="auto"/>
              <w:ind w:firstLine="0" w:firstLineChars="0"/>
              <w:jc w:val="center"/>
              <w:textAlignment w:val="baseline"/>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rPr>
              <w:t>0.00</w:t>
            </w:r>
            <w:r>
              <w:rPr>
                <w:rFonts w:hint="default" w:ascii="Times New Roman" w:hAnsi="Times New Roman" w:cs="Times New Roman"/>
                <w:color w:val="auto"/>
                <w:kern w:val="0"/>
                <w:sz w:val="21"/>
                <w:szCs w:val="21"/>
                <w:lang w:val="en-US" w:eastAsia="zh-CN"/>
              </w:rPr>
              <w:t>5</w:t>
            </w:r>
          </w:p>
        </w:tc>
        <w:tc>
          <w:tcPr>
            <w:tcW w:w="159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00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22.72</w:t>
            </w:r>
          </w:p>
        </w:tc>
        <w:tc>
          <w:tcPr>
            <w:tcW w:w="172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eastAsia="zh-CN"/>
              </w:rPr>
              <w:t>一</w:t>
            </w:r>
            <w:r>
              <w:rPr>
                <w:rFonts w:hint="default" w:ascii="Times New Roman" w:hAnsi="Times New Roman" w:cs="Times New Roman"/>
                <w:color w:val="auto"/>
                <w:kern w:val="0"/>
                <w:sz w:val="21"/>
                <w:szCs w:val="21"/>
              </w:rPr>
              <w:t>级</w:t>
            </w:r>
          </w:p>
        </w:tc>
      </w:tr>
    </w:tbl>
    <w:p>
      <w:pPr>
        <w:ind w:firstLine="480"/>
        <w:rPr>
          <w:rFonts w:hint="default" w:ascii="Times New Roman" w:hAnsi="Times New Roman" w:cs="Times New Roman"/>
          <w:bCs/>
          <w:color w:val="auto"/>
        </w:rPr>
      </w:pPr>
      <w:r>
        <w:rPr>
          <w:rFonts w:hint="default" w:ascii="Times New Roman" w:hAnsi="Times New Roman" w:cs="Times New Roman"/>
          <w:bCs/>
          <w:color w:val="auto"/>
        </w:rPr>
        <w:t>由表2.5-</w:t>
      </w:r>
      <w:r>
        <w:rPr>
          <w:rFonts w:hint="default" w:ascii="Times New Roman" w:hAnsi="Times New Roman" w:cs="Times New Roman"/>
          <w:bCs/>
          <w:color w:val="auto"/>
          <w:lang w:val="en-US" w:eastAsia="zh-CN"/>
        </w:rPr>
        <w:t>1</w:t>
      </w:r>
      <w:r>
        <w:rPr>
          <w:rFonts w:hint="default" w:ascii="Times New Roman" w:hAnsi="Times New Roman" w:cs="Times New Roman"/>
          <w:bCs/>
          <w:color w:val="auto"/>
        </w:rPr>
        <w:t>可见，结合《环境影响评价技术导则—大气环境》（HJ2.2—2018）中的规定，确定大气环境影响评价为</w:t>
      </w:r>
      <w:r>
        <w:rPr>
          <w:rFonts w:hint="default" w:ascii="Times New Roman" w:hAnsi="Times New Roman" w:cs="Times New Roman"/>
          <w:bCs/>
          <w:color w:val="auto"/>
          <w:lang w:eastAsia="zh-CN"/>
        </w:rPr>
        <w:t>一</w:t>
      </w:r>
      <w:r>
        <w:rPr>
          <w:rFonts w:hint="default" w:ascii="Times New Roman" w:hAnsi="Times New Roman" w:cs="Times New Roman"/>
          <w:bCs/>
          <w:color w:val="auto"/>
        </w:rPr>
        <w:t>级评价，</w:t>
      </w:r>
      <w:r>
        <w:rPr>
          <w:rFonts w:hint="default" w:ascii="Times New Roman" w:hAnsi="Times New Roman" w:cs="Times New Roman"/>
          <w:bCs/>
          <w:snapToGrid w:val="0"/>
          <w:color w:val="auto"/>
          <w:kern w:val="0"/>
        </w:rPr>
        <w:t>本次大气环境评价范围为以生产厂区为中心，边长为5km的矩形范围。</w:t>
      </w:r>
    </w:p>
    <w:p>
      <w:pPr>
        <w:pStyle w:val="5"/>
        <w:rPr>
          <w:rFonts w:hint="default" w:ascii="Times New Roman" w:hAnsi="Times New Roman" w:cs="Times New Roman"/>
          <w:color w:val="auto"/>
        </w:rPr>
      </w:pPr>
      <w:r>
        <w:rPr>
          <w:rFonts w:hint="default" w:ascii="Times New Roman" w:hAnsi="Times New Roman" w:cs="Times New Roman"/>
          <w:color w:val="auto"/>
        </w:rPr>
        <w:t>2.5.2 地表水</w:t>
      </w:r>
    </w:p>
    <w:p>
      <w:pPr>
        <w:widowControl/>
        <w:adjustRightInd/>
        <w:snapToGrid/>
        <w:ind w:firstLine="480"/>
        <w:rPr>
          <w:rFonts w:hint="default" w:ascii="Times New Roman" w:hAnsi="Times New Roman" w:cs="Times New Roman"/>
          <w:color w:val="auto"/>
          <w:kern w:val="0"/>
        </w:rPr>
      </w:pPr>
      <w:r>
        <w:rPr>
          <w:rFonts w:hint="default" w:ascii="Times New Roman" w:hAnsi="Times New Roman" w:cs="Times New Roman"/>
          <w:color w:val="auto"/>
        </w:rPr>
        <w:t>本项目废水</w:t>
      </w:r>
      <w:r>
        <w:rPr>
          <w:rFonts w:hint="default" w:ascii="Times New Roman" w:hAnsi="Times New Roman" w:cs="Times New Roman"/>
          <w:color w:val="auto"/>
          <w:kern w:val="0"/>
        </w:rPr>
        <w:t>本项目废水水质复杂程度属简单，主要污染物为</w:t>
      </w:r>
      <w:r>
        <w:rPr>
          <w:rFonts w:hint="default" w:ascii="Times New Roman" w:hAnsi="Times New Roman" w:eastAsia="TimesNewRomanPSMT" w:cs="Times New Roman"/>
          <w:color w:val="auto"/>
          <w:kern w:val="0"/>
        </w:rPr>
        <w:t>COD</w:t>
      </w:r>
      <w:r>
        <w:rPr>
          <w:rFonts w:hint="default" w:ascii="Times New Roman" w:hAnsi="Times New Roman" w:cs="Times New Roman"/>
          <w:color w:val="auto"/>
          <w:kern w:val="0"/>
        </w:rPr>
        <w:t>、</w:t>
      </w:r>
      <w:r>
        <w:rPr>
          <w:rFonts w:hint="default" w:ascii="Times New Roman" w:hAnsi="Times New Roman" w:eastAsia="TimesNewRomanPSMT" w:cs="Times New Roman"/>
          <w:color w:val="auto"/>
          <w:kern w:val="0"/>
        </w:rPr>
        <w:t>BOD</w:t>
      </w:r>
      <w:r>
        <w:rPr>
          <w:rFonts w:hint="default" w:ascii="Times New Roman" w:hAnsi="Times New Roman" w:eastAsia="TimesNewRomanPSMT" w:cs="Times New Roman"/>
          <w:color w:val="auto"/>
          <w:kern w:val="0"/>
          <w:sz w:val="15"/>
          <w:szCs w:val="15"/>
        </w:rPr>
        <w:t>5</w:t>
      </w:r>
      <w:r>
        <w:rPr>
          <w:rFonts w:hint="default" w:ascii="Times New Roman" w:hAnsi="Times New Roman" w:cs="Times New Roman"/>
          <w:color w:val="auto"/>
          <w:kern w:val="0"/>
        </w:rPr>
        <w:t>、</w:t>
      </w:r>
      <w:r>
        <w:rPr>
          <w:rFonts w:hint="default" w:ascii="Times New Roman" w:hAnsi="Times New Roman" w:eastAsia="TimesNewRomanPSMT" w:cs="Times New Roman"/>
          <w:color w:val="auto"/>
          <w:kern w:val="0"/>
        </w:rPr>
        <w:t>NH</w:t>
      </w:r>
      <w:r>
        <w:rPr>
          <w:rFonts w:hint="default" w:ascii="Times New Roman" w:hAnsi="Times New Roman" w:eastAsia="TimesNewRomanPSMT" w:cs="Times New Roman"/>
          <w:color w:val="auto"/>
          <w:kern w:val="0"/>
          <w:sz w:val="15"/>
          <w:szCs w:val="15"/>
        </w:rPr>
        <w:t>3</w:t>
      </w:r>
      <w:r>
        <w:rPr>
          <w:rFonts w:hint="default" w:ascii="Times New Roman" w:hAnsi="Times New Roman" w:eastAsia="TimesNewRomanPSMT" w:cs="Times New Roman"/>
          <w:color w:val="auto"/>
          <w:kern w:val="0"/>
        </w:rPr>
        <w:t>-N</w:t>
      </w:r>
      <w:r>
        <w:rPr>
          <w:rFonts w:hint="default" w:ascii="Times New Roman" w:hAnsi="Times New Roman" w:cs="Times New Roman"/>
          <w:color w:val="auto"/>
          <w:kern w:val="0"/>
        </w:rPr>
        <w:t>等，全部实现资源化利用，无废水外排。参照《环境影响评价技术导则 地表水环境》（</w:t>
      </w:r>
      <w:r>
        <w:rPr>
          <w:rFonts w:hint="default" w:ascii="Times New Roman" w:hAnsi="Times New Roman" w:eastAsia="TimesNewRomanPSMT" w:cs="Times New Roman"/>
          <w:color w:val="auto"/>
          <w:kern w:val="0"/>
        </w:rPr>
        <w:t>HJ2.3-2018</w:t>
      </w:r>
      <w:r>
        <w:rPr>
          <w:rFonts w:hint="default" w:ascii="Times New Roman" w:hAnsi="Times New Roman" w:cs="Times New Roman"/>
          <w:color w:val="auto"/>
          <w:kern w:val="0"/>
        </w:rPr>
        <w:t>）对水环境影响评价等级划分的原则，</w:t>
      </w:r>
      <w:r>
        <w:rPr>
          <w:rFonts w:hint="default" w:ascii="Times New Roman" w:hAnsi="Times New Roman" w:eastAsia="TimesNewRomanPSMT" w:cs="Times New Roman"/>
          <w:color w:val="auto"/>
          <w:kern w:val="0"/>
        </w:rPr>
        <w:t>“</w:t>
      </w:r>
      <w:r>
        <w:rPr>
          <w:rFonts w:hint="default" w:ascii="Times New Roman" w:hAnsi="Times New Roman" w:cs="Times New Roman"/>
          <w:color w:val="auto"/>
          <w:kern w:val="0"/>
        </w:rPr>
        <w:t>建设项目生产工艺有废水产生，但作为回水利用，不排放到外环境的，按三级</w:t>
      </w:r>
      <w:r>
        <w:rPr>
          <w:rFonts w:hint="default" w:ascii="Times New Roman" w:hAnsi="Times New Roman" w:eastAsia="TimesNewRomanPSMT" w:cs="Times New Roman"/>
          <w:color w:val="auto"/>
          <w:kern w:val="0"/>
        </w:rPr>
        <w:t>B</w:t>
      </w:r>
      <w:r>
        <w:rPr>
          <w:rFonts w:hint="default" w:ascii="Times New Roman" w:hAnsi="Times New Roman" w:cs="Times New Roman"/>
          <w:color w:val="auto"/>
          <w:kern w:val="0"/>
        </w:rPr>
        <w:t>评价</w:t>
      </w:r>
      <w:r>
        <w:rPr>
          <w:rFonts w:hint="default" w:ascii="Times New Roman" w:hAnsi="Times New Roman" w:eastAsia="TimesNewRomanPSMT" w:cs="Times New Roman"/>
          <w:color w:val="auto"/>
          <w:kern w:val="0"/>
        </w:rPr>
        <w:t>”</w:t>
      </w:r>
      <w:r>
        <w:rPr>
          <w:rFonts w:hint="default" w:ascii="Times New Roman" w:hAnsi="Times New Roman" w:cs="Times New Roman"/>
          <w:color w:val="auto"/>
          <w:kern w:val="0"/>
        </w:rPr>
        <w:t>，本项目确定地表水评价等级为三级</w:t>
      </w:r>
      <w:r>
        <w:rPr>
          <w:rFonts w:hint="default" w:ascii="Times New Roman" w:hAnsi="Times New Roman" w:eastAsia="TimesNewRomanPSMT" w:cs="Times New Roman"/>
          <w:color w:val="auto"/>
          <w:kern w:val="0"/>
        </w:rPr>
        <w:t>B</w:t>
      </w:r>
      <w:r>
        <w:rPr>
          <w:rFonts w:hint="default" w:ascii="Times New Roman" w:hAnsi="Times New Roman" w:cs="Times New Roman"/>
          <w:color w:val="auto"/>
          <w:kern w:val="0"/>
        </w:rPr>
        <w:t>。地表水环境影响三级</w:t>
      </w:r>
      <w:r>
        <w:rPr>
          <w:rFonts w:hint="default" w:ascii="Times New Roman" w:hAnsi="Times New Roman" w:eastAsia="TimesNewRomanPSMT" w:cs="Times New Roman"/>
          <w:color w:val="auto"/>
          <w:kern w:val="0"/>
        </w:rPr>
        <w:t>B</w:t>
      </w:r>
      <w:r>
        <w:rPr>
          <w:rFonts w:hint="default" w:ascii="Times New Roman" w:hAnsi="Times New Roman" w:cs="Times New Roman"/>
          <w:color w:val="auto"/>
          <w:kern w:val="0"/>
        </w:rPr>
        <w:t>评价项目可不进行水环境影响预测，重点针对水污染控制和水环境影响减缓措施有效性及依托污水处理设施的环境可行性进行评价分析。</w:t>
      </w:r>
    </w:p>
    <w:p>
      <w:pPr>
        <w:pStyle w:val="5"/>
        <w:rPr>
          <w:rFonts w:hint="default" w:ascii="Times New Roman" w:hAnsi="Times New Roman" w:cs="Times New Roman"/>
          <w:color w:val="auto"/>
        </w:rPr>
      </w:pPr>
      <w:r>
        <w:rPr>
          <w:rFonts w:hint="default" w:ascii="Times New Roman" w:hAnsi="Times New Roman" w:cs="Times New Roman"/>
          <w:color w:val="auto"/>
        </w:rPr>
        <w:t>2.5.3 地下水</w:t>
      </w:r>
    </w:p>
    <w:p>
      <w:pPr>
        <w:ind w:firstLine="480"/>
        <w:rPr>
          <w:rFonts w:hint="default" w:ascii="Times New Roman" w:hAnsi="Times New Roman" w:cs="Times New Roman"/>
          <w:color w:val="auto"/>
        </w:rPr>
      </w:pPr>
      <w:r>
        <w:rPr>
          <w:rFonts w:hint="default" w:ascii="Times New Roman" w:hAnsi="Times New Roman" w:cs="Times New Roman"/>
          <w:color w:val="auto"/>
        </w:rPr>
        <w:t>本项目位于清丰县韩村镇杨韩村北，根据2016年1月7日实施的《环境影响评价技术导则  地下水环境》（HJ610-2016）结合《建设项目环境影响评价分类管理名录》内容，本项目属于“地下水环境评价行业分类表中：B 农、林、牧、渔、海洋 14畜禽养殖场、养殖小区，环评类别属于报告书”，此类报告书地下水环境影响评价项目类别属于Ⅲ类。</w:t>
      </w:r>
    </w:p>
    <w:p>
      <w:pPr>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地下水环境》（HJ610-2016）地下水敏感程度可分为敏感、较敏感、不敏感三级，地下水敏感程度分级表见</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REF _Ref478121195 \h  \* MERGEFORMAT </w:instrText>
      </w:r>
      <w:r>
        <w:rPr>
          <w:rFonts w:hint="default" w:ascii="Times New Roman" w:hAnsi="Times New Roman" w:cs="Times New Roman"/>
          <w:color w:val="auto"/>
        </w:rPr>
        <w:fldChar w:fldCharType="separate"/>
      </w:r>
      <w:r>
        <w:rPr>
          <w:rFonts w:hint="default" w:ascii="Times New Roman" w:hAnsi="Times New Roman" w:eastAsia="黑体" w:cs="Times New Roman"/>
          <w:color w:val="auto"/>
        </w:rPr>
        <w:t>表 2</w:t>
      </w:r>
      <w:r>
        <w:rPr>
          <w:rFonts w:hint="default" w:ascii="Times New Roman" w:hAnsi="Times New Roman" w:eastAsia="黑体" w:cs="Times New Roman"/>
          <w:color w:val="auto"/>
        </w:rPr>
        <w:fldChar w:fldCharType="end"/>
      </w:r>
      <w:r>
        <w:rPr>
          <w:rFonts w:hint="default" w:ascii="Times New Roman" w:hAnsi="Times New Roman" w:cs="Times New Roman"/>
          <w:color w:val="auto"/>
        </w:rPr>
        <w:t>.5-</w:t>
      </w:r>
      <w:r>
        <w:rPr>
          <w:rFonts w:hint="default" w:ascii="Times New Roman" w:hAnsi="Times New Roman" w:cs="Times New Roman"/>
          <w:color w:val="auto"/>
          <w:lang w:val="en-US" w:eastAsia="zh-CN"/>
        </w:rPr>
        <w:t>2</w:t>
      </w:r>
      <w:r>
        <w:rPr>
          <w:rFonts w:hint="default" w:ascii="Times New Roman" w:hAnsi="Times New Roman" w:cs="Times New Roman"/>
          <w:color w:val="auto"/>
        </w:rPr>
        <w:t>。</w:t>
      </w:r>
    </w:p>
    <w:p>
      <w:pPr>
        <w:spacing w:line="240" w:lineRule="auto"/>
        <w:ind w:firstLine="0" w:firstLineChars="0"/>
        <w:jc w:val="center"/>
        <w:rPr>
          <w:rFonts w:hint="default" w:ascii="Times New Roman" w:hAnsi="Times New Roman" w:cs="Times New Roman"/>
          <w:b/>
          <w:bCs/>
          <w:color w:val="auto"/>
        </w:rPr>
      </w:pPr>
      <w:bookmarkStart w:id="165" w:name="_Ref478121195"/>
      <w:r>
        <w:rPr>
          <w:rFonts w:hint="default" w:ascii="Times New Roman" w:hAnsi="Times New Roman" w:cs="Times New Roman"/>
          <w:b/>
          <w:bCs/>
          <w:color w:val="auto"/>
        </w:rPr>
        <w:t xml:space="preserve">表 </w:t>
      </w:r>
      <w:bookmarkEnd w:id="165"/>
      <w:r>
        <w:rPr>
          <w:rFonts w:hint="default" w:ascii="Times New Roman" w:hAnsi="Times New Roman" w:cs="Times New Roman"/>
          <w:b/>
          <w:bCs/>
          <w:color w:val="auto"/>
        </w:rPr>
        <w:t>2.5-</w:t>
      </w:r>
      <w:r>
        <w:rPr>
          <w:rFonts w:hint="default" w:ascii="Times New Roman" w:hAnsi="Times New Roman" w:cs="Times New Roman"/>
          <w:b/>
          <w:bCs/>
          <w:color w:val="auto"/>
          <w:lang w:val="en-US" w:eastAsia="zh-CN"/>
        </w:rPr>
        <w:t>2</w:t>
      </w:r>
      <w:r>
        <w:rPr>
          <w:rFonts w:hint="default" w:ascii="Times New Roman" w:hAnsi="Times New Roman" w:cs="Times New Roman"/>
          <w:b/>
          <w:bCs/>
          <w:color w:val="auto"/>
        </w:rPr>
        <w:t xml:space="preserve">   地下水敏感程度分级表</w:t>
      </w:r>
    </w:p>
    <w:tbl>
      <w:tblPr>
        <w:tblStyle w:val="25"/>
        <w:tblW w:w="894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83"/>
        <w:gridCol w:w="72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tblHeader/>
        </w:trPr>
        <w:tc>
          <w:tcPr>
            <w:tcW w:w="1683" w:type="dxa"/>
            <w:tcBorders>
              <w:tl2br w:val="nil"/>
              <w:tr2bl w:val="nil"/>
            </w:tcBorders>
            <w:vAlign w:val="center"/>
          </w:tcPr>
          <w:p>
            <w:pPr>
              <w:spacing w:line="360" w:lineRule="exact"/>
              <w:ind w:firstLine="0" w:firstLineChars="0"/>
              <w:jc w:val="center"/>
              <w:rPr>
                <w:rFonts w:hint="default" w:ascii="Times New Roman" w:hAnsi="Times New Roman" w:cs="Times New Roman"/>
                <w:b/>
                <w:bCs/>
                <w:color w:val="auto"/>
                <w:kern w:val="0"/>
                <w:sz w:val="21"/>
                <w:szCs w:val="21"/>
                <w:lang w:val="en-GB"/>
              </w:rPr>
            </w:pPr>
            <w:r>
              <w:rPr>
                <w:rFonts w:hint="default" w:ascii="Times New Roman" w:hAnsi="Times New Roman" w:cs="Times New Roman"/>
                <w:color w:val="auto"/>
                <w:kern w:val="0"/>
                <w:sz w:val="21"/>
                <w:szCs w:val="21"/>
                <w:lang w:val="en-GB"/>
              </w:rPr>
              <w:t>敏感程度</w:t>
            </w:r>
          </w:p>
        </w:tc>
        <w:tc>
          <w:tcPr>
            <w:tcW w:w="7263" w:type="dxa"/>
            <w:tcBorders>
              <w:tl2br w:val="nil"/>
              <w:tr2bl w:val="nil"/>
            </w:tcBorders>
            <w:vAlign w:val="center"/>
          </w:tcPr>
          <w:p>
            <w:pPr>
              <w:spacing w:line="360" w:lineRule="exact"/>
              <w:ind w:firstLine="0" w:firstLineChars="0"/>
              <w:jc w:val="center"/>
              <w:rPr>
                <w:rFonts w:hint="default" w:ascii="Times New Roman" w:hAnsi="Times New Roman" w:cs="Times New Roman"/>
                <w:b/>
                <w:bCs/>
                <w:color w:val="auto"/>
                <w:kern w:val="0"/>
                <w:sz w:val="21"/>
                <w:szCs w:val="21"/>
                <w:lang w:val="en-GB"/>
              </w:rPr>
            </w:pPr>
            <w:r>
              <w:rPr>
                <w:rFonts w:hint="default" w:ascii="Times New Roman" w:hAnsi="Times New Roman" w:cs="Times New Roman"/>
                <w:color w:val="auto"/>
                <w:kern w:val="0"/>
                <w:sz w:val="21"/>
                <w:szCs w:val="21"/>
                <w:lang w:val="en-GB"/>
              </w:rPr>
              <w:t>地下水环境敏感特征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83" w:type="dxa"/>
            <w:tcBorders>
              <w:tl2br w:val="nil"/>
              <w:tr2bl w:val="nil"/>
            </w:tcBorders>
            <w:vAlign w:val="center"/>
          </w:tcPr>
          <w:p>
            <w:pPr>
              <w:spacing w:line="360" w:lineRule="exact"/>
              <w:ind w:firstLine="0" w:firstLineChars="0"/>
              <w:jc w:val="center"/>
              <w:rPr>
                <w:rFonts w:hint="default" w:ascii="Times New Roman" w:hAnsi="Times New Roman" w:cs="Times New Roman"/>
                <w:bCs/>
                <w:color w:val="auto"/>
                <w:kern w:val="0"/>
                <w:sz w:val="21"/>
                <w:szCs w:val="21"/>
                <w:lang w:val="en-GB"/>
              </w:rPr>
            </w:pPr>
            <w:r>
              <w:rPr>
                <w:rFonts w:hint="default" w:ascii="Times New Roman" w:hAnsi="Times New Roman" w:cs="Times New Roman"/>
                <w:bCs/>
                <w:color w:val="auto"/>
                <w:kern w:val="0"/>
                <w:sz w:val="21"/>
                <w:szCs w:val="21"/>
                <w:lang w:val="en-GB"/>
              </w:rPr>
              <w:t>敏感</w:t>
            </w:r>
          </w:p>
        </w:tc>
        <w:tc>
          <w:tcPr>
            <w:tcW w:w="7263" w:type="dxa"/>
            <w:tcBorders>
              <w:tl2br w:val="nil"/>
              <w:tr2bl w:val="nil"/>
            </w:tcBorders>
            <w:vAlign w:val="center"/>
          </w:tcPr>
          <w:p>
            <w:pPr>
              <w:spacing w:line="360" w:lineRule="exact"/>
              <w:ind w:firstLine="0" w:firstLineChars="0"/>
              <w:jc w:val="center"/>
              <w:rPr>
                <w:rFonts w:hint="default" w:ascii="Times New Roman" w:hAnsi="Times New Roman" w:cs="Times New Roman"/>
                <w:bCs/>
                <w:color w:val="auto"/>
                <w:kern w:val="0"/>
                <w:sz w:val="21"/>
                <w:szCs w:val="21"/>
                <w:lang w:val="en-GB"/>
              </w:rPr>
            </w:pPr>
            <w:r>
              <w:rPr>
                <w:rFonts w:hint="default" w:ascii="Times New Roman" w:hAnsi="Times New Roman" w:cs="Times New Roman"/>
                <w:bCs/>
                <w:color w:val="auto"/>
                <w:kern w:val="0"/>
                <w:sz w:val="21"/>
                <w:szCs w:val="21"/>
                <w:lang w:val="en-GB"/>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83" w:type="dxa"/>
            <w:tcBorders>
              <w:tl2br w:val="nil"/>
              <w:tr2bl w:val="nil"/>
            </w:tcBorders>
            <w:vAlign w:val="center"/>
          </w:tcPr>
          <w:p>
            <w:pPr>
              <w:spacing w:line="360" w:lineRule="exact"/>
              <w:ind w:firstLine="0" w:firstLineChars="0"/>
              <w:jc w:val="center"/>
              <w:rPr>
                <w:rFonts w:hint="default" w:ascii="Times New Roman" w:hAnsi="Times New Roman" w:cs="Times New Roman"/>
                <w:bCs/>
                <w:color w:val="auto"/>
                <w:kern w:val="0"/>
                <w:sz w:val="21"/>
                <w:szCs w:val="21"/>
                <w:lang w:val="en-GB"/>
              </w:rPr>
            </w:pPr>
            <w:r>
              <w:rPr>
                <w:rFonts w:hint="default" w:ascii="Times New Roman" w:hAnsi="Times New Roman" w:cs="Times New Roman"/>
                <w:bCs/>
                <w:color w:val="auto"/>
                <w:kern w:val="0"/>
                <w:sz w:val="21"/>
                <w:szCs w:val="21"/>
                <w:lang w:val="en-GB"/>
              </w:rPr>
              <w:t>较敏感</w:t>
            </w:r>
          </w:p>
        </w:tc>
        <w:tc>
          <w:tcPr>
            <w:tcW w:w="7263" w:type="dxa"/>
            <w:tcBorders>
              <w:tl2br w:val="nil"/>
              <w:tr2bl w:val="nil"/>
            </w:tcBorders>
            <w:vAlign w:val="center"/>
          </w:tcPr>
          <w:p>
            <w:pPr>
              <w:spacing w:line="360" w:lineRule="exact"/>
              <w:ind w:firstLine="0" w:firstLineChars="0"/>
              <w:jc w:val="center"/>
              <w:rPr>
                <w:rFonts w:hint="default" w:ascii="Times New Roman" w:hAnsi="Times New Roman" w:cs="Times New Roman"/>
                <w:bCs/>
                <w:color w:val="auto"/>
                <w:kern w:val="0"/>
                <w:sz w:val="21"/>
                <w:szCs w:val="21"/>
                <w:lang w:val="en-GB"/>
              </w:rPr>
            </w:pPr>
            <w:r>
              <w:rPr>
                <w:rFonts w:hint="default" w:ascii="Times New Roman" w:hAnsi="Times New Roman" w:cs="Times New Roman"/>
                <w:bCs/>
                <w:color w:val="auto"/>
                <w:kern w:val="0"/>
                <w:sz w:val="21"/>
                <w:szCs w:val="21"/>
                <w:lang w:val="en-GB"/>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83" w:type="dxa"/>
            <w:tcBorders>
              <w:tl2br w:val="nil"/>
              <w:tr2bl w:val="nil"/>
            </w:tcBorders>
            <w:vAlign w:val="center"/>
          </w:tcPr>
          <w:p>
            <w:pPr>
              <w:spacing w:line="360" w:lineRule="exact"/>
              <w:ind w:firstLine="0" w:firstLineChars="0"/>
              <w:jc w:val="center"/>
              <w:rPr>
                <w:rFonts w:hint="default" w:ascii="Times New Roman" w:hAnsi="Times New Roman" w:cs="Times New Roman"/>
                <w:bCs/>
                <w:color w:val="auto"/>
                <w:kern w:val="0"/>
                <w:sz w:val="21"/>
                <w:szCs w:val="21"/>
                <w:lang w:val="en-GB"/>
              </w:rPr>
            </w:pPr>
            <w:r>
              <w:rPr>
                <w:rFonts w:hint="default" w:ascii="Times New Roman" w:hAnsi="Times New Roman" w:cs="Times New Roman"/>
                <w:bCs/>
                <w:color w:val="auto"/>
                <w:kern w:val="0"/>
                <w:sz w:val="21"/>
                <w:szCs w:val="21"/>
                <w:lang w:val="en-GB"/>
              </w:rPr>
              <w:t>不敏感</w:t>
            </w:r>
          </w:p>
        </w:tc>
        <w:tc>
          <w:tcPr>
            <w:tcW w:w="7263" w:type="dxa"/>
            <w:tcBorders>
              <w:tl2br w:val="nil"/>
              <w:tr2bl w:val="nil"/>
            </w:tcBorders>
            <w:vAlign w:val="center"/>
          </w:tcPr>
          <w:p>
            <w:pPr>
              <w:spacing w:line="360" w:lineRule="exact"/>
              <w:ind w:firstLine="0" w:firstLineChars="0"/>
              <w:jc w:val="center"/>
              <w:rPr>
                <w:rFonts w:hint="default" w:ascii="Times New Roman" w:hAnsi="Times New Roman" w:cs="Times New Roman"/>
                <w:bCs/>
                <w:color w:val="auto"/>
                <w:kern w:val="0"/>
                <w:sz w:val="21"/>
                <w:szCs w:val="21"/>
                <w:lang w:val="en-GB"/>
              </w:rPr>
            </w:pPr>
            <w:r>
              <w:rPr>
                <w:rFonts w:hint="default" w:ascii="Times New Roman" w:hAnsi="Times New Roman" w:cs="Times New Roman"/>
                <w:bCs/>
                <w:color w:val="auto"/>
                <w:kern w:val="0"/>
                <w:sz w:val="21"/>
                <w:szCs w:val="21"/>
                <w:lang w:val="en-GB"/>
              </w:rPr>
              <w:t>上述地区之外的其它区域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46" w:type="dxa"/>
            <w:gridSpan w:val="2"/>
            <w:tcBorders>
              <w:tl2br w:val="nil"/>
              <w:tr2bl w:val="nil"/>
            </w:tcBorders>
            <w:vAlign w:val="center"/>
          </w:tcPr>
          <w:p>
            <w:pPr>
              <w:spacing w:line="360" w:lineRule="exact"/>
              <w:ind w:firstLine="0" w:firstLineChars="0"/>
              <w:jc w:val="center"/>
              <w:rPr>
                <w:rFonts w:hint="default" w:ascii="Times New Roman" w:hAnsi="Times New Roman" w:cs="Times New Roman"/>
                <w:bCs/>
                <w:color w:val="auto"/>
                <w:kern w:val="0"/>
                <w:sz w:val="21"/>
                <w:szCs w:val="21"/>
                <w:lang w:val="en-GB"/>
              </w:rPr>
            </w:pPr>
            <w:r>
              <w:rPr>
                <w:rFonts w:hint="default" w:ascii="Times New Roman" w:hAnsi="Times New Roman" w:cs="Times New Roman"/>
                <w:bCs/>
                <w:color w:val="auto"/>
                <w:kern w:val="0"/>
                <w:sz w:val="21"/>
                <w:szCs w:val="21"/>
                <w:lang w:val="en-GB"/>
              </w:rPr>
              <w:t>注：a“环境敏感区”是指《建设项目环境影响评价分类管理名录》</w:t>
            </w:r>
          </w:p>
          <w:p>
            <w:pPr>
              <w:spacing w:line="360" w:lineRule="exact"/>
              <w:ind w:firstLine="0" w:firstLineChars="0"/>
              <w:jc w:val="center"/>
              <w:rPr>
                <w:rFonts w:hint="default" w:ascii="Times New Roman" w:hAnsi="Times New Roman" w:cs="Times New Roman"/>
                <w:bCs/>
                <w:color w:val="auto"/>
                <w:kern w:val="0"/>
                <w:sz w:val="21"/>
                <w:szCs w:val="21"/>
                <w:lang w:val="en-GB"/>
              </w:rPr>
            </w:pPr>
            <w:r>
              <w:rPr>
                <w:rFonts w:hint="default" w:ascii="Times New Roman" w:hAnsi="Times New Roman" w:cs="Times New Roman"/>
                <w:bCs/>
                <w:color w:val="auto"/>
                <w:kern w:val="0"/>
                <w:sz w:val="21"/>
                <w:szCs w:val="21"/>
                <w:lang w:val="en-GB"/>
              </w:rPr>
              <w:t>中所界定的涉及地下水的环境敏感区</w:t>
            </w:r>
          </w:p>
        </w:tc>
      </w:tr>
    </w:tbl>
    <w:p>
      <w:pPr>
        <w:ind w:firstLine="480"/>
        <w:jc w:val="left"/>
        <w:rPr>
          <w:rFonts w:hint="default" w:ascii="Times New Roman" w:hAnsi="Times New Roman" w:cs="Times New Roman"/>
          <w:color w:val="auto"/>
        </w:rPr>
      </w:pPr>
      <w:r>
        <w:rPr>
          <w:rFonts w:hint="default" w:ascii="Times New Roman" w:hAnsi="Times New Roman" w:cs="Times New Roman"/>
          <w:color w:val="auto"/>
        </w:rPr>
        <w:t>经现场调查，项目区周边村庄采用集中供水，供水水源为中深层地下水（供水来源为清丰县韩村乡地下水井（共4眼井，一级保护区范围：水厂厂区及外围30米的区域），地下水流向为：自西南向东北。另外，项目离周边的清丰县韩村乡地下水井群1.7km</w:t>
      </w:r>
      <w:r>
        <w:rPr>
          <w:rFonts w:hint="default" w:ascii="Times New Roman" w:hAnsi="Times New Roman" w:cs="Times New Roman"/>
          <w:color w:val="auto"/>
          <w:lang w:eastAsia="zh-CN"/>
        </w:rPr>
        <w:t>，其位于场区的下游</w:t>
      </w:r>
      <w:r>
        <w:rPr>
          <w:rFonts w:hint="default" w:ascii="Times New Roman" w:hAnsi="Times New Roman" w:cs="Times New Roman"/>
          <w:color w:val="auto"/>
        </w:rPr>
        <w:t>，但项目涉及分散式饮用水水源地。根据《环境影响评价技术导则地下水环境》（HJ 610-2016），判断建项目场地地下水环境敏感程度为“较敏感”，同时地下水环境影响评价项目类别为Ⅲ类。</w:t>
      </w:r>
    </w:p>
    <w:p>
      <w:pPr>
        <w:ind w:firstLine="480"/>
        <w:rPr>
          <w:rFonts w:hint="default" w:ascii="Times New Roman" w:hAnsi="Times New Roman" w:eastAsia="黑体" w:cs="Times New Roman"/>
          <w:color w:val="auto"/>
        </w:rPr>
      </w:pPr>
      <w:r>
        <w:rPr>
          <w:rFonts w:hint="default" w:ascii="Times New Roman" w:hAnsi="Times New Roman" w:cs="Times New Roman"/>
          <w:color w:val="auto"/>
        </w:rPr>
        <w:t>建设项目地下水环境影响评价工作等级划分情况见表2.5-</w:t>
      </w:r>
      <w:r>
        <w:rPr>
          <w:rFonts w:hint="default" w:ascii="Times New Roman" w:hAnsi="Times New Roman" w:cs="Times New Roman"/>
          <w:color w:val="auto"/>
          <w:lang w:val="en-US" w:eastAsia="zh-CN"/>
        </w:rPr>
        <w:t>3</w:t>
      </w:r>
      <w:r>
        <w:rPr>
          <w:rFonts w:hint="default" w:ascii="Times New Roman" w:hAnsi="Times New Roman" w:cs="Times New Roman"/>
          <w:color w:val="auto"/>
        </w:rPr>
        <w:t>。</w:t>
      </w:r>
      <w:bookmarkStart w:id="166" w:name="_Ref478121227"/>
    </w:p>
    <w:p>
      <w:pPr>
        <w:spacing w:line="360" w:lineRule="exact"/>
        <w:ind w:firstLine="0" w:firstLineChars="0"/>
        <w:jc w:val="center"/>
        <w:rPr>
          <w:rFonts w:hint="default" w:ascii="Times New Roman" w:hAnsi="Times New Roman" w:cs="Times New Roman"/>
          <w:b/>
          <w:bCs/>
          <w:color w:val="auto"/>
          <w:kern w:val="0"/>
          <w:lang w:val="en-GB"/>
        </w:rPr>
      </w:pPr>
      <w:r>
        <w:rPr>
          <w:rFonts w:hint="default" w:ascii="Times New Roman" w:hAnsi="Times New Roman" w:cs="Times New Roman"/>
          <w:b/>
          <w:bCs/>
          <w:color w:val="auto"/>
          <w:kern w:val="0"/>
          <w:lang w:val="en-GB"/>
        </w:rPr>
        <w:t xml:space="preserve">表 </w:t>
      </w:r>
      <w:bookmarkEnd w:id="166"/>
      <w:r>
        <w:rPr>
          <w:rFonts w:hint="default" w:ascii="Times New Roman" w:hAnsi="Times New Roman" w:cs="Times New Roman"/>
          <w:b/>
          <w:bCs/>
          <w:color w:val="auto"/>
          <w:kern w:val="0"/>
        </w:rPr>
        <w:t>2.5-</w:t>
      </w:r>
      <w:r>
        <w:rPr>
          <w:rFonts w:hint="default" w:ascii="Times New Roman" w:hAnsi="Times New Roman" w:cs="Times New Roman"/>
          <w:b/>
          <w:bCs/>
          <w:color w:val="auto"/>
          <w:kern w:val="0"/>
          <w:lang w:val="en-US" w:eastAsia="zh-CN"/>
        </w:rPr>
        <w:t>3</w:t>
      </w:r>
      <w:r>
        <w:rPr>
          <w:rFonts w:hint="default" w:ascii="Times New Roman" w:hAnsi="Times New Roman" w:cs="Times New Roman"/>
          <w:b/>
          <w:bCs/>
          <w:color w:val="auto"/>
          <w:kern w:val="0"/>
          <w:lang w:val="en-GB"/>
        </w:rPr>
        <w:t xml:space="preserve">    本项目地下水环境影响评价工作等级划分一览表</w:t>
      </w:r>
    </w:p>
    <w:tbl>
      <w:tblPr>
        <w:tblStyle w:val="25"/>
        <w:tblW w:w="894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82"/>
        <w:gridCol w:w="1888"/>
        <w:gridCol w:w="1888"/>
        <w:gridCol w:w="18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5" w:hRule="atLeast"/>
          <w:tblHeader/>
          <w:jc w:val="center"/>
        </w:trPr>
        <w:tc>
          <w:tcPr>
            <w:tcW w:w="3282" w:type="dxa"/>
            <w:tcBorders>
              <w:tl2br w:val="nil"/>
              <w:tr2bl w:val="nil"/>
            </w:tcBorders>
            <w:vAlign w:val="center"/>
          </w:tcPr>
          <w:p>
            <w:pPr>
              <w:spacing w:line="360" w:lineRule="exact"/>
              <w:ind w:firstLine="0" w:firstLineChars="0"/>
              <w:jc w:val="center"/>
              <w:rPr>
                <w:rFonts w:hint="default" w:ascii="Times New Roman" w:hAnsi="Times New Roman" w:cs="Times New Roman"/>
                <w:b/>
                <w:bCs/>
                <w:color w:val="auto"/>
                <w:kern w:val="0"/>
                <w:sz w:val="21"/>
                <w:szCs w:val="21"/>
                <w:lang w:val="en-GB"/>
              </w:rPr>
            </w:pPr>
            <w:r>
              <w:rPr>
                <w:rFonts w:hint="default" w:ascii="Times New Roman" w:hAnsi="Times New Roman" w:cs="Times New Roman"/>
                <w:b/>
                <w:bCs/>
                <w:color w:val="auto"/>
                <w:kern w:val="0"/>
                <w:sz w:val="21"/>
                <w:szCs w:val="21"/>
                <w:lang w:val="en-GB"/>
              </w:rPr>
              <w:t xml:space="preserve">            环评类别</w:t>
            </w:r>
          </w:p>
          <w:p>
            <w:pPr>
              <w:spacing w:line="360" w:lineRule="exact"/>
              <w:ind w:firstLine="0" w:firstLineChars="0"/>
              <w:rPr>
                <w:rFonts w:hint="default" w:ascii="Times New Roman" w:hAnsi="Times New Roman" w:cs="Times New Roman"/>
                <w:b/>
                <w:bCs/>
                <w:color w:val="auto"/>
                <w:kern w:val="0"/>
                <w:sz w:val="21"/>
                <w:szCs w:val="21"/>
                <w:lang w:val="en-GB"/>
              </w:rPr>
            </w:pPr>
            <w:r>
              <w:rPr>
                <w:rFonts w:hint="default" w:ascii="Times New Roman" w:hAnsi="Times New Roman" w:cs="Times New Roman"/>
                <w:b/>
                <w:bCs/>
                <w:color w:val="auto"/>
                <w:kern w:val="0"/>
                <w:sz w:val="21"/>
                <w:szCs w:val="21"/>
                <w:lang w:val="en-GB"/>
              </w:rPr>
              <w:t>环境敏感程度</w:t>
            </w:r>
          </w:p>
        </w:tc>
        <w:tc>
          <w:tcPr>
            <w:tcW w:w="1888" w:type="dxa"/>
            <w:tcBorders>
              <w:tl2br w:val="nil"/>
              <w:tr2bl w:val="nil"/>
            </w:tcBorders>
            <w:vAlign w:val="center"/>
          </w:tcPr>
          <w:p>
            <w:pPr>
              <w:spacing w:line="360" w:lineRule="exact"/>
              <w:ind w:firstLine="0" w:firstLineChars="0"/>
              <w:jc w:val="center"/>
              <w:rPr>
                <w:rFonts w:hint="default" w:ascii="Times New Roman" w:hAnsi="Times New Roman" w:cs="Times New Roman"/>
                <w:b/>
                <w:bCs/>
                <w:color w:val="auto"/>
                <w:kern w:val="0"/>
                <w:sz w:val="21"/>
                <w:szCs w:val="21"/>
                <w:lang w:val="en-GB"/>
              </w:rPr>
            </w:pPr>
            <w:r>
              <w:rPr>
                <w:rFonts w:hint="default" w:ascii="Times New Roman" w:hAnsi="Times New Roman" w:cs="Times New Roman"/>
                <w:b/>
                <w:color w:val="auto"/>
                <w:kern w:val="0"/>
                <w:sz w:val="21"/>
                <w:szCs w:val="21"/>
              </w:rPr>
              <w:t>Ⅰ类项目</w:t>
            </w:r>
          </w:p>
        </w:tc>
        <w:tc>
          <w:tcPr>
            <w:tcW w:w="1888" w:type="dxa"/>
            <w:tcBorders>
              <w:tl2br w:val="nil"/>
              <w:tr2bl w:val="nil"/>
            </w:tcBorders>
            <w:vAlign w:val="center"/>
          </w:tcPr>
          <w:p>
            <w:pPr>
              <w:spacing w:line="360" w:lineRule="exact"/>
              <w:ind w:firstLine="0" w:firstLineChars="0"/>
              <w:jc w:val="center"/>
              <w:rPr>
                <w:rFonts w:hint="default" w:ascii="Times New Roman" w:hAnsi="Times New Roman" w:cs="Times New Roman"/>
                <w:b/>
                <w:bCs/>
                <w:color w:val="auto"/>
                <w:kern w:val="0"/>
                <w:sz w:val="21"/>
                <w:szCs w:val="21"/>
                <w:lang w:val="en-GB"/>
              </w:rPr>
            </w:pPr>
            <w:r>
              <w:rPr>
                <w:rFonts w:hint="default" w:ascii="Times New Roman" w:hAnsi="Times New Roman" w:cs="Times New Roman"/>
                <w:b/>
                <w:color w:val="auto"/>
                <w:kern w:val="0"/>
                <w:sz w:val="21"/>
                <w:szCs w:val="21"/>
              </w:rPr>
              <w:t>Ⅱ类项目</w:t>
            </w:r>
          </w:p>
        </w:tc>
        <w:tc>
          <w:tcPr>
            <w:tcW w:w="1888" w:type="dxa"/>
            <w:tcBorders>
              <w:tl2br w:val="nil"/>
              <w:tr2bl w:val="nil"/>
            </w:tcBorders>
            <w:vAlign w:val="center"/>
          </w:tcPr>
          <w:p>
            <w:pPr>
              <w:spacing w:line="360" w:lineRule="exact"/>
              <w:ind w:firstLine="0" w:firstLineChars="0"/>
              <w:jc w:val="center"/>
              <w:rPr>
                <w:rFonts w:hint="default" w:ascii="Times New Roman" w:hAnsi="Times New Roman" w:cs="Times New Roman"/>
                <w:b/>
                <w:color w:val="auto"/>
                <w:kern w:val="0"/>
                <w:sz w:val="21"/>
                <w:szCs w:val="21"/>
                <w:lang w:val="en-GB"/>
              </w:rPr>
            </w:pPr>
            <w:r>
              <w:rPr>
                <w:rFonts w:hint="default" w:ascii="Times New Roman" w:hAnsi="Times New Roman" w:cs="Times New Roman"/>
                <w:b/>
                <w:color w:val="auto"/>
                <w:kern w:val="0"/>
                <w:sz w:val="21"/>
                <w:szCs w:val="21"/>
              </w:rPr>
              <w:t>Ⅲ类项目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9" w:hRule="atLeast"/>
          <w:tblHeader/>
          <w:jc w:val="center"/>
        </w:trPr>
        <w:tc>
          <w:tcPr>
            <w:tcW w:w="3282" w:type="dxa"/>
            <w:tcBorders>
              <w:tl2br w:val="nil"/>
              <w:tr2bl w:val="nil"/>
            </w:tcBorders>
            <w:vAlign w:val="center"/>
          </w:tcPr>
          <w:p>
            <w:pPr>
              <w:spacing w:line="360" w:lineRule="exact"/>
              <w:ind w:firstLine="0" w:firstLineChars="0"/>
              <w:jc w:val="center"/>
              <w:rPr>
                <w:rFonts w:hint="default" w:ascii="Times New Roman" w:hAnsi="Times New Roman" w:cs="Times New Roman"/>
                <w:bCs/>
                <w:color w:val="auto"/>
                <w:kern w:val="0"/>
                <w:sz w:val="21"/>
                <w:szCs w:val="21"/>
                <w:lang w:val="en-GB"/>
              </w:rPr>
            </w:pPr>
            <w:r>
              <w:rPr>
                <w:rFonts w:hint="default" w:ascii="Times New Roman" w:hAnsi="Times New Roman" w:cs="Times New Roman"/>
                <w:bCs/>
                <w:color w:val="auto"/>
                <w:kern w:val="0"/>
                <w:sz w:val="21"/>
                <w:szCs w:val="21"/>
                <w:lang w:val="en-GB"/>
              </w:rPr>
              <w:t>敏感</w:t>
            </w:r>
          </w:p>
        </w:tc>
        <w:tc>
          <w:tcPr>
            <w:tcW w:w="1888" w:type="dxa"/>
            <w:tcBorders>
              <w:tl2br w:val="nil"/>
              <w:tr2bl w:val="nil"/>
            </w:tcBorders>
            <w:vAlign w:val="center"/>
          </w:tcPr>
          <w:p>
            <w:pPr>
              <w:spacing w:line="360" w:lineRule="exact"/>
              <w:ind w:firstLine="0" w:firstLineChars="0"/>
              <w:jc w:val="center"/>
              <w:rPr>
                <w:rFonts w:hint="default" w:ascii="Times New Roman" w:hAnsi="Times New Roman" w:cs="Times New Roman"/>
                <w:b/>
                <w:bCs/>
                <w:color w:val="auto"/>
                <w:kern w:val="0"/>
                <w:sz w:val="21"/>
                <w:szCs w:val="21"/>
                <w:lang w:val="en-GB"/>
              </w:rPr>
            </w:pPr>
            <w:r>
              <w:rPr>
                <w:rFonts w:hint="default" w:ascii="Times New Roman" w:hAnsi="Times New Roman" w:cs="Times New Roman"/>
                <w:b/>
                <w:bCs/>
                <w:color w:val="auto"/>
                <w:kern w:val="0"/>
                <w:sz w:val="21"/>
                <w:szCs w:val="21"/>
                <w:lang w:val="en-GB"/>
              </w:rPr>
              <w:t>一</w:t>
            </w:r>
          </w:p>
        </w:tc>
        <w:tc>
          <w:tcPr>
            <w:tcW w:w="1888" w:type="dxa"/>
            <w:tcBorders>
              <w:tl2br w:val="nil"/>
              <w:tr2bl w:val="nil"/>
            </w:tcBorders>
            <w:vAlign w:val="center"/>
          </w:tcPr>
          <w:p>
            <w:pPr>
              <w:spacing w:line="360" w:lineRule="exact"/>
              <w:ind w:firstLine="0" w:firstLineChars="0"/>
              <w:jc w:val="center"/>
              <w:rPr>
                <w:rFonts w:hint="default" w:ascii="Times New Roman" w:hAnsi="Times New Roman" w:cs="Times New Roman"/>
                <w:b/>
                <w:bCs/>
                <w:color w:val="auto"/>
                <w:kern w:val="0"/>
                <w:sz w:val="21"/>
                <w:szCs w:val="21"/>
                <w:lang w:val="en-GB"/>
              </w:rPr>
            </w:pPr>
            <w:r>
              <w:rPr>
                <w:rFonts w:hint="default" w:ascii="Times New Roman" w:hAnsi="Times New Roman" w:cs="Times New Roman"/>
                <w:b/>
                <w:bCs/>
                <w:color w:val="auto"/>
                <w:kern w:val="0"/>
                <w:sz w:val="21"/>
                <w:szCs w:val="21"/>
                <w:lang w:val="en-GB"/>
              </w:rPr>
              <w:t>一</w:t>
            </w:r>
          </w:p>
        </w:tc>
        <w:tc>
          <w:tcPr>
            <w:tcW w:w="1888" w:type="dxa"/>
            <w:tcBorders>
              <w:tl2br w:val="nil"/>
              <w:tr2bl w:val="nil"/>
            </w:tcBorders>
            <w:vAlign w:val="center"/>
          </w:tcPr>
          <w:p>
            <w:pPr>
              <w:spacing w:line="360" w:lineRule="exact"/>
              <w:ind w:firstLine="0" w:firstLineChars="0"/>
              <w:jc w:val="center"/>
              <w:rPr>
                <w:rFonts w:hint="default" w:ascii="Times New Roman" w:hAnsi="Times New Roman" w:cs="Times New Roman"/>
                <w:b/>
                <w:bCs/>
                <w:color w:val="auto"/>
                <w:kern w:val="0"/>
                <w:sz w:val="21"/>
                <w:szCs w:val="21"/>
                <w:lang w:val="en-GB"/>
              </w:rPr>
            </w:pPr>
            <w:r>
              <w:rPr>
                <w:rFonts w:hint="default" w:ascii="Times New Roman" w:hAnsi="Times New Roman" w:cs="Times New Roman"/>
                <w:b/>
                <w:bCs/>
                <w:color w:val="auto"/>
                <w:kern w:val="0"/>
                <w:sz w:val="21"/>
                <w:szCs w:val="21"/>
                <w:lang w:val="en-GB"/>
              </w:rPr>
              <w:t>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282" w:type="dxa"/>
            <w:tcBorders>
              <w:tl2br w:val="nil"/>
              <w:tr2bl w:val="nil"/>
            </w:tcBorders>
            <w:vAlign w:val="center"/>
          </w:tcPr>
          <w:p>
            <w:pPr>
              <w:spacing w:line="360" w:lineRule="exact"/>
              <w:ind w:firstLine="0" w:firstLineChars="0"/>
              <w:jc w:val="center"/>
              <w:rPr>
                <w:rFonts w:hint="default" w:ascii="Times New Roman" w:hAnsi="Times New Roman" w:cs="Times New Roman"/>
                <w:bCs/>
                <w:color w:val="auto"/>
                <w:kern w:val="0"/>
                <w:sz w:val="21"/>
                <w:szCs w:val="21"/>
                <w:lang w:val="en-GB"/>
              </w:rPr>
            </w:pPr>
            <w:r>
              <w:rPr>
                <w:rFonts w:hint="default" w:ascii="Times New Roman" w:hAnsi="Times New Roman" w:cs="Times New Roman"/>
                <w:bCs/>
                <w:color w:val="auto"/>
                <w:kern w:val="0"/>
                <w:sz w:val="21"/>
                <w:szCs w:val="21"/>
                <w:lang w:val="en-GB"/>
              </w:rPr>
              <w:t>较敏感</w:t>
            </w:r>
          </w:p>
        </w:tc>
        <w:tc>
          <w:tcPr>
            <w:tcW w:w="1888" w:type="dxa"/>
            <w:tcBorders>
              <w:tl2br w:val="nil"/>
              <w:tr2bl w:val="nil"/>
            </w:tcBorders>
            <w:vAlign w:val="center"/>
          </w:tcPr>
          <w:p>
            <w:pPr>
              <w:spacing w:line="360" w:lineRule="exact"/>
              <w:ind w:firstLine="0" w:firstLineChars="0"/>
              <w:jc w:val="center"/>
              <w:rPr>
                <w:rFonts w:hint="default" w:ascii="Times New Roman" w:hAnsi="Times New Roman" w:cs="Times New Roman"/>
                <w:b/>
                <w:bCs/>
                <w:color w:val="auto"/>
                <w:kern w:val="0"/>
                <w:sz w:val="21"/>
                <w:szCs w:val="21"/>
                <w:lang w:val="en-GB"/>
              </w:rPr>
            </w:pPr>
            <w:r>
              <w:rPr>
                <w:rFonts w:hint="default" w:ascii="Times New Roman" w:hAnsi="Times New Roman" w:cs="Times New Roman"/>
                <w:b/>
                <w:bCs/>
                <w:color w:val="auto"/>
                <w:kern w:val="0"/>
                <w:sz w:val="21"/>
                <w:szCs w:val="21"/>
                <w:lang w:val="en-GB"/>
              </w:rPr>
              <w:t>一</w:t>
            </w:r>
          </w:p>
        </w:tc>
        <w:tc>
          <w:tcPr>
            <w:tcW w:w="1888" w:type="dxa"/>
            <w:tcBorders>
              <w:tl2br w:val="nil"/>
              <w:tr2bl w:val="nil"/>
            </w:tcBorders>
            <w:vAlign w:val="center"/>
          </w:tcPr>
          <w:p>
            <w:pPr>
              <w:spacing w:line="360" w:lineRule="exact"/>
              <w:ind w:firstLine="0" w:firstLineChars="0"/>
              <w:jc w:val="center"/>
              <w:rPr>
                <w:rFonts w:hint="default" w:ascii="Times New Roman" w:hAnsi="Times New Roman" w:cs="Times New Roman"/>
                <w:b/>
                <w:bCs/>
                <w:color w:val="auto"/>
                <w:kern w:val="0"/>
                <w:sz w:val="21"/>
                <w:szCs w:val="21"/>
                <w:lang w:val="en-GB"/>
              </w:rPr>
            </w:pPr>
            <w:r>
              <w:rPr>
                <w:rFonts w:hint="default" w:ascii="Times New Roman" w:hAnsi="Times New Roman" w:cs="Times New Roman"/>
                <w:b/>
                <w:bCs/>
                <w:color w:val="auto"/>
                <w:kern w:val="0"/>
                <w:sz w:val="21"/>
                <w:szCs w:val="21"/>
                <w:lang w:val="en-GB"/>
              </w:rPr>
              <w:t>二</w:t>
            </w:r>
          </w:p>
        </w:tc>
        <w:tc>
          <w:tcPr>
            <w:tcW w:w="1888" w:type="dxa"/>
            <w:tcBorders>
              <w:tl2br w:val="nil"/>
              <w:tr2bl w:val="nil"/>
            </w:tcBorders>
            <w:vAlign w:val="center"/>
          </w:tcPr>
          <w:p>
            <w:pPr>
              <w:spacing w:line="360" w:lineRule="exact"/>
              <w:ind w:firstLine="0" w:firstLineChars="0"/>
              <w:jc w:val="center"/>
              <w:rPr>
                <w:rFonts w:hint="default" w:ascii="Times New Roman" w:hAnsi="Times New Roman" w:cs="Times New Roman"/>
                <w:b/>
                <w:bCs/>
                <w:color w:val="auto"/>
                <w:kern w:val="0"/>
                <w:sz w:val="21"/>
                <w:szCs w:val="21"/>
                <w:lang w:val="en-GB"/>
              </w:rPr>
            </w:pPr>
            <w:r>
              <w:rPr>
                <w:rFonts w:hint="default" w:ascii="Times New Roman" w:hAnsi="Times New Roman" w:cs="Times New Roman"/>
                <w:b/>
                <w:bCs/>
                <w:color w:val="auto"/>
                <w:kern w:val="0"/>
                <w:sz w:val="21"/>
                <w:szCs w:val="21"/>
                <w:lang w:val="en-GB"/>
              </w:rPr>
              <w:t>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tblHeader/>
          <w:jc w:val="center"/>
        </w:trPr>
        <w:tc>
          <w:tcPr>
            <w:tcW w:w="3282" w:type="dxa"/>
            <w:tcBorders>
              <w:tl2br w:val="nil"/>
              <w:tr2bl w:val="nil"/>
            </w:tcBorders>
            <w:vAlign w:val="center"/>
          </w:tcPr>
          <w:p>
            <w:pPr>
              <w:spacing w:line="360" w:lineRule="exact"/>
              <w:ind w:firstLine="0" w:firstLineChars="0"/>
              <w:jc w:val="center"/>
              <w:rPr>
                <w:rFonts w:hint="default" w:ascii="Times New Roman" w:hAnsi="Times New Roman" w:cs="Times New Roman"/>
                <w:bCs/>
                <w:color w:val="auto"/>
                <w:kern w:val="0"/>
                <w:sz w:val="21"/>
                <w:szCs w:val="21"/>
                <w:lang w:val="en-GB"/>
              </w:rPr>
            </w:pPr>
            <w:r>
              <w:rPr>
                <w:rFonts w:hint="default" w:ascii="Times New Roman" w:hAnsi="Times New Roman" w:cs="Times New Roman"/>
                <w:bCs/>
                <w:color w:val="auto"/>
                <w:kern w:val="0"/>
                <w:sz w:val="21"/>
                <w:szCs w:val="21"/>
                <w:lang w:val="en-GB"/>
              </w:rPr>
              <w:t>不敏感</w:t>
            </w:r>
          </w:p>
        </w:tc>
        <w:tc>
          <w:tcPr>
            <w:tcW w:w="1888" w:type="dxa"/>
            <w:tcBorders>
              <w:tl2br w:val="nil"/>
              <w:tr2bl w:val="nil"/>
            </w:tcBorders>
            <w:vAlign w:val="center"/>
          </w:tcPr>
          <w:p>
            <w:pPr>
              <w:spacing w:line="360" w:lineRule="exact"/>
              <w:ind w:firstLine="0" w:firstLineChars="0"/>
              <w:jc w:val="center"/>
              <w:rPr>
                <w:rFonts w:hint="default" w:ascii="Times New Roman" w:hAnsi="Times New Roman" w:cs="Times New Roman"/>
                <w:b/>
                <w:bCs/>
                <w:color w:val="auto"/>
                <w:kern w:val="0"/>
                <w:sz w:val="21"/>
                <w:szCs w:val="21"/>
                <w:lang w:val="en-GB"/>
              </w:rPr>
            </w:pPr>
            <w:r>
              <w:rPr>
                <w:rFonts w:hint="default" w:ascii="Times New Roman" w:hAnsi="Times New Roman" w:cs="Times New Roman"/>
                <w:b/>
                <w:bCs/>
                <w:color w:val="auto"/>
                <w:kern w:val="0"/>
                <w:sz w:val="21"/>
                <w:szCs w:val="21"/>
                <w:lang w:val="en-GB"/>
              </w:rPr>
              <w:t>二</w:t>
            </w:r>
          </w:p>
        </w:tc>
        <w:tc>
          <w:tcPr>
            <w:tcW w:w="1888" w:type="dxa"/>
            <w:tcBorders>
              <w:tl2br w:val="nil"/>
              <w:tr2bl w:val="nil"/>
            </w:tcBorders>
            <w:vAlign w:val="center"/>
          </w:tcPr>
          <w:p>
            <w:pPr>
              <w:spacing w:line="360" w:lineRule="exact"/>
              <w:ind w:firstLine="0" w:firstLineChars="0"/>
              <w:jc w:val="center"/>
              <w:rPr>
                <w:rFonts w:hint="default" w:ascii="Times New Roman" w:hAnsi="Times New Roman" w:cs="Times New Roman"/>
                <w:b/>
                <w:bCs/>
                <w:color w:val="auto"/>
                <w:kern w:val="0"/>
                <w:sz w:val="21"/>
                <w:szCs w:val="21"/>
                <w:lang w:val="en-GB"/>
              </w:rPr>
            </w:pPr>
            <w:r>
              <w:rPr>
                <w:rFonts w:hint="default" w:ascii="Times New Roman" w:hAnsi="Times New Roman" w:cs="Times New Roman"/>
                <w:b/>
                <w:bCs/>
                <w:color w:val="auto"/>
                <w:kern w:val="0"/>
                <w:sz w:val="21"/>
                <w:szCs w:val="21"/>
                <w:lang w:val="en-GB"/>
              </w:rPr>
              <w:t>三</w:t>
            </w:r>
          </w:p>
        </w:tc>
        <w:tc>
          <w:tcPr>
            <w:tcW w:w="1888" w:type="dxa"/>
            <w:tcBorders>
              <w:tl2br w:val="nil"/>
              <w:tr2bl w:val="nil"/>
            </w:tcBorders>
            <w:vAlign w:val="center"/>
          </w:tcPr>
          <w:p>
            <w:pPr>
              <w:spacing w:line="360" w:lineRule="exact"/>
              <w:ind w:firstLine="0" w:firstLineChars="0"/>
              <w:jc w:val="center"/>
              <w:rPr>
                <w:rFonts w:hint="default" w:ascii="Times New Roman" w:hAnsi="Times New Roman" w:cs="Times New Roman"/>
                <w:b/>
                <w:bCs/>
                <w:color w:val="auto"/>
                <w:kern w:val="0"/>
                <w:sz w:val="21"/>
                <w:szCs w:val="21"/>
                <w:lang w:val="en-GB"/>
              </w:rPr>
            </w:pPr>
            <w:r>
              <w:rPr>
                <w:rFonts w:hint="default" w:ascii="Times New Roman" w:hAnsi="Times New Roman" w:cs="Times New Roman"/>
                <w:b/>
                <w:bCs/>
                <w:color w:val="auto"/>
                <w:kern w:val="0"/>
                <w:sz w:val="21"/>
                <w:szCs w:val="21"/>
                <w:lang w:val="en-GB"/>
              </w:rPr>
              <w:t>三</w:t>
            </w:r>
          </w:p>
        </w:tc>
      </w:tr>
    </w:tbl>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综合以上分析，地下水评价工作等级确定为三级。</w:t>
      </w:r>
    </w:p>
    <w:p>
      <w:p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评价范围：根据本项目特点，评价范围为场址及拟施肥农田区域，具体为项目区西南侧0.1km，项目两侧1.5km，东北侧（下游）1.9km的区域，约6km</w:t>
      </w:r>
      <w:r>
        <w:rPr>
          <w:rFonts w:hint="default" w:ascii="Times New Roman" w:hAnsi="Times New Roman" w:cs="Times New Roman"/>
          <w:color w:val="auto"/>
          <w:highlight w:val="none"/>
          <w:vertAlign w:val="superscript"/>
        </w:rPr>
        <w:t>2</w:t>
      </w:r>
      <w:r>
        <w:rPr>
          <w:rFonts w:hint="default" w:ascii="Times New Roman" w:hAnsi="Times New Roman" w:cs="Times New Roman"/>
          <w:color w:val="auto"/>
          <w:highlight w:val="none"/>
        </w:rPr>
        <w:t>范围，满足三级评价要求。</w:t>
      </w:r>
    </w:p>
    <w:p>
      <w:pPr>
        <w:pStyle w:val="5"/>
        <w:rPr>
          <w:rFonts w:hint="default" w:ascii="Times New Roman" w:hAnsi="Times New Roman" w:cs="Times New Roman"/>
          <w:color w:val="auto"/>
        </w:rPr>
      </w:pPr>
      <w:r>
        <w:rPr>
          <w:rFonts w:hint="default" w:ascii="Times New Roman" w:hAnsi="Times New Roman" w:cs="Times New Roman"/>
          <w:color w:val="auto"/>
        </w:rPr>
        <w:t>2.5.4 噪声</w:t>
      </w:r>
    </w:p>
    <w:p>
      <w:pPr>
        <w:ind w:firstLine="480"/>
        <w:rPr>
          <w:rFonts w:hint="default" w:ascii="Times New Roman" w:hAnsi="Times New Roman" w:cs="Times New Roman"/>
          <w:color w:val="auto"/>
        </w:rPr>
      </w:pPr>
      <w:bookmarkStart w:id="167" w:name="_Toc402441863"/>
      <w:r>
        <w:rPr>
          <w:rFonts w:hint="default" w:ascii="Times New Roman" w:hAnsi="Times New Roman" w:cs="Times New Roman"/>
          <w:color w:val="auto"/>
        </w:rPr>
        <w:t>营运期噪声源主要来自废水处理设备等运行产生的设备噪声及猪的叫声，项目建设前后，噪声级增加量不大，根据《环境影响评价技术导则—声环境》（HJ2.4-2009），声环境影响评价等级为二级。</w:t>
      </w:r>
      <w:bookmarkEnd w:id="167"/>
      <w:r>
        <w:rPr>
          <w:rFonts w:hint="default" w:ascii="Times New Roman" w:hAnsi="Times New Roman" w:cs="Times New Roman"/>
          <w:color w:val="auto"/>
        </w:rPr>
        <w:t>本项目声环境评价等级划分详见表2.5-</w:t>
      </w:r>
      <w:r>
        <w:rPr>
          <w:rFonts w:hint="default" w:ascii="Times New Roman" w:hAnsi="Times New Roman" w:cs="Times New Roman"/>
          <w:color w:val="auto"/>
          <w:lang w:val="en-US" w:eastAsia="zh-CN"/>
        </w:rPr>
        <w:t>4</w:t>
      </w:r>
      <w:r>
        <w:rPr>
          <w:rFonts w:hint="default" w:ascii="Times New Roman" w:hAnsi="Times New Roman" w:cs="Times New Roman"/>
          <w:color w:val="auto"/>
        </w:rPr>
        <w:t>。</w:t>
      </w:r>
    </w:p>
    <w:p>
      <w:pPr>
        <w:spacing w:afterLines="30"/>
        <w:ind w:left="480" w:leftChars="200" w:firstLine="0" w:firstLineChars="0"/>
        <w:jc w:val="left"/>
        <w:rPr>
          <w:rFonts w:hint="default" w:ascii="Times New Roman" w:hAnsi="Times New Roman" w:cs="Times New Roman"/>
          <w:b/>
          <w:color w:val="auto"/>
          <w:szCs w:val="21"/>
        </w:rPr>
      </w:pPr>
      <w:r>
        <w:rPr>
          <w:rFonts w:hint="default" w:ascii="Times New Roman" w:hAnsi="Times New Roman" w:cs="Times New Roman"/>
          <w:b/>
          <w:color w:val="auto"/>
          <w:szCs w:val="21"/>
        </w:rPr>
        <w:t>表2.5-</w:t>
      </w:r>
      <w:r>
        <w:rPr>
          <w:rFonts w:hint="default" w:ascii="Times New Roman" w:hAnsi="Times New Roman" w:cs="Times New Roman"/>
          <w:b/>
          <w:color w:val="auto"/>
          <w:szCs w:val="21"/>
          <w:lang w:val="en-US" w:eastAsia="zh-CN"/>
        </w:rPr>
        <w:t>4</w:t>
      </w:r>
      <w:r>
        <w:rPr>
          <w:rFonts w:hint="default" w:ascii="Times New Roman" w:hAnsi="Times New Roman" w:cs="Times New Roman"/>
          <w:b/>
          <w:color w:val="auto"/>
          <w:szCs w:val="21"/>
        </w:rPr>
        <w:t xml:space="preserve">                    声环境评价等级划分表</w:t>
      </w:r>
    </w:p>
    <w:tbl>
      <w:tblPr>
        <w:tblStyle w:val="25"/>
        <w:tblW w:w="8944" w:type="dxa"/>
        <w:tblInd w:w="0" w:type="dxa"/>
        <w:tblBorders>
          <w:top w:val="single" w:color="auto" w:sz="2" w:space="0"/>
          <w:left w:val="none" w:color="auto" w:sz="0" w:space="0"/>
          <w:bottom w:val="single" w:color="auto" w:sz="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754"/>
        <w:gridCol w:w="3087"/>
        <w:gridCol w:w="2103"/>
      </w:tblGrid>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3754" w:type="dxa"/>
            <w:vAlign w:val="center"/>
          </w:tcPr>
          <w:p>
            <w:pPr>
              <w:tabs>
                <w:tab w:val="left" w:pos="1080"/>
              </w:tabs>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评价类别</w:t>
            </w:r>
          </w:p>
        </w:tc>
        <w:tc>
          <w:tcPr>
            <w:tcW w:w="3087" w:type="dxa"/>
            <w:vAlign w:val="center"/>
          </w:tcPr>
          <w:p>
            <w:pPr>
              <w:tabs>
                <w:tab w:val="left" w:pos="1080"/>
              </w:tabs>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指标</w:t>
            </w:r>
          </w:p>
        </w:tc>
        <w:tc>
          <w:tcPr>
            <w:tcW w:w="2103" w:type="dxa"/>
            <w:vAlign w:val="center"/>
          </w:tcPr>
          <w:p>
            <w:pPr>
              <w:tabs>
                <w:tab w:val="left" w:pos="1080"/>
              </w:tabs>
              <w:spacing w:line="24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评价等级</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3754" w:type="dxa"/>
            <w:vAlign w:val="center"/>
          </w:tcPr>
          <w:p>
            <w:pPr>
              <w:tabs>
                <w:tab w:val="left" w:pos="1080"/>
              </w:tabs>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所在区域环境功能区划</w:t>
            </w:r>
          </w:p>
        </w:tc>
        <w:tc>
          <w:tcPr>
            <w:tcW w:w="3087" w:type="dxa"/>
            <w:vAlign w:val="center"/>
          </w:tcPr>
          <w:p>
            <w:pPr>
              <w:tabs>
                <w:tab w:val="left" w:pos="1080"/>
              </w:tabs>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GB3096-2008  2类</w:t>
            </w:r>
          </w:p>
        </w:tc>
        <w:tc>
          <w:tcPr>
            <w:tcW w:w="2103" w:type="dxa"/>
            <w:vMerge w:val="restart"/>
            <w:vAlign w:val="center"/>
          </w:tcPr>
          <w:p>
            <w:pPr>
              <w:tabs>
                <w:tab w:val="left" w:pos="1080"/>
              </w:tabs>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3754" w:type="dxa"/>
            <w:vAlign w:val="center"/>
          </w:tcPr>
          <w:p>
            <w:pPr>
              <w:tabs>
                <w:tab w:val="left" w:pos="1080"/>
              </w:tabs>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噪声增幅</w:t>
            </w:r>
          </w:p>
        </w:tc>
        <w:tc>
          <w:tcPr>
            <w:tcW w:w="3087" w:type="dxa"/>
            <w:vAlign w:val="center"/>
          </w:tcPr>
          <w:p>
            <w:pPr>
              <w:tabs>
                <w:tab w:val="left" w:pos="1080"/>
              </w:tabs>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预计增加＜3dB(A)</w:t>
            </w:r>
          </w:p>
        </w:tc>
        <w:tc>
          <w:tcPr>
            <w:tcW w:w="2103" w:type="dxa"/>
            <w:vMerge w:val="continue"/>
            <w:vAlign w:val="center"/>
          </w:tcPr>
          <w:p>
            <w:pPr>
              <w:tabs>
                <w:tab w:val="left" w:pos="1080"/>
              </w:tabs>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3754" w:type="dxa"/>
            <w:vAlign w:val="center"/>
          </w:tcPr>
          <w:p>
            <w:pPr>
              <w:tabs>
                <w:tab w:val="left" w:pos="1080"/>
              </w:tabs>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受噪声影响人口数量变化</w:t>
            </w:r>
          </w:p>
        </w:tc>
        <w:tc>
          <w:tcPr>
            <w:tcW w:w="3087" w:type="dxa"/>
            <w:vAlign w:val="center"/>
          </w:tcPr>
          <w:p>
            <w:pPr>
              <w:tabs>
                <w:tab w:val="left" w:pos="1080"/>
              </w:tabs>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变化不大</w:t>
            </w:r>
          </w:p>
        </w:tc>
        <w:tc>
          <w:tcPr>
            <w:tcW w:w="2103" w:type="dxa"/>
            <w:vMerge w:val="continue"/>
            <w:vAlign w:val="center"/>
          </w:tcPr>
          <w:p>
            <w:pPr>
              <w:tabs>
                <w:tab w:val="left" w:pos="1080"/>
              </w:tabs>
              <w:spacing w:line="240" w:lineRule="auto"/>
              <w:ind w:firstLine="0" w:firstLineChars="0"/>
              <w:jc w:val="center"/>
              <w:rPr>
                <w:rFonts w:hint="default" w:ascii="Times New Roman" w:hAnsi="Times New Roman" w:cs="Times New Roman"/>
                <w:color w:val="auto"/>
                <w:sz w:val="21"/>
                <w:szCs w:val="21"/>
              </w:rPr>
            </w:pPr>
          </w:p>
        </w:tc>
      </w:tr>
    </w:tbl>
    <w:p>
      <w:pPr>
        <w:ind w:firstLine="480"/>
        <w:rPr>
          <w:rFonts w:hint="default" w:ascii="Times New Roman" w:hAnsi="Times New Roman" w:cs="Times New Roman"/>
          <w:bCs/>
          <w:color w:val="auto"/>
        </w:rPr>
      </w:pPr>
      <w:r>
        <w:rPr>
          <w:rFonts w:hint="default" w:ascii="Times New Roman" w:hAnsi="Times New Roman" w:cs="Times New Roman"/>
          <w:color w:val="auto"/>
        </w:rPr>
        <w:t>评价范围：</w:t>
      </w:r>
      <w:r>
        <w:rPr>
          <w:rFonts w:hint="default" w:ascii="Times New Roman" w:hAnsi="Times New Roman" w:cs="Times New Roman"/>
          <w:bCs/>
          <w:color w:val="auto"/>
        </w:rPr>
        <w:t>由于本项目200m范围内无声环境敏感点，因此，本次评价声环境影响预测范围确定为各场界外1米处。</w:t>
      </w:r>
    </w:p>
    <w:p>
      <w:pPr>
        <w:pStyle w:val="5"/>
        <w:rPr>
          <w:rFonts w:hint="default" w:ascii="Times New Roman" w:hAnsi="Times New Roman" w:cs="Times New Roman"/>
          <w:color w:val="auto"/>
        </w:rPr>
      </w:pPr>
      <w:r>
        <w:rPr>
          <w:rFonts w:hint="default" w:ascii="Times New Roman" w:hAnsi="Times New Roman" w:cs="Times New Roman"/>
          <w:color w:val="auto"/>
        </w:rPr>
        <w:t>2.5.5 生态环境</w:t>
      </w:r>
    </w:p>
    <w:p>
      <w:pPr>
        <w:ind w:firstLine="480"/>
        <w:rPr>
          <w:rFonts w:hint="default" w:ascii="Times New Roman" w:hAnsi="Times New Roman" w:cs="Times New Roman"/>
          <w:color w:val="auto"/>
          <w:kern w:val="0"/>
        </w:rPr>
      </w:pPr>
      <w:r>
        <w:rPr>
          <w:rFonts w:hint="default" w:ascii="Times New Roman" w:hAnsi="Times New Roman" w:cs="Times New Roman"/>
          <w:color w:val="auto"/>
        </w:rPr>
        <w:t>项目所在地为养殖用地，不属于特殊生态敏感区和重要生态敏感区，项目占地167亩（合0.</w:t>
      </w:r>
      <w:r>
        <w:rPr>
          <w:rFonts w:hint="default" w:ascii="Times New Roman" w:hAnsi="Times New Roman" w:cs="Times New Roman"/>
          <w:color w:val="auto"/>
          <w:lang w:val="en-US" w:eastAsia="zh-CN"/>
        </w:rPr>
        <w:t>111</w:t>
      </w:r>
      <w:r>
        <w:rPr>
          <w:rFonts w:hint="default" w:ascii="Times New Roman" w:hAnsi="Times New Roman" w:cs="Times New Roman"/>
          <w:color w:val="auto"/>
        </w:rPr>
        <w:t>km</w:t>
      </w:r>
      <w:r>
        <w:rPr>
          <w:rFonts w:hint="default" w:ascii="Times New Roman" w:hAnsi="Times New Roman" w:cs="Times New Roman"/>
          <w:color w:val="auto"/>
          <w:vertAlign w:val="superscript"/>
        </w:rPr>
        <w:t>2</w:t>
      </w:r>
      <w:r>
        <w:rPr>
          <w:rFonts w:hint="default" w:ascii="Times New Roman" w:hAnsi="Times New Roman" w:cs="Times New Roman"/>
          <w:color w:val="auto"/>
        </w:rPr>
        <w:t>），根据《环境影响评价技术导则  生态影响》（HJ19－2011），生态影响评价工作等级为三级</w:t>
      </w:r>
      <w:r>
        <w:rPr>
          <w:rFonts w:hint="default" w:ascii="Times New Roman" w:hAnsi="Times New Roman" w:cs="Times New Roman"/>
          <w:color w:val="auto"/>
          <w:kern w:val="0"/>
        </w:rPr>
        <w:t>。</w:t>
      </w:r>
    </w:p>
    <w:p>
      <w:pPr>
        <w:spacing w:afterLines="30" w:line="500" w:lineRule="exact"/>
        <w:ind w:left="480" w:leftChars="200" w:firstLine="0" w:firstLineChars="0"/>
        <w:jc w:val="left"/>
        <w:rPr>
          <w:rFonts w:hint="default" w:ascii="Times New Roman" w:hAnsi="Times New Roman" w:cs="Times New Roman"/>
          <w:b/>
          <w:color w:val="auto"/>
          <w:szCs w:val="21"/>
        </w:rPr>
      </w:pPr>
      <w:r>
        <w:rPr>
          <w:rFonts w:hint="default" w:ascii="Times New Roman" w:hAnsi="Times New Roman" w:cs="Times New Roman"/>
          <w:b/>
          <w:color w:val="auto"/>
          <w:szCs w:val="21"/>
        </w:rPr>
        <w:t>表2.5-</w:t>
      </w:r>
      <w:r>
        <w:rPr>
          <w:rFonts w:hint="default" w:ascii="Times New Roman" w:hAnsi="Times New Roman" w:cs="Times New Roman"/>
          <w:b/>
          <w:color w:val="auto"/>
          <w:szCs w:val="21"/>
          <w:lang w:val="en-US" w:eastAsia="zh-CN"/>
        </w:rPr>
        <w:t>5</w:t>
      </w:r>
      <w:r>
        <w:rPr>
          <w:rFonts w:hint="default" w:ascii="Times New Roman" w:hAnsi="Times New Roman" w:cs="Times New Roman"/>
          <w:b/>
          <w:color w:val="auto"/>
          <w:szCs w:val="21"/>
        </w:rPr>
        <w:t xml:space="preserve">                     生态影响评价工作等级划分表</w:t>
      </w:r>
    </w:p>
    <w:tbl>
      <w:tblPr>
        <w:tblStyle w:val="25"/>
        <w:tblW w:w="8946" w:type="dxa"/>
        <w:jc w:val="center"/>
        <w:tblBorders>
          <w:top w:val="single" w:color="auto" w:sz="2" w:space="0"/>
          <w:left w:val="none" w:color="auto" w:sz="0" w:space="0"/>
          <w:bottom w:val="single" w:color="auto" w:sz="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849"/>
        <w:gridCol w:w="2319"/>
        <w:gridCol w:w="2675"/>
        <w:gridCol w:w="2103"/>
      </w:tblGrid>
      <w:tr>
        <w:tblPrEx>
          <w:tblBorders>
            <w:top w:val="single" w:color="auto" w:sz="2" w:space="0"/>
            <w:left w:val="none" w:color="auto" w:sz="0" w:space="0"/>
            <w:bottom w:val="single" w:color="auto" w:sz="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1849" w:type="dxa"/>
            <w:vMerge w:val="restart"/>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影响区域生态敏感性</w:t>
            </w:r>
          </w:p>
        </w:tc>
        <w:tc>
          <w:tcPr>
            <w:tcW w:w="7097" w:type="dxa"/>
            <w:gridSpan w:val="3"/>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工程占地（水域）范围</w:t>
            </w:r>
          </w:p>
        </w:tc>
      </w:tr>
      <w:tr>
        <w:tblPrEx>
          <w:tblBorders>
            <w:top w:val="single" w:color="auto" w:sz="2" w:space="0"/>
            <w:left w:val="none" w:color="auto" w:sz="0" w:space="0"/>
            <w:bottom w:val="single" w:color="auto" w:sz="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1849" w:type="dxa"/>
            <w:vMerge w:val="continue"/>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2319" w:type="dxa"/>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面积≥20km</w:t>
            </w:r>
            <w:r>
              <w:rPr>
                <w:rFonts w:hint="default" w:ascii="Times New Roman" w:hAnsi="Times New Roman" w:cs="Times New Roman"/>
                <w:color w:val="auto"/>
                <w:kern w:val="0"/>
                <w:sz w:val="21"/>
                <w:szCs w:val="21"/>
                <w:vertAlign w:val="superscript"/>
              </w:rPr>
              <w:t>2</w:t>
            </w:r>
            <w:r>
              <w:rPr>
                <w:rFonts w:hint="default" w:ascii="Times New Roman" w:hAnsi="Times New Roman" w:cs="Times New Roman"/>
                <w:color w:val="auto"/>
                <w:kern w:val="0"/>
                <w:sz w:val="21"/>
                <w:szCs w:val="21"/>
              </w:rPr>
              <w:t>或长度≥100km</w:t>
            </w:r>
          </w:p>
        </w:tc>
        <w:tc>
          <w:tcPr>
            <w:tcW w:w="2675" w:type="dxa"/>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面积2km</w:t>
            </w:r>
            <w:r>
              <w:rPr>
                <w:rFonts w:hint="default" w:ascii="Times New Roman" w:hAnsi="Times New Roman" w:cs="Times New Roman"/>
                <w:color w:val="auto"/>
                <w:kern w:val="0"/>
                <w:sz w:val="21"/>
                <w:szCs w:val="21"/>
                <w:vertAlign w:val="superscript"/>
              </w:rPr>
              <w:t>2</w:t>
            </w:r>
            <w:r>
              <w:rPr>
                <w:rFonts w:hint="default" w:ascii="Times New Roman" w:hAnsi="Times New Roman" w:cs="Times New Roman"/>
                <w:color w:val="auto"/>
                <w:kern w:val="0"/>
                <w:sz w:val="21"/>
                <w:szCs w:val="21"/>
              </w:rPr>
              <w:t>～20km</w:t>
            </w:r>
            <w:r>
              <w:rPr>
                <w:rFonts w:hint="default" w:ascii="Times New Roman" w:hAnsi="Times New Roman" w:cs="Times New Roman"/>
                <w:color w:val="auto"/>
                <w:kern w:val="0"/>
                <w:sz w:val="21"/>
                <w:szCs w:val="21"/>
                <w:vertAlign w:val="superscript"/>
              </w:rPr>
              <w:t>2</w:t>
            </w:r>
            <w:r>
              <w:rPr>
                <w:rFonts w:hint="default" w:ascii="Times New Roman" w:hAnsi="Times New Roman" w:cs="Times New Roman"/>
                <w:color w:val="auto"/>
                <w:kern w:val="0"/>
                <w:sz w:val="21"/>
                <w:szCs w:val="21"/>
              </w:rPr>
              <w:t>或长度50km～100km</w:t>
            </w:r>
          </w:p>
        </w:tc>
        <w:tc>
          <w:tcPr>
            <w:tcW w:w="2103" w:type="dxa"/>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面积≤2km</w:t>
            </w:r>
            <w:r>
              <w:rPr>
                <w:rFonts w:hint="default" w:ascii="Times New Roman" w:hAnsi="Times New Roman" w:cs="Times New Roman"/>
                <w:color w:val="auto"/>
                <w:kern w:val="0"/>
                <w:sz w:val="21"/>
                <w:szCs w:val="21"/>
                <w:vertAlign w:val="superscript"/>
              </w:rPr>
              <w:t>2</w:t>
            </w:r>
            <w:r>
              <w:rPr>
                <w:rFonts w:hint="default" w:ascii="Times New Roman" w:hAnsi="Times New Roman" w:cs="Times New Roman"/>
                <w:color w:val="auto"/>
                <w:kern w:val="0"/>
                <w:sz w:val="21"/>
                <w:szCs w:val="21"/>
              </w:rPr>
              <w:t>或长度≤50km</w:t>
            </w:r>
          </w:p>
        </w:tc>
      </w:tr>
      <w:tr>
        <w:tblPrEx>
          <w:tblBorders>
            <w:top w:val="single" w:color="auto" w:sz="2" w:space="0"/>
            <w:left w:val="none" w:color="auto" w:sz="0" w:space="0"/>
            <w:bottom w:val="single" w:color="auto" w:sz="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1849" w:type="dxa"/>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特殊生态敏感区</w:t>
            </w:r>
          </w:p>
        </w:tc>
        <w:tc>
          <w:tcPr>
            <w:tcW w:w="2319" w:type="dxa"/>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一级</w:t>
            </w:r>
          </w:p>
        </w:tc>
        <w:tc>
          <w:tcPr>
            <w:tcW w:w="2675" w:type="dxa"/>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一级</w:t>
            </w:r>
          </w:p>
        </w:tc>
        <w:tc>
          <w:tcPr>
            <w:tcW w:w="2103" w:type="dxa"/>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一级</w:t>
            </w:r>
          </w:p>
        </w:tc>
      </w:tr>
      <w:tr>
        <w:tblPrEx>
          <w:tblBorders>
            <w:top w:val="single" w:color="auto" w:sz="2" w:space="0"/>
            <w:left w:val="none" w:color="auto" w:sz="0" w:space="0"/>
            <w:bottom w:val="single" w:color="auto" w:sz="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1849" w:type="dxa"/>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重要生态敏感区</w:t>
            </w:r>
          </w:p>
        </w:tc>
        <w:tc>
          <w:tcPr>
            <w:tcW w:w="2319" w:type="dxa"/>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一级</w:t>
            </w:r>
          </w:p>
        </w:tc>
        <w:tc>
          <w:tcPr>
            <w:tcW w:w="2675" w:type="dxa"/>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二级</w:t>
            </w:r>
          </w:p>
        </w:tc>
        <w:tc>
          <w:tcPr>
            <w:tcW w:w="2103" w:type="dxa"/>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三级</w:t>
            </w:r>
          </w:p>
        </w:tc>
      </w:tr>
      <w:tr>
        <w:tblPrEx>
          <w:tblBorders>
            <w:top w:val="single" w:color="auto" w:sz="2" w:space="0"/>
            <w:left w:val="none" w:color="auto" w:sz="0" w:space="0"/>
            <w:bottom w:val="single" w:color="auto" w:sz="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blHeader/>
          <w:jc w:val="center"/>
        </w:trPr>
        <w:tc>
          <w:tcPr>
            <w:tcW w:w="1849" w:type="dxa"/>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一般区域</w:t>
            </w:r>
          </w:p>
        </w:tc>
        <w:tc>
          <w:tcPr>
            <w:tcW w:w="2319" w:type="dxa"/>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二级</w:t>
            </w:r>
          </w:p>
        </w:tc>
        <w:tc>
          <w:tcPr>
            <w:tcW w:w="2675" w:type="dxa"/>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三级</w:t>
            </w:r>
          </w:p>
        </w:tc>
        <w:tc>
          <w:tcPr>
            <w:tcW w:w="2103" w:type="dxa"/>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三级</w:t>
            </w:r>
          </w:p>
        </w:tc>
      </w:tr>
    </w:tbl>
    <w:p>
      <w:pPr>
        <w:pStyle w:val="5"/>
        <w:rPr>
          <w:rFonts w:hint="default" w:ascii="Times New Roman" w:hAnsi="Times New Roman" w:cs="Times New Roman"/>
          <w:color w:val="auto"/>
          <w:highlight w:val="none"/>
        </w:rPr>
      </w:pPr>
      <w:r>
        <w:rPr>
          <w:rFonts w:hint="default" w:ascii="Times New Roman" w:hAnsi="Times New Roman" w:cs="Times New Roman"/>
          <w:color w:val="auto"/>
          <w:highlight w:val="none"/>
        </w:rPr>
        <w:t>2.5.6 环境风险</w:t>
      </w:r>
    </w:p>
    <w:p>
      <w:pPr>
        <w:spacing w:line="360" w:lineRule="auto"/>
        <w:ind w:firstLine="480" w:firstLineChars="200"/>
        <w:rPr>
          <w:rFonts w:hint="default" w:ascii="Times New Roman" w:hAnsi="Times New Roman" w:cs="Times New Roman"/>
          <w:color w:val="auto"/>
          <w:sz w:val="24"/>
        </w:rPr>
      </w:pPr>
      <w:bookmarkStart w:id="168" w:name="_Toc9513"/>
      <w:bookmarkStart w:id="169" w:name="_Toc22271"/>
      <w:bookmarkStart w:id="170" w:name="_Toc413827930"/>
      <w:bookmarkStart w:id="171" w:name="_Toc402441864"/>
      <w:bookmarkStart w:id="172" w:name="_Toc441490828"/>
      <w:r>
        <w:rPr>
          <w:rFonts w:hint="default" w:ascii="Times New Roman" w:hAnsi="Times New Roman" w:cs="Times New Roman"/>
          <w:color w:val="auto"/>
          <w:sz w:val="24"/>
        </w:rPr>
        <w:t>依据《建设项目环境风险评价技术导则》（HJ 169-2018），建设项目环境风险评价工作级别按表2.5-</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内容进行划分。</w:t>
      </w:r>
    </w:p>
    <w:p>
      <w:pPr>
        <w:numPr>
          <w:ilvl w:val="0"/>
          <w:numId w:val="0"/>
        </w:numPr>
        <w:spacing w:after="93" w:afterLines="30" w:line="500" w:lineRule="exact"/>
        <w:ind w:leftChars="200"/>
        <w:jc w:val="left"/>
        <w:rPr>
          <w:rFonts w:hint="default" w:ascii="Times New Roman" w:hAnsi="Times New Roman" w:cs="Times New Roman"/>
          <w:b/>
          <w:color w:val="auto"/>
          <w:szCs w:val="21"/>
        </w:rPr>
      </w:pPr>
      <w:r>
        <w:rPr>
          <w:rFonts w:hint="default" w:ascii="Times New Roman" w:hAnsi="Times New Roman" w:cs="Times New Roman"/>
          <w:b/>
          <w:color w:val="auto"/>
          <w:szCs w:val="21"/>
          <w:lang w:eastAsia="zh-CN"/>
        </w:rPr>
        <w:t>表</w:t>
      </w:r>
      <w:r>
        <w:rPr>
          <w:rFonts w:hint="default" w:ascii="Times New Roman" w:hAnsi="Times New Roman" w:cs="Times New Roman"/>
          <w:b/>
          <w:color w:val="auto"/>
          <w:szCs w:val="21"/>
          <w:lang w:val="en-US" w:eastAsia="zh-CN"/>
        </w:rPr>
        <w:t>2.5-6</w:t>
      </w:r>
      <w:r>
        <w:rPr>
          <w:rFonts w:hint="default" w:ascii="Times New Roman" w:hAnsi="Times New Roman" w:cs="Times New Roman"/>
          <w:b/>
          <w:color w:val="auto"/>
          <w:szCs w:val="21"/>
        </w:rPr>
        <w:t xml:space="preserve">                          风险评价工作级别</w:t>
      </w:r>
    </w:p>
    <w:tbl>
      <w:tblPr>
        <w:tblStyle w:val="25"/>
        <w:tblW w:w="8948" w:type="dxa"/>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73"/>
        <w:gridCol w:w="1587"/>
        <w:gridCol w:w="2038"/>
        <w:gridCol w:w="2264"/>
        <w:gridCol w:w="1586"/>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7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环境风险潜势</w:t>
            </w:r>
          </w:p>
        </w:tc>
        <w:tc>
          <w:tcPr>
            <w:tcW w:w="1587" w:type="dxa"/>
            <w:tcBorders>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Ⅳ、Ⅳ</w:t>
            </w:r>
            <w:r>
              <w:rPr>
                <w:rFonts w:hint="default" w:ascii="Times New Roman" w:hAnsi="Times New Roman" w:cs="Times New Roman"/>
                <w:b/>
                <w:bCs/>
                <w:color w:val="auto"/>
                <w:sz w:val="21"/>
                <w:szCs w:val="21"/>
                <w:vertAlign w:val="superscript"/>
              </w:rPr>
              <w:t>+</w:t>
            </w:r>
          </w:p>
        </w:tc>
        <w:tc>
          <w:tcPr>
            <w:tcW w:w="2038" w:type="dxa"/>
            <w:tcBorders>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Ⅲ</w:t>
            </w:r>
          </w:p>
        </w:tc>
        <w:tc>
          <w:tcPr>
            <w:tcW w:w="22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Ⅱ</w:t>
            </w:r>
          </w:p>
        </w:tc>
        <w:tc>
          <w:tcPr>
            <w:tcW w:w="1586" w:type="dxa"/>
            <w:tcBorders>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Ⅰ</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73" w:type="dxa"/>
            <w:shd w:val="clear" w:color="auto" w:fill="auto"/>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评价工作等级</w:t>
            </w:r>
          </w:p>
        </w:tc>
        <w:tc>
          <w:tcPr>
            <w:tcW w:w="1587" w:type="dxa"/>
            <w:tcBorders>
              <w:top w:val="single" w:color="auto" w:sz="6" w:space="0"/>
              <w:bottom w:val="single" w:color="auto" w:sz="6" w:space="0"/>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一</w:t>
            </w:r>
          </w:p>
        </w:tc>
        <w:tc>
          <w:tcPr>
            <w:tcW w:w="2038" w:type="dxa"/>
            <w:tcBorders>
              <w:top w:val="single" w:color="auto" w:sz="6" w:space="0"/>
              <w:bottom w:val="single" w:color="auto" w:sz="6" w:space="0"/>
            </w:tcBorders>
            <w:shd w:val="clear" w:color="auto" w:fill="BFBFBF"/>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二</w:t>
            </w:r>
          </w:p>
        </w:tc>
        <w:tc>
          <w:tcPr>
            <w:tcW w:w="22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三</w:t>
            </w:r>
          </w:p>
        </w:tc>
        <w:tc>
          <w:tcPr>
            <w:tcW w:w="1586" w:type="dxa"/>
            <w:tcBorders>
              <w:top w:val="single" w:color="auto" w:sz="6" w:space="0"/>
              <w:bottom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简单分析</w:t>
            </w:r>
            <w:r>
              <w:rPr>
                <w:rFonts w:hint="default" w:ascii="Times New Roman" w:hAnsi="Times New Roman" w:cs="Times New Roman"/>
                <w:color w:val="auto"/>
                <w:kern w:val="0"/>
                <w:sz w:val="21"/>
                <w:szCs w:val="21"/>
                <w:vertAlign w:val="superscript"/>
              </w:rPr>
              <w:t>a</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948"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a是相对于详细评价工作内容而言，在描述危险物质、影响途径、环境危害后果、风险防范措施等方面给出定性的说明。见附录A。</w:t>
            </w: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根据环境风险调查，项目环境风险潜势判定详见5.3章节，项目环境风险潜势为</w:t>
      </w:r>
      <w:r>
        <w:rPr>
          <w:rFonts w:hint="default" w:ascii="Times New Roman" w:hAnsi="Times New Roman" w:cs="Times New Roman"/>
          <w:b/>
          <w:bCs/>
          <w:color w:val="auto"/>
          <w:sz w:val="24"/>
        </w:rPr>
        <w:fldChar w:fldCharType="begin"/>
      </w:r>
      <w:r>
        <w:rPr>
          <w:rFonts w:hint="default" w:ascii="Times New Roman" w:hAnsi="Times New Roman" w:cs="Times New Roman"/>
          <w:b/>
          <w:bCs/>
          <w:color w:val="auto"/>
          <w:sz w:val="24"/>
        </w:rPr>
        <w:instrText xml:space="preserve"> = 2 \* ROMAN \* MERGEFORMAT </w:instrText>
      </w:r>
      <w:r>
        <w:rPr>
          <w:rFonts w:hint="default" w:ascii="Times New Roman" w:hAnsi="Times New Roman" w:cs="Times New Roman"/>
          <w:b/>
          <w:bCs/>
          <w:color w:val="auto"/>
          <w:sz w:val="24"/>
        </w:rPr>
        <w:fldChar w:fldCharType="separate"/>
      </w:r>
      <w:r>
        <w:rPr>
          <w:rFonts w:hint="default" w:ascii="Times New Roman" w:hAnsi="Times New Roman" w:cs="Times New Roman"/>
          <w:color w:val="auto"/>
        </w:rPr>
        <w:t>II</w:t>
      </w:r>
      <w:r>
        <w:rPr>
          <w:rFonts w:hint="default" w:ascii="Times New Roman" w:hAnsi="Times New Roman" w:cs="Times New Roman"/>
          <w:b/>
          <w:bCs/>
          <w:color w:val="auto"/>
          <w:sz w:val="24"/>
        </w:rPr>
        <w:fldChar w:fldCharType="end"/>
      </w:r>
      <w:r>
        <w:rPr>
          <w:rFonts w:hint="default" w:ascii="Times New Roman" w:hAnsi="Times New Roman" w:cs="Times New Roman"/>
          <w:bCs/>
          <w:color w:val="auto"/>
          <w:sz w:val="24"/>
        </w:rPr>
        <w:t>。因此，根据表2.5-</w:t>
      </w:r>
      <w:r>
        <w:rPr>
          <w:rFonts w:hint="default" w:ascii="Times New Roman" w:hAnsi="Times New Roman" w:cs="Times New Roman"/>
          <w:bCs/>
          <w:color w:val="auto"/>
          <w:sz w:val="24"/>
          <w:lang w:val="en-US" w:eastAsia="zh-CN"/>
        </w:rPr>
        <w:t>6</w:t>
      </w:r>
      <w:r>
        <w:rPr>
          <w:rFonts w:hint="default" w:ascii="Times New Roman" w:hAnsi="Times New Roman" w:cs="Times New Roman"/>
          <w:bCs/>
          <w:color w:val="auto"/>
          <w:sz w:val="24"/>
        </w:rPr>
        <w:t>的工作级别判定依据，确定变更项目环境风险综合评价等级为</w:t>
      </w:r>
      <w:r>
        <w:rPr>
          <w:rFonts w:hint="default" w:ascii="Times New Roman" w:hAnsi="Times New Roman" w:cs="Times New Roman"/>
          <w:bCs/>
          <w:color w:val="auto"/>
          <w:sz w:val="24"/>
          <w:lang w:eastAsia="zh-CN"/>
        </w:rPr>
        <w:t>三</w:t>
      </w:r>
      <w:r>
        <w:rPr>
          <w:rFonts w:hint="default" w:ascii="Times New Roman" w:hAnsi="Times New Roman" w:cs="Times New Roman"/>
          <w:bCs/>
          <w:color w:val="auto"/>
          <w:sz w:val="24"/>
        </w:rPr>
        <w:t>级。评价范围为项目周围</w:t>
      </w:r>
      <w:r>
        <w:rPr>
          <w:rFonts w:hint="default" w:ascii="Times New Roman" w:hAnsi="Times New Roman" w:cs="Times New Roman"/>
          <w:bCs/>
          <w:color w:val="auto"/>
          <w:sz w:val="24"/>
          <w:lang w:val="en-US" w:eastAsia="zh-CN"/>
        </w:rPr>
        <w:t>3</w:t>
      </w:r>
      <w:r>
        <w:rPr>
          <w:rFonts w:hint="default" w:ascii="Times New Roman" w:hAnsi="Times New Roman" w:cs="Times New Roman"/>
          <w:bCs/>
          <w:color w:val="auto"/>
          <w:sz w:val="24"/>
        </w:rPr>
        <w:t>km范围内。</w:t>
      </w:r>
    </w:p>
    <w:p>
      <w:pPr>
        <w:pStyle w:val="30"/>
        <w:spacing w:line="360" w:lineRule="auto"/>
        <w:rPr>
          <w:rFonts w:hint="default" w:ascii="Times New Roman" w:hAnsi="Times New Roman" w:eastAsia="黑体" w:cs="Times New Roman"/>
          <w:color w:val="auto"/>
          <w:sz w:val="24"/>
          <w:szCs w:val="24"/>
          <w:lang w:val="en-US" w:eastAsia="zh-CN"/>
        </w:rPr>
      </w:pPr>
      <w:r>
        <w:rPr>
          <w:rFonts w:hint="default" w:ascii="Times New Roman" w:hAnsi="Times New Roman" w:cs="Times New Roman"/>
          <w:color w:val="auto"/>
          <w:sz w:val="24"/>
          <w:szCs w:val="24"/>
          <w:lang w:val="en-US" w:eastAsia="zh-CN"/>
        </w:rPr>
        <w:t>2.5.7土壤</w:t>
      </w:r>
    </w:p>
    <w:p>
      <w:pPr>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根据《环境影响评价技术导则土壤环境（试行）》（</w:t>
      </w:r>
      <w:r>
        <w:rPr>
          <w:rFonts w:hint="default" w:ascii="Times New Roman" w:hAnsi="Times New Roman" w:eastAsia="TimesNewRomanPSMT" w:cs="Times New Roman"/>
          <w:color w:val="auto"/>
          <w:kern w:val="0"/>
          <w:sz w:val="24"/>
          <w:szCs w:val="24"/>
          <w:lang w:val="en-US" w:eastAsia="zh-CN" w:bidi="ar"/>
        </w:rPr>
        <w:t>HJ964-2018</w:t>
      </w:r>
      <w:r>
        <w:rPr>
          <w:rFonts w:hint="default" w:ascii="Times New Roman" w:hAnsi="Times New Roman" w:eastAsia="宋体" w:cs="Times New Roman"/>
          <w:color w:val="auto"/>
          <w:kern w:val="0"/>
          <w:sz w:val="24"/>
          <w:szCs w:val="24"/>
          <w:lang w:val="en-US" w:eastAsia="zh-CN" w:bidi="ar"/>
        </w:rPr>
        <w:t xml:space="preserve">）中有关分级的判别，对照附录 </w:t>
      </w:r>
      <w:r>
        <w:rPr>
          <w:rFonts w:hint="default" w:ascii="Times New Roman" w:hAnsi="Times New Roman" w:eastAsia="TimesNewRomanPSMT" w:cs="Times New Roman"/>
          <w:color w:val="auto"/>
          <w:kern w:val="0"/>
          <w:sz w:val="24"/>
          <w:szCs w:val="24"/>
          <w:lang w:val="en-US" w:eastAsia="zh-CN" w:bidi="ar"/>
        </w:rPr>
        <w:t>A.1</w:t>
      </w:r>
      <w:r>
        <w:rPr>
          <w:rFonts w:hint="default" w:ascii="Times New Roman" w:hAnsi="Times New Roman" w:eastAsia="宋体" w:cs="Times New Roman"/>
          <w:color w:val="auto"/>
          <w:kern w:val="0"/>
          <w:sz w:val="24"/>
          <w:szCs w:val="24"/>
          <w:lang w:val="en-US" w:eastAsia="zh-CN" w:bidi="ar"/>
        </w:rPr>
        <w:t>，本项目为土壤环境影响评价Ⅲ类项目，再根据建设项目占地规模，本项目占地</w:t>
      </w:r>
      <w:r>
        <w:rPr>
          <w:rFonts w:hint="default" w:ascii="Times New Roman" w:hAnsi="Times New Roman" w:eastAsia="宋体" w:cs="Times New Roman"/>
          <w:color w:val="auto"/>
          <w:kern w:val="0"/>
          <w:sz w:val="24"/>
          <w:szCs w:val="24"/>
          <w:highlight w:val="none"/>
          <w:lang w:val="en-US" w:eastAsia="zh-CN" w:bidi="ar"/>
        </w:rPr>
        <w:t>面积为</w:t>
      </w:r>
      <w:r>
        <w:rPr>
          <w:rFonts w:hint="default" w:ascii="Times New Roman" w:hAnsi="Times New Roman" w:eastAsia="TimesNewRomanPSMT" w:cs="Times New Roman"/>
          <w:color w:val="auto"/>
          <w:kern w:val="0"/>
          <w:sz w:val="24"/>
          <w:szCs w:val="24"/>
          <w:highlight w:val="none"/>
          <w:lang w:val="en-US" w:eastAsia="zh-CN" w:bidi="ar"/>
        </w:rPr>
        <w:t>167亩</w:t>
      </w:r>
      <w:r>
        <w:rPr>
          <w:rFonts w:hint="default" w:ascii="Times New Roman" w:hAnsi="Times New Roman" w:eastAsia="宋体" w:cs="Times New Roman"/>
          <w:color w:val="auto"/>
          <w:kern w:val="0"/>
          <w:sz w:val="24"/>
          <w:szCs w:val="24"/>
          <w:highlight w:val="none"/>
          <w:lang w:val="en-US" w:eastAsia="zh-CN" w:bidi="ar"/>
        </w:rPr>
        <w:t>，属于中型</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TimesNewRomanPSMT" w:cs="Times New Roman"/>
          <w:color w:val="auto"/>
          <w:kern w:val="0"/>
          <w:sz w:val="24"/>
          <w:szCs w:val="24"/>
          <w:lang w:val="en-US" w:eastAsia="zh-CN" w:bidi="ar"/>
        </w:rPr>
        <w:t>5~50hm</w:t>
      </w:r>
      <w:r>
        <w:rPr>
          <w:rFonts w:hint="default" w:ascii="Times New Roman" w:hAnsi="Times New Roman" w:eastAsia="TimesNewRomanPSMT"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），最后根据敏感程度划分情况，见表</w:t>
      </w:r>
      <w:r>
        <w:rPr>
          <w:rFonts w:hint="default" w:ascii="Times New Roman" w:hAnsi="Times New Roman" w:eastAsia="TimesNewRomanPSMT" w:cs="Times New Roman"/>
          <w:color w:val="auto"/>
          <w:kern w:val="0"/>
          <w:sz w:val="24"/>
          <w:szCs w:val="24"/>
          <w:lang w:val="en-US" w:eastAsia="zh-CN" w:bidi="ar"/>
        </w:rPr>
        <w:t>2.5-7</w:t>
      </w:r>
      <w:r>
        <w:rPr>
          <w:rFonts w:hint="default" w:ascii="Times New Roman" w:hAnsi="Times New Roman" w:eastAsia="宋体" w:cs="Times New Roman"/>
          <w:color w:val="auto"/>
          <w:kern w:val="0"/>
          <w:sz w:val="24"/>
          <w:szCs w:val="24"/>
          <w:lang w:val="en-US" w:eastAsia="zh-CN" w:bidi="ar"/>
        </w:rPr>
        <w:t>。</w:t>
      </w:r>
    </w:p>
    <w:p>
      <w:pPr>
        <w:jc w:val="center"/>
        <w:rPr>
          <w:rFonts w:hint="default" w:ascii="Times New Roman" w:hAnsi="Times New Roman" w:eastAsia="黑体" w:cs="Times New Roman"/>
          <w:color w:val="auto"/>
          <w:kern w:val="2"/>
          <w:sz w:val="24"/>
          <w:szCs w:val="21"/>
          <w:lang w:val="en-US" w:eastAsia="zh-CN" w:bidi="ar-SA"/>
        </w:rPr>
      </w:pPr>
      <w:r>
        <w:rPr>
          <w:rFonts w:hint="default" w:ascii="Times New Roman" w:hAnsi="Times New Roman" w:eastAsia="黑体" w:cs="Times New Roman"/>
          <w:color w:val="auto"/>
          <w:kern w:val="2"/>
          <w:sz w:val="24"/>
          <w:szCs w:val="21"/>
          <w:lang w:val="en-US" w:eastAsia="zh-CN" w:bidi="ar-SA"/>
        </w:rPr>
        <w:t>表2.5-7  污染影响型敏感程度分级表</w:t>
      </w:r>
    </w:p>
    <w:tbl>
      <w:tblPr>
        <w:tblStyle w:val="26"/>
        <w:tblW w:w="894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27"/>
        <w:gridCol w:w="731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27"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敏感程度</w:t>
            </w:r>
          </w:p>
        </w:tc>
        <w:tc>
          <w:tcPr>
            <w:tcW w:w="7319"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判别依据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2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敏感</w:t>
            </w:r>
          </w:p>
        </w:tc>
        <w:tc>
          <w:tcPr>
            <w:tcW w:w="7319"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sz w:val="21"/>
                <w:szCs w:val="21"/>
                <w:u w:val="none"/>
                <w:vertAlign w:val="baseline"/>
                <w:lang w:val="en-US" w:eastAsia="zh-CN"/>
              </w:rPr>
              <w:t xml:space="preserve">建设项目周边存在耕地、园地、牧草地、饮用水水源地或居民区、学校、医院、疗养院、养老院等土壤环境敏感目标的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27"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较敏感</w:t>
            </w:r>
          </w:p>
        </w:tc>
        <w:tc>
          <w:tcPr>
            <w:tcW w:w="731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kern w:val="0"/>
                <w:sz w:val="21"/>
                <w:szCs w:val="21"/>
                <w:u w:val="none"/>
                <w:lang w:val="en-US" w:eastAsia="zh-CN" w:bidi="ar"/>
              </w:rPr>
              <w:t>建设项目周边存在其他土壤环境敏感目标的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27"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不敏感</w:t>
            </w:r>
          </w:p>
        </w:tc>
        <w:tc>
          <w:tcPr>
            <w:tcW w:w="731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eastAsia="宋体" w:cs="Times New Roman"/>
                <w:b w:val="0"/>
                <w:bCs w:val="0"/>
                <w:color w:val="auto"/>
                <w:kern w:val="0"/>
                <w:sz w:val="21"/>
                <w:szCs w:val="21"/>
                <w:u w:val="none"/>
                <w:lang w:val="en-US" w:eastAsia="zh-CN" w:bidi="ar"/>
              </w:rPr>
              <w:t>其他情况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27"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本项目</w:t>
            </w:r>
          </w:p>
        </w:tc>
        <w:tc>
          <w:tcPr>
            <w:tcW w:w="7319"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vertAlign w:val="baseline"/>
                <w:lang w:val="en-US" w:eastAsia="zh-CN"/>
              </w:rPr>
            </w:pPr>
            <w:r>
              <w:rPr>
                <w:rFonts w:hint="default" w:ascii="Times New Roman" w:hAnsi="Times New Roman" w:cs="Times New Roman"/>
                <w:b w:val="0"/>
                <w:bCs w:val="0"/>
                <w:color w:val="auto"/>
                <w:sz w:val="21"/>
                <w:szCs w:val="21"/>
                <w:u w:val="none"/>
                <w:vertAlign w:val="baseline"/>
                <w:lang w:val="en-US" w:eastAsia="zh-CN"/>
              </w:rPr>
              <w:t>敏感</w:t>
            </w:r>
          </w:p>
        </w:tc>
      </w:tr>
    </w:tbl>
    <w:p>
      <w:pPr>
        <w:jc w:val="center"/>
        <w:rPr>
          <w:rFonts w:hint="default" w:ascii="Times New Roman" w:hAnsi="Times New Roman" w:eastAsia="黑体" w:cs="Times New Roman"/>
          <w:color w:val="auto"/>
          <w:kern w:val="2"/>
          <w:sz w:val="24"/>
          <w:szCs w:val="21"/>
          <w:lang w:val="en-US" w:eastAsia="zh-CN" w:bidi="ar-SA"/>
        </w:rPr>
      </w:pPr>
      <w:r>
        <w:rPr>
          <w:rFonts w:hint="default" w:ascii="Times New Roman" w:hAnsi="Times New Roman" w:eastAsia="黑体" w:cs="Times New Roman"/>
          <w:color w:val="auto"/>
          <w:kern w:val="2"/>
          <w:sz w:val="24"/>
          <w:szCs w:val="21"/>
          <w:lang w:val="en-US" w:eastAsia="zh-CN" w:bidi="ar-SA"/>
        </w:rPr>
        <w:t>表2.5-8   评价工作等级分级表</w:t>
      </w:r>
    </w:p>
    <w:tbl>
      <w:tblPr>
        <w:tblStyle w:val="26"/>
        <w:tblW w:w="894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79"/>
        <w:gridCol w:w="750"/>
        <w:gridCol w:w="742"/>
        <w:gridCol w:w="672"/>
        <w:gridCol w:w="686"/>
        <w:gridCol w:w="658"/>
        <w:gridCol w:w="714"/>
        <w:gridCol w:w="652"/>
        <w:gridCol w:w="652"/>
        <w:gridCol w:w="6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277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rPr>
              <mc:AlternateContent>
                <mc:Choice Requires="wps">
                  <w:drawing>
                    <wp:anchor distT="0" distB="0" distL="114300" distR="114300" simplePos="0" relativeHeight="251868160" behindDoc="0" locked="0" layoutInCell="1" allowOverlap="1">
                      <wp:simplePos x="0" y="0"/>
                      <wp:positionH relativeFrom="column">
                        <wp:posOffset>767715</wp:posOffset>
                      </wp:positionH>
                      <wp:positionV relativeFrom="paragraph">
                        <wp:posOffset>1270</wp:posOffset>
                      </wp:positionV>
                      <wp:extent cx="929640" cy="772795"/>
                      <wp:effectExtent l="3175" t="3810" r="19685" b="4445"/>
                      <wp:wrapNone/>
                      <wp:docPr id="3" name="直接连接符 4"/>
                      <wp:cNvGraphicFramePr/>
                      <a:graphic xmlns:a="http://schemas.openxmlformats.org/drawingml/2006/main">
                        <a:graphicData uri="http://schemas.microsoft.com/office/word/2010/wordprocessingShape">
                          <wps:wsp>
                            <wps:cNvCnPr/>
                            <wps:spPr>
                              <a:xfrm>
                                <a:off x="0" y="0"/>
                                <a:ext cx="929640" cy="77279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直接连接符 4" o:spid="_x0000_s1026" o:spt="32" type="#_x0000_t32" style="position:absolute;left:0pt;margin-left:60.45pt;margin-top:0.1pt;height:60.85pt;width:73.2pt;z-index:251868160;mso-width-relative:page;mso-height-relative:page;" filled="f" stroked="t" coordsize="21600,21600" o:gfxdata="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HHPIzWAAAACAEA&#10;AA8AAAAAAAAAAQAgAAAAIgAAAGRycy9kb3ducmV2LnhtbFBLAQIUABQAAAAIAIdO4kDM22x84wEA&#10;AKYDAAAOAAAAAAAAAAEAIAAAACUBAABkcnMvZTJvRG9jLnhtbFBLBQYAAAAABgAGAFkBAAB6BQAA&#10;AAA=&#10;">
                      <v:fill on="f" focussize="0,0"/>
                      <v:stroke color="#000000" joinstyle="round"/>
                      <v:imagedata o:title=""/>
                      <o:lock v:ext="edit" aspectratio="f"/>
                    </v:shape>
                  </w:pict>
                </mc:Fallback>
              </mc:AlternateContent>
            </w:r>
            <w:r>
              <w:rPr>
                <w:rFonts w:hint="default" w:ascii="Times New Roman" w:hAnsi="Times New Roman" w:cs="Times New Roman"/>
                <w:color w:val="auto"/>
                <w:sz w:val="21"/>
                <w:szCs w:val="21"/>
                <w:vertAlign w:val="baseline"/>
                <w:lang w:val="en-US" w:eastAsia="zh-CN"/>
              </w:rPr>
              <w:t xml:space="preserve">              占地规模</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rPr>
              <mc:AlternateContent>
                <mc:Choice Requires="wps">
                  <w:drawing>
                    <wp:anchor distT="0" distB="0" distL="114300" distR="114300" simplePos="0" relativeHeight="251869184" behindDoc="0" locked="0" layoutInCell="1" allowOverlap="1">
                      <wp:simplePos x="0" y="0"/>
                      <wp:positionH relativeFrom="column">
                        <wp:posOffset>-43815</wp:posOffset>
                      </wp:positionH>
                      <wp:positionV relativeFrom="paragraph">
                        <wp:posOffset>128270</wp:posOffset>
                      </wp:positionV>
                      <wp:extent cx="1733550" cy="402590"/>
                      <wp:effectExtent l="1270" t="4445" r="17780" b="12065"/>
                      <wp:wrapNone/>
                      <wp:docPr id="8" name="直接连接符 5"/>
                      <wp:cNvGraphicFramePr/>
                      <a:graphic xmlns:a="http://schemas.openxmlformats.org/drawingml/2006/main">
                        <a:graphicData uri="http://schemas.microsoft.com/office/word/2010/wordprocessingShape">
                          <wps:wsp>
                            <wps:cNvCnPr/>
                            <wps:spPr>
                              <a:xfrm>
                                <a:off x="0" y="0"/>
                                <a:ext cx="1733550" cy="40259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直接连接符 5" o:spid="_x0000_s1026" o:spt="32" type="#_x0000_t32" style="position:absolute;left:0pt;margin-left:-3.45pt;margin-top:10.1pt;height:31.7pt;width:136.5pt;z-index:251869184;mso-width-relative:page;mso-height-relative:page;" filled="f" stroked="t" coordsize="21600,21600" o:gfxdata="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IfUD/XAAAA&#10;CAEAAA8AAAAAAAAAAQAgAAAAIgAAAGRycy9kb3ducmV2LnhtbFBLAQIUABQAAAAIAIdO4kBaYA/q&#10;5QEAAKcDAAAOAAAAAAAAAAEAIAAAACYBAABkcnMvZTJvRG9jLnhtbFBLBQYAAAAABgAGAFkBAAB9&#10;BQAAAAA=&#10;">
                      <v:fill on="f" focussize="0,0"/>
                      <v:stroke color="#000000" joinstyle="round"/>
                      <v:imagedata o:title=""/>
                      <o:lock v:ext="edit" aspectratio="f"/>
                    </v:shape>
                  </w:pict>
                </mc:Fallback>
              </mc:AlternateContent>
            </w:r>
            <w:r>
              <w:rPr>
                <w:rFonts w:hint="default" w:ascii="Times New Roman" w:hAnsi="Times New Roman" w:cs="Times New Roman"/>
                <w:color w:val="auto"/>
                <w:sz w:val="21"/>
                <w:szCs w:val="21"/>
                <w:vertAlign w:val="baseline"/>
                <w:lang w:val="en-US" w:eastAsia="zh-CN"/>
              </w:rPr>
              <w:t>评价工作等级</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敏感程度</w:t>
            </w:r>
          </w:p>
        </w:tc>
        <w:tc>
          <w:tcPr>
            <w:tcW w:w="2164"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fldChar w:fldCharType="begin"/>
            </w:r>
            <w:r>
              <w:rPr>
                <w:rFonts w:hint="default" w:ascii="Times New Roman" w:hAnsi="Times New Roman" w:eastAsia="宋体" w:cs="Times New Roman"/>
                <w:color w:val="auto"/>
                <w:sz w:val="21"/>
                <w:szCs w:val="21"/>
                <w:vertAlign w:val="baseline"/>
                <w:lang w:val="en-US" w:eastAsia="zh-CN"/>
              </w:rPr>
              <w:instrText xml:space="preserve"> = 1 \* ROMAN \* MERGEFORMAT </w:instrText>
            </w:r>
            <w:r>
              <w:rPr>
                <w:rFonts w:hint="default" w:ascii="Times New Roman" w:hAnsi="Times New Roman" w:eastAsia="宋体" w:cs="Times New Roman"/>
                <w:color w:val="auto"/>
                <w:sz w:val="21"/>
                <w:szCs w:val="21"/>
                <w:vertAlign w:val="baseline"/>
                <w:lang w:val="en-US" w:eastAsia="zh-CN"/>
              </w:rPr>
              <w:fldChar w:fldCharType="separate"/>
            </w:r>
            <w:r>
              <w:rPr>
                <w:rFonts w:hint="default" w:ascii="Times New Roman" w:hAnsi="Times New Roman" w:cs="Times New Roman"/>
                <w:color w:val="auto"/>
                <w:sz w:val="21"/>
                <w:szCs w:val="21"/>
              </w:rPr>
              <w:t>I</w:t>
            </w:r>
            <w:r>
              <w:rPr>
                <w:rFonts w:hint="default" w:ascii="Times New Roman" w:hAnsi="Times New Roman" w:eastAsia="宋体" w:cs="Times New Roman"/>
                <w:color w:val="auto"/>
                <w:sz w:val="21"/>
                <w:szCs w:val="21"/>
                <w:vertAlign w:val="baseline"/>
                <w:lang w:val="en-US" w:eastAsia="zh-CN"/>
              </w:rPr>
              <w:fldChar w:fldCharType="end"/>
            </w:r>
          </w:p>
        </w:tc>
        <w:tc>
          <w:tcPr>
            <w:tcW w:w="205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fldChar w:fldCharType="begin"/>
            </w:r>
            <w:r>
              <w:rPr>
                <w:rFonts w:hint="default" w:ascii="Times New Roman" w:hAnsi="Times New Roman" w:eastAsia="宋体" w:cs="Times New Roman"/>
                <w:color w:val="auto"/>
                <w:sz w:val="21"/>
                <w:szCs w:val="21"/>
                <w:vertAlign w:val="baseline"/>
                <w:lang w:val="en-US" w:eastAsia="zh-CN"/>
              </w:rPr>
              <w:instrText xml:space="preserve"> = 2 \* ROMAN \* MERGEFORMAT </w:instrText>
            </w:r>
            <w:r>
              <w:rPr>
                <w:rFonts w:hint="default" w:ascii="Times New Roman" w:hAnsi="Times New Roman" w:eastAsia="宋体" w:cs="Times New Roman"/>
                <w:color w:val="auto"/>
                <w:sz w:val="21"/>
                <w:szCs w:val="21"/>
                <w:vertAlign w:val="baseline"/>
                <w:lang w:val="en-US" w:eastAsia="zh-CN"/>
              </w:rPr>
              <w:fldChar w:fldCharType="separate"/>
            </w:r>
            <w:r>
              <w:rPr>
                <w:rFonts w:hint="default" w:ascii="Times New Roman" w:hAnsi="Times New Roman" w:cs="Times New Roman"/>
                <w:color w:val="auto"/>
                <w:sz w:val="21"/>
                <w:szCs w:val="21"/>
              </w:rPr>
              <w:t>II</w:t>
            </w:r>
            <w:r>
              <w:rPr>
                <w:rFonts w:hint="default" w:ascii="Times New Roman" w:hAnsi="Times New Roman" w:eastAsia="宋体" w:cs="Times New Roman"/>
                <w:color w:val="auto"/>
                <w:sz w:val="21"/>
                <w:szCs w:val="21"/>
                <w:vertAlign w:val="baseline"/>
                <w:lang w:val="en-US" w:eastAsia="zh-CN"/>
              </w:rPr>
              <w:fldChar w:fldCharType="end"/>
            </w:r>
          </w:p>
        </w:tc>
        <w:tc>
          <w:tcPr>
            <w:tcW w:w="194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fldChar w:fldCharType="begin"/>
            </w:r>
            <w:r>
              <w:rPr>
                <w:rFonts w:hint="default" w:ascii="Times New Roman" w:hAnsi="Times New Roman" w:eastAsia="宋体" w:cs="Times New Roman"/>
                <w:color w:val="auto"/>
                <w:sz w:val="21"/>
                <w:szCs w:val="21"/>
                <w:vertAlign w:val="baseline"/>
                <w:lang w:val="en-US" w:eastAsia="zh-CN"/>
              </w:rPr>
              <w:instrText xml:space="preserve"> = 3 \* ROMAN \* MERGEFORMAT </w:instrText>
            </w:r>
            <w:r>
              <w:rPr>
                <w:rFonts w:hint="default" w:ascii="Times New Roman" w:hAnsi="Times New Roman" w:eastAsia="宋体" w:cs="Times New Roman"/>
                <w:color w:val="auto"/>
                <w:sz w:val="21"/>
                <w:szCs w:val="21"/>
                <w:vertAlign w:val="baseline"/>
                <w:lang w:val="en-US" w:eastAsia="zh-CN"/>
              </w:rPr>
              <w:fldChar w:fldCharType="separate"/>
            </w:r>
            <w:r>
              <w:rPr>
                <w:rFonts w:hint="default" w:ascii="Times New Roman" w:hAnsi="Times New Roman" w:cs="Times New Roman"/>
                <w:color w:val="auto"/>
                <w:sz w:val="21"/>
                <w:szCs w:val="21"/>
              </w:rPr>
              <w:t>III</w:t>
            </w:r>
            <w:r>
              <w:rPr>
                <w:rFonts w:hint="default" w:ascii="Times New Roman" w:hAnsi="Times New Roman" w:eastAsia="宋体" w:cs="Times New Roman"/>
                <w:color w:val="auto"/>
                <w:sz w:val="21"/>
                <w:szCs w:val="21"/>
                <w:vertAlign w:val="baseline"/>
                <w:lang w:val="en-US" w:eastAsia="zh-CN"/>
              </w:rPr>
              <w:fldChar w:fldCharType="end"/>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7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大</w:t>
            </w:r>
          </w:p>
        </w:tc>
        <w:tc>
          <w:tcPr>
            <w:tcW w:w="7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中</w:t>
            </w:r>
          </w:p>
        </w:tc>
        <w:tc>
          <w:tcPr>
            <w:tcW w:w="6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小</w:t>
            </w:r>
          </w:p>
        </w:tc>
        <w:tc>
          <w:tcPr>
            <w:tcW w:w="6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大</w:t>
            </w:r>
          </w:p>
        </w:tc>
        <w:tc>
          <w:tcPr>
            <w:tcW w:w="6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中</w:t>
            </w:r>
          </w:p>
        </w:tc>
        <w:tc>
          <w:tcPr>
            <w:tcW w:w="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小</w:t>
            </w:r>
          </w:p>
        </w:tc>
        <w:tc>
          <w:tcPr>
            <w:tcW w:w="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大</w:t>
            </w:r>
          </w:p>
        </w:tc>
        <w:tc>
          <w:tcPr>
            <w:tcW w:w="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中</w:t>
            </w:r>
          </w:p>
        </w:tc>
        <w:tc>
          <w:tcPr>
            <w:tcW w:w="6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7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敏感</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一级</w:t>
            </w:r>
          </w:p>
        </w:tc>
        <w:tc>
          <w:tcPr>
            <w:tcW w:w="7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一级</w:t>
            </w:r>
          </w:p>
        </w:tc>
        <w:tc>
          <w:tcPr>
            <w:tcW w:w="6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一级</w:t>
            </w:r>
          </w:p>
        </w:tc>
        <w:tc>
          <w:tcPr>
            <w:tcW w:w="6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6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6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较敏感</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一级</w:t>
            </w:r>
          </w:p>
        </w:tc>
        <w:tc>
          <w:tcPr>
            <w:tcW w:w="7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一级</w:t>
            </w:r>
          </w:p>
        </w:tc>
        <w:tc>
          <w:tcPr>
            <w:tcW w:w="6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6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6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6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7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不敏感</w:t>
            </w: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一级</w:t>
            </w:r>
          </w:p>
        </w:tc>
        <w:tc>
          <w:tcPr>
            <w:tcW w:w="7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6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68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二级</w:t>
            </w:r>
          </w:p>
        </w:tc>
        <w:tc>
          <w:tcPr>
            <w:tcW w:w="6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7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三级</w:t>
            </w:r>
          </w:p>
        </w:tc>
        <w:tc>
          <w:tcPr>
            <w:tcW w:w="6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c>
          <w:tcPr>
            <w:tcW w:w="6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8946"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注：“-”表示可不开展土壤环境影响评价工作</w:t>
            </w:r>
          </w:p>
        </w:tc>
      </w:tr>
    </w:tbl>
    <w:p>
      <w:pPr>
        <w:keepNext w:val="0"/>
        <w:keepLines w:val="0"/>
        <w:widowControl/>
        <w:ind w:firstLine="480" w:firstLineChars="200"/>
        <w:rPr>
          <w:rFonts w:hint="default" w:ascii="Times New Roman" w:hAnsi="Times New Roman" w:cs="Times New Roman"/>
          <w:color w:val="auto"/>
        </w:rPr>
      </w:pPr>
      <w:r>
        <w:rPr>
          <w:rFonts w:hint="default" w:ascii="Times New Roman" w:hAnsi="Times New Roman" w:eastAsia="宋体" w:cs="Times New Roman"/>
          <w:color w:val="auto"/>
          <w:kern w:val="0"/>
          <w:sz w:val="24"/>
          <w:szCs w:val="24"/>
          <w:highlight w:val="none"/>
          <w:lang w:val="en-US" w:eastAsia="zh-CN" w:bidi="ar"/>
        </w:rPr>
        <w:t>本项目地规模为</w:t>
      </w:r>
      <w:r>
        <w:rPr>
          <w:rFonts w:hint="default" w:ascii="Times New Roman" w:hAnsi="Times New Roman" w:eastAsia="TimesNewRomanPSMT" w:cs="Times New Roman"/>
          <w:color w:val="auto"/>
          <w:kern w:val="0"/>
          <w:sz w:val="24"/>
          <w:szCs w:val="24"/>
          <w:highlight w:val="none"/>
          <w:lang w:val="en-US" w:eastAsia="zh-CN" w:bidi="ar"/>
        </w:rPr>
        <w:t>“中</w:t>
      </w:r>
      <w:r>
        <w:rPr>
          <w:rFonts w:hint="default" w:ascii="Times New Roman" w:hAnsi="Times New Roman" w:eastAsia="宋体" w:cs="Times New Roman"/>
          <w:color w:val="auto"/>
          <w:kern w:val="0"/>
          <w:sz w:val="24"/>
          <w:szCs w:val="24"/>
          <w:highlight w:val="none"/>
          <w:lang w:val="en-US" w:eastAsia="zh-CN" w:bidi="ar"/>
        </w:rPr>
        <w:t>型</w:t>
      </w:r>
      <w:r>
        <w:rPr>
          <w:rFonts w:hint="default" w:ascii="Times New Roman" w:hAnsi="Times New Roman" w:eastAsia="TimesNewRomanPSMT"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，环境敏感程度为</w:t>
      </w:r>
      <w:r>
        <w:rPr>
          <w:rFonts w:hint="default" w:ascii="Times New Roman" w:hAnsi="Times New Roman" w:eastAsia="TimesNewRomanPSMT"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敏感</w:t>
      </w:r>
      <w:r>
        <w:rPr>
          <w:rFonts w:hint="default" w:ascii="Times New Roman" w:hAnsi="Times New Roman" w:eastAsia="TimesNewRomanPSMT"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，因此，本项目土壤环境评价等级为</w:t>
      </w:r>
      <w:r>
        <w:rPr>
          <w:rFonts w:hint="default" w:ascii="Times New Roman" w:hAnsi="Times New Roman" w:eastAsia="TimesNewRomanPSMT" w:cs="Times New Roman"/>
          <w:color w:val="auto"/>
          <w:kern w:val="0"/>
          <w:sz w:val="24"/>
          <w:szCs w:val="24"/>
          <w:highlight w:val="none"/>
          <w:lang w:val="en-US" w:eastAsia="zh-CN" w:bidi="ar"/>
        </w:rPr>
        <w:t>三级</w:t>
      </w:r>
      <w:r>
        <w:rPr>
          <w:rFonts w:hint="default" w:ascii="Times New Roman" w:hAnsi="Times New Roman" w:eastAsia="宋体" w:cs="Times New Roman"/>
          <w:color w:val="auto"/>
          <w:kern w:val="0"/>
          <w:sz w:val="24"/>
          <w:szCs w:val="24"/>
          <w:highlight w:val="none"/>
          <w:lang w:val="en-US" w:eastAsia="zh-CN" w:bidi="ar"/>
        </w:rPr>
        <w:t>。</w:t>
      </w:r>
    </w:p>
    <w:p>
      <w:pPr>
        <w:pStyle w:val="30"/>
        <w:spacing w:line="360" w:lineRule="auto"/>
        <w:rPr>
          <w:rFonts w:hint="default" w:ascii="Times New Roman" w:hAnsi="Times New Roman" w:cs="Times New Roman"/>
          <w:color w:val="auto"/>
        </w:rPr>
      </w:pPr>
      <w:r>
        <w:rPr>
          <w:rFonts w:hint="default" w:ascii="Times New Roman" w:hAnsi="Times New Roman" w:cs="Times New Roman"/>
          <w:color w:val="auto"/>
        </w:rPr>
        <w:t>2.6 环境保护目标</w:t>
      </w:r>
      <w:bookmarkEnd w:id="168"/>
      <w:bookmarkEnd w:id="169"/>
    </w:p>
    <w:p>
      <w:pPr>
        <w:ind w:firstLine="480"/>
        <w:rPr>
          <w:rFonts w:hint="default" w:ascii="Times New Roman" w:hAnsi="Times New Roman" w:eastAsia="黑体" w:cs="Times New Roman"/>
          <w:color w:val="auto"/>
          <w:szCs w:val="21"/>
        </w:rPr>
      </w:pPr>
      <w:r>
        <w:rPr>
          <w:rFonts w:hint="default" w:ascii="Times New Roman" w:hAnsi="Times New Roman" w:cs="Times New Roman"/>
          <w:color w:val="auto"/>
        </w:rPr>
        <w:t>根据工程特征、建设项目周边环境状况和地方环境保护要求确定环境保护目标，结果见表2.6-1。</w:t>
      </w:r>
    </w:p>
    <w:p>
      <w:pPr>
        <w:numPr>
          <w:ilvl w:val="0"/>
          <w:numId w:val="6"/>
        </w:numPr>
        <w:spacing w:afterLines="30"/>
        <w:ind w:left="1271"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 xml:space="preserve">                    拟建工程环境保护目标</w:t>
      </w:r>
    </w:p>
    <w:tbl>
      <w:tblPr>
        <w:tblStyle w:val="25"/>
        <w:tblW w:w="910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34"/>
        <w:gridCol w:w="1521"/>
        <w:gridCol w:w="1341"/>
        <w:gridCol w:w="1269"/>
        <w:gridCol w:w="723"/>
        <w:gridCol w:w="1041"/>
        <w:gridCol w:w="1192"/>
        <w:gridCol w:w="108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6" w:hRule="atLeast"/>
          <w:tblHeader/>
          <w:jc w:val="center"/>
        </w:trPr>
        <w:tc>
          <w:tcPr>
            <w:tcW w:w="934" w:type="dxa"/>
            <w:vMerge w:val="restart"/>
            <w:tcBorders>
              <w:tl2br w:val="nil"/>
              <w:tr2bl w:val="nil"/>
            </w:tcBorders>
            <w:vAlign w:val="center"/>
          </w:tcPr>
          <w:p>
            <w:pPr>
              <w:pStyle w:val="33"/>
              <w:spacing w:line="240" w:lineRule="auto"/>
              <w:ind w:firstLine="0" w:firstLineChars="0"/>
              <w:rPr>
                <w:rFonts w:hint="default" w:ascii="Times New Roman" w:hAnsi="Times New Roman" w:cs="Times New Roman"/>
                <w:b/>
                <w:color w:val="auto"/>
                <w:sz w:val="21"/>
                <w:szCs w:val="21"/>
              </w:rPr>
            </w:pPr>
            <w:bookmarkStart w:id="173" w:name="_Toc479539765"/>
            <w:bookmarkStart w:id="174" w:name="_Toc483650755"/>
            <w:r>
              <w:rPr>
                <w:rFonts w:hint="default" w:ascii="Times New Roman" w:hAnsi="Times New Roman" w:cs="Times New Roman"/>
                <w:b/>
                <w:color w:val="auto"/>
                <w:sz w:val="21"/>
                <w:szCs w:val="21"/>
              </w:rPr>
              <w:t>项目</w:t>
            </w:r>
          </w:p>
        </w:tc>
        <w:tc>
          <w:tcPr>
            <w:tcW w:w="1521" w:type="dxa"/>
            <w:vMerge w:val="restart"/>
            <w:tcBorders>
              <w:tl2br w:val="nil"/>
              <w:tr2bl w:val="nil"/>
            </w:tcBorders>
            <w:vAlign w:val="center"/>
          </w:tcPr>
          <w:p>
            <w:pPr>
              <w:pStyle w:val="33"/>
              <w:spacing w:line="240" w:lineRule="auto"/>
              <w:ind w:firstLine="0" w:firstLineChars="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保护目标</w:t>
            </w:r>
          </w:p>
        </w:tc>
        <w:tc>
          <w:tcPr>
            <w:tcW w:w="2610" w:type="dxa"/>
            <w:gridSpan w:val="2"/>
            <w:tcBorders>
              <w:tl2br w:val="nil"/>
              <w:tr2bl w:val="nil"/>
            </w:tcBorders>
            <w:vAlign w:val="center"/>
          </w:tcPr>
          <w:p>
            <w:pPr>
              <w:pStyle w:val="33"/>
              <w:spacing w:line="240" w:lineRule="auto"/>
              <w:ind w:firstLine="0" w:firstLineChars="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位置</w:t>
            </w:r>
          </w:p>
        </w:tc>
        <w:tc>
          <w:tcPr>
            <w:tcW w:w="723" w:type="dxa"/>
            <w:vMerge w:val="restart"/>
            <w:tcBorders>
              <w:tl2br w:val="nil"/>
              <w:tr2bl w:val="nil"/>
            </w:tcBorders>
            <w:vAlign w:val="center"/>
          </w:tcPr>
          <w:p>
            <w:pPr>
              <w:pStyle w:val="33"/>
              <w:spacing w:line="240" w:lineRule="auto"/>
              <w:ind w:firstLine="0" w:firstLineChars="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方位</w:t>
            </w:r>
          </w:p>
        </w:tc>
        <w:tc>
          <w:tcPr>
            <w:tcW w:w="1041" w:type="dxa"/>
            <w:vMerge w:val="restart"/>
            <w:tcBorders>
              <w:tl2br w:val="nil"/>
              <w:tr2bl w:val="nil"/>
            </w:tcBorders>
            <w:vAlign w:val="center"/>
          </w:tcPr>
          <w:p>
            <w:pPr>
              <w:pStyle w:val="33"/>
              <w:spacing w:line="240" w:lineRule="auto"/>
              <w:ind w:firstLine="0" w:firstLineChars="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距厂界距离（m）</w:t>
            </w:r>
          </w:p>
        </w:tc>
        <w:tc>
          <w:tcPr>
            <w:tcW w:w="1192" w:type="dxa"/>
            <w:vMerge w:val="restart"/>
            <w:tcBorders>
              <w:tl2br w:val="nil"/>
              <w:tr2bl w:val="nil"/>
            </w:tcBorders>
            <w:vAlign w:val="center"/>
          </w:tcPr>
          <w:p>
            <w:pPr>
              <w:pStyle w:val="33"/>
              <w:spacing w:line="240" w:lineRule="auto"/>
              <w:ind w:firstLine="0" w:firstLineChars="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环境功能</w:t>
            </w:r>
          </w:p>
        </w:tc>
        <w:tc>
          <w:tcPr>
            <w:tcW w:w="1081" w:type="dxa"/>
            <w:vMerge w:val="restart"/>
            <w:tcBorders>
              <w:tl2br w:val="nil"/>
              <w:tr2bl w:val="nil"/>
            </w:tcBorders>
            <w:vAlign w:val="center"/>
          </w:tcPr>
          <w:p>
            <w:pPr>
              <w:pStyle w:val="33"/>
              <w:spacing w:line="240" w:lineRule="auto"/>
              <w:ind w:firstLine="0" w:firstLineChars="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保护要求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5" w:hRule="atLeast"/>
          <w:tblHeader/>
          <w:jc w:val="center"/>
        </w:trPr>
        <w:tc>
          <w:tcPr>
            <w:tcW w:w="934" w:type="dxa"/>
            <w:vMerge w:val="continue"/>
            <w:tcBorders>
              <w:tl2br w:val="nil"/>
              <w:tr2bl w:val="nil"/>
            </w:tcBorders>
            <w:vAlign w:val="center"/>
          </w:tcPr>
          <w:p>
            <w:pPr>
              <w:pStyle w:val="33"/>
              <w:spacing w:line="240" w:lineRule="auto"/>
              <w:ind w:firstLine="0" w:firstLineChars="0"/>
              <w:rPr>
                <w:rFonts w:hint="default" w:ascii="Times New Roman" w:hAnsi="Times New Roman" w:cs="Times New Roman"/>
                <w:b/>
                <w:color w:val="auto"/>
                <w:sz w:val="21"/>
                <w:szCs w:val="21"/>
              </w:rPr>
            </w:pPr>
          </w:p>
        </w:tc>
        <w:tc>
          <w:tcPr>
            <w:tcW w:w="1521" w:type="dxa"/>
            <w:vMerge w:val="continue"/>
            <w:tcBorders>
              <w:tl2br w:val="nil"/>
              <w:tr2bl w:val="nil"/>
            </w:tcBorders>
            <w:vAlign w:val="center"/>
          </w:tcPr>
          <w:p>
            <w:pPr>
              <w:pStyle w:val="33"/>
              <w:spacing w:line="240" w:lineRule="auto"/>
              <w:ind w:firstLine="0" w:firstLineChars="0"/>
              <w:rPr>
                <w:rFonts w:hint="default" w:ascii="Times New Roman" w:hAnsi="Times New Roman" w:cs="Times New Roman"/>
                <w:b/>
                <w:color w:val="auto"/>
                <w:sz w:val="21"/>
                <w:szCs w:val="21"/>
              </w:rPr>
            </w:pPr>
          </w:p>
        </w:tc>
        <w:tc>
          <w:tcPr>
            <w:tcW w:w="1341" w:type="dxa"/>
            <w:tcBorders>
              <w:tl2br w:val="nil"/>
              <w:tr2bl w:val="nil"/>
            </w:tcBorders>
            <w:vAlign w:val="center"/>
          </w:tcPr>
          <w:p>
            <w:pPr>
              <w:pStyle w:val="33"/>
              <w:spacing w:line="240" w:lineRule="auto"/>
              <w:ind w:firstLine="0" w:firstLineChars="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经度</w:t>
            </w:r>
          </w:p>
        </w:tc>
        <w:tc>
          <w:tcPr>
            <w:tcW w:w="1269" w:type="dxa"/>
            <w:tcBorders>
              <w:tl2br w:val="nil"/>
              <w:tr2bl w:val="nil"/>
            </w:tcBorders>
            <w:vAlign w:val="center"/>
          </w:tcPr>
          <w:p>
            <w:pPr>
              <w:pStyle w:val="33"/>
              <w:spacing w:line="240" w:lineRule="auto"/>
              <w:ind w:firstLine="0" w:firstLineChars="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纬度</w:t>
            </w:r>
          </w:p>
        </w:tc>
        <w:tc>
          <w:tcPr>
            <w:tcW w:w="723" w:type="dxa"/>
            <w:vMerge w:val="continue"/>
            <w:tcBorders>
              <w:tl2br w:val="nil"/>
              <w:tr2bl w:val="nil"/>
            </w:tcBorders>
            <w:vAlign w:val="center"/>
          </w:tcPr>
          <w:p>
            <w:pPr>
              <w:pStyle w:val="33"/>
              <w:spacing w:line="240" w:lineRule="auto"/>
              <w:ind w:firstLine="0" w:firstLineChars="0"/>
              <w:rPr>
                <w:rFonts w:hint="default" w:ascii="Times New Roman" w:hAnsi="Times New Roman" w:cs="Times New Roman"/>
                <w:b/>
                <w:color w:val="auto"/>
                <w:sz w:val="21"/>
                <w:szCs w:val="21"/>
              </w:rPr>
            </w:pPr>
          </w:p>
        </w:tc>
        <w:tc>
          <w:tcPr>
            <w:tcW w:w="1041" w:type="dxa"/>
            <w:vMerge w:val="continue"/>
            <w:tcBorders>
              <w:tl2br w:val="nil"/>
              <w:tr2bl w:val="nil"/>
            </w:tcBorders>
            <w:vAlign w:val="center"/>
          </w:tcPr>
          <w:p>
            <w:pPr>
              <w:pStyle w:val="33"/>
              <w:spacing w:line="240" w:lineRule="auto"/>
              <w:ind w:firstLine="0" w:firstLineChars="0"/>
              <w:rPr>
                <w:rFonts w:hint="default" w:ascii="Times New Roman" w:hAnsi="Times New Roman" w:cs="Times New Roman"/>
                <w:b/>
                <w:color w:val="auto"/>
                <w:sz w:val="21"/>
                <w:szCs w:val="21"/>
              </w:rPr>
            </w:pPr>
          </w:p>
        </w:tc>
        <w:tc>
          <w:tcPr>
            <w:tcW w:w="1192" w:type="dxa"/>
            <w:vMerge w:val="continue"/>
            <w:tcBorders>
              <w:tl2br w:val="nil"/>
              <w:tr2bl w:val="nil"/>
            </w:tcBorders>
            <w:vAlign w:val="center"/>
          </w:tcPr>
          <w:p>
            <w:pPr>
              <w:pStyle w:val="33"/>
              <w:spacing w:line="240" w:lineRule="auto"/>
              <w:ind w:firstLine="0" w:firstLineChars="0"/>
              <w:rPr>
                <w:rFonts w:hint="default" w:ascii="Times New Roman" w:hAnsi="Times New Roman" w:cs="Times New Roman"/>
                <w:b/>
                <w:color w:val="auto"/>
                <w:sz w:val="21"/>
                <w:szCs w:val="21"/>
              </w:rPr>
            </w:pPr>
          </w:p>
        </w:tc>
        <w:tc>
          <w:tcPr>
            <w:tcW w:w="1081" w:type="dxa"/>
            <w:vMerge w:val="continue"/>
            <w:tcBorders>
              <w:tl2br w:val="nil"/>
              <w:tr2bl w:val="nil"/>
            </w:tcBorders>
            <w:vAlign w:val="center"/>
          </w:tcPr>
          <w:p>
            <w:pPr>
              <w:pStyle w:val="33"/>
              <w:spacing w:line="240" w:lineRule="auto"/>
              <w:ind w:firstLine="0" w:firstLineChars="0"/>
              <w:rPr>
                <w:rFonts w:hint="default" w:ascii="Times New Roman" w:hAnsi="Times New Roman" w:cs="Times New Roman"/>
                <w:b/>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34" w:type="dxa"/>
            <w:vMerge w:val="restart"/>
            <w:tcBorders>
              <w:tl2br w:val="nil"/>
              <w:tr2bl w:val="nil"/>
            </w:tcBorders>
            <w:vAlign w:val="center"/>
          </w:tcPr>
          <w:p>
            <w:pPr>
              <w:pStyle w:val="33"/>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w:t>
            </w:r>
          </w:p>
          <w:p>
            <w:pPr>
              <w:pStyle w:val="33"/>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空气</w:t>
            </w:r>
          </w:p>
        </w:tc>
        <w:tc>
          <w:tcPr>
            <w:tcW w:w="152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杨韩村</w:t>
            </w:r>
          </w:p>
        </w:tc>
        <w:tc>
          <w:tcPr>
            <w:tcW w:w="134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115.017757</w:t>
            </w:r>
          </w:p>
        </w:tc>
        <w:tc>
          <w:tcPr>
            <w:tcW w:w="126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35.923706</w:t>
            </w:r>
          </w:p>
        </w:tc>
        <w:tc>
          <w:tcPr>
            <w:tcW w:w="72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w:t>
            </w:r>
          </w:p>
        </w:tc>
        <w:tc>
          <w:tcPr>
            <w:tcW w:w="1041"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510</w:t>
            </w:r>
          </w:p>
        </w:tc>
        <w:tc>
          <w:tcPr>
            <w:tcW w:w="1192"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GB3095-2012</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二类区</w:t>
            </w:r>
          </w:p>
        </w:tc>
        <w:tc>
          <w:tcPr>
            <w:tcW w:w="1081"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不改变其环境空气质量功能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4" w:hRule="atLeast"/>
          <w:jc w:val="center"/>
        </w:trPr>
        <w:tc>
          <w:tcPr>
            <w:tcW w:w="934" w:type="dxa"/>
            <w:vMerge w:val="continue"/>
            <w:tcBorders>
              <w:tl2br w:val="nil"/>
              <w:tr2bl w:val="nil"/>
            </w:tcBorders>
            <w:vAlign w:val="center"/>
          </w:tcPr>
          <w:p>
            <w:pPr>
              <w:pStyle w:val="33"/>
              <w:spacing w:line="240" w:lineRule="auto"/>
              <w:ind w:firstLine="0" w:firstLineChars="0"/>
              <w:rPr>
                <w:rFonts w:hint="default" w:ascii="Times New Roman" w:hAnsi="Times New Roman" w:cs="Times New Roman"/>
                <w:color w:val="auto"/>
                <w:sz w:val="21"/>
                <w:szCs w:val="21"/>
              </w:rPr>
            </w:pPr>
          </w:p>
        </w:tc>
        <w:tc>
          <w:tcPr>
            <w:tcW w:w="152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库韩村</w:t>
            </w:r>
          </w:p>
        </w:tc>
        <w:tc>
          <w:tcPr>
            <w:tcW w:w="134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115.012565</w:t>
            </w:r>
          </w:p>
        </w:tc>
        <w:tc>
          <w:tcPr>
            <w:tcW w:w="126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35.917416</w:t>
            </w:r>
          </w:p>
        </w:tc>
        <w:tc>
          <w:tcPr>
            <w:tcW w:w="72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w:t>
            </w:r>
          </w:p>
        </w:tc>
        <w:tc>
          <w:tcPr>
            <w:tcW w:w="1041"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1320</w:t>
            </w:r>
          </w:p>
        </w:tc>
        <w:tc>
          <w:tcPr>
            <w:tcW w:w="119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8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4" w:hRule="atLeast"/>
          <w:jc w:val="center"/>
        </w:trPr>
        <w:tc>
          <w:tcPr>
            <w:tcW w:w="934" w:type="dxa"/>
            <w:vMerge w:val="continue"/>
            <w:tcBorders>
              <w:tl2br w:val="nil"/>
              <w:tr2bl w:val="nil"/>
            </w:tcBorders>
            <w:vAlign w:val="center"/>
          </w:tcPr>
          <w:p>
            <w:pPr>
              <w:pStyle w:val="33"/>
              <w:spacing w:line="240" w:lineRule="auto"/>
              <w:ind w:firstLine="0" w:firstLineChars="0"/>
              <w:rPr>
                <w:rFonts w:hint="default" w:ascii="Times New Roman" w:hAnsi="Times New Roman" w:cs="Times New Roman"/>
                <w:color w:val="auto"/>
                <w:sz w:val="21"/>
                <w:szCs w:val="21"/>
              </w:rPr>
            </w:pPr>
          </w:p>
        </w:tc>
        <w:tc>
          <w:tcPr>
            <w:tcW w:w="152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苏二庄村</w:t>
            </w:r>
          </w:p>
        </w:tc>
        <w:tc>
          <w:tcPr>
            <w:tcW w:w="134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114.996557</w:t>
            </w:r>
          </w:p>
        </w:tc>
        <w:tc>
          <w:tcPr>
            <w:tcW w:w="126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35.915052</w:t>
            </w:r>
          </w:p>
        </w:tc>
        <w:tc>
          <w:tcPr>
            <w:tcW w:w="72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SW</w:t>
            </w:r>
          </w:p>
        </w:tc>
        <w:tc>
          <w:tcPr>
            <w:tcW w:w="1041"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1900</w:t>
            </w:r>
          </w:p>
        </w:tc>
        <w:tc>
          <w:tcPr>
            <w:tcW w:w="119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8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4" w:hRule="atLeast"/>
          <w:jc w:val="center"/>
        </w:trPr>
        <w:tc>
          <w:tcPr>
            <w:tcW w:w="934" w:type="dxa"/>
            <w:vMerge w:val="continue"/>
            <w:tcBorders>
              <w:tl2br w:val="nil"/>
              <w:tr2bl w:val="nil"/>
            </w:tcBorders>
            <w:vAlign w:val="center"/>
          </w:tcPr>
          <w:p>
            <w:pPr>
              <w:pStyle w:val="33"/>
              <w:spacing w:line="240" w:lineRule="auto"/>
              <w:ind w:firstLine="0" w:firstLineChars="0"/>
              <w:rPr>
                <w:rFonts w:hint="default" w:ascii="Times New Roman" w:hAnsi="Times New Roman" w:cs="Times New Roman"/>
                <w:color w:val="auto"/>
                <w:sz w:val="21"/>
                <w:szCs w:val="21"/>
              </w:rPr>
            </w:pPr>
          </w:p>
        </w:tc>
        <w:tc>
          <w:tcPr>
            <w:tcW w:w="152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杨庄窑村</w:t>
            </w:r>
          </w:p>
        </w:tc>
        <w:tc>
          <w:tcPr>
            <w:tcW w:w="134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114.996471</w:t>
            </w:r>
          </w:p>
        </w:tc>
        <w:tc>
          <w:tcPr>
            <w:tcW w:w="126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35.933402</w:t>
            </w:r>
          </w:p>
        </w:tc>
        <w:tc>
          <w:tcPr>
            <w:tcW w:w="72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w:t>
            </w:r>
          </w:p>
        </w:tc>
        <w:tc>
          <w:tcPr>
            <w:tcW w:w="1041"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1400</w:t>
            </w:r>
          </w:p>
        </w:tc>
        <w:tc>
          <w:tcPr>
            <w:tcW w:w="119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8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7" w:hRule="atLeast"/>
          <w:jc w:val="center"/>
        </w:trPr>
        <w:tc>
          <w:tcPr>
            <w:tcW w:w="934" w:type="dxa"/>
            <w:vMerge w:val="continue"/>
            <w:tcBorders>
              <w:tl2br w:val="nil"/>
              <w:tr2bl w:val="nil"/>
            </w:tcBorders>
            <w:vAlign w:val="center"/>
          </w:tcPr>
          <w:p>
            <w:pPr>
              <w:pStyle w:val="33"/>
              <w:spacing w:line="240" w:lineRule="auto"/>
              <w:ind w:firstLine="0" w:firstLineChars="0"/>
              <w:rPr>
                <w:rFonts w:hint="default" w:ascii="Times New Roman" w:hAnsi="Times New Roman" w:cs="Times New Roman"/>
                <w:color w:val="auto"/>
                <w:sz w:val="21"/>
                <w:szCs w:val="21"/>
              </w:rPr>
            </w:pPr>
          </w:p>
        </w:tc>
        <w:tc>
          <w:tcPr>
            <w:tcW w:w="152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雷家村</w:t>
            </w:r>
          </w:p>
        </w:tc>
        <w:tc>
          <w:tcPr>
            <w:tcW w:w="134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115.009775</w:t>
            </w:r>
          </w:p>
        </w:tc>
        <w:tc>
          <w:tcPr>
            <w:tcW w:w="126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35.956054</w:t>
            </w:r>
          </w:p>
        </w:tc>
        <w:tc>
          <w:tcPr>
            <w:tcW w:w="72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w:t>
            </w:r>
          </w:p>
        </w:tc>
        <w:tc>
          <w:tcPr>
            <w:tcW w:w="1041"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2300</w:t>
            </w:r>
          </w:p>
        </w:tc>
        <w:tc>
          <w:tcPr>
            <w:tcW w:w="119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8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6" w:hRule="atLeast"/>
          <w:jc w:val="center"/>
        </w:trPr>
        <w:tc>
          <w:tcPr>
            <w:tcW w:w="934" w:type="dxa"/>
            <w:vMerge w:val="continue"/>
            <w:tcBorders>
              <w:tl2br w:val="nil"/>
              <w:tr2bl w:val="nil"/>
            </w:tcBorders>
            <w:vAlign w:val="center"/>
          </w:tcPr>
          <w:p>
            <w:pPr>
              <w:pStyle w:val="33"/>
              <w:spacing w:line="240" w:lineRule="auto"/>
              <w:ind w:firstLine="0" w:firstLineChars="0"/>
              <w:rPr>
                <w:rFonts w:hint="default" w:ascii="Times New Roman" w:hAnsi="Times New Roman" w:cs="Times New Roman"/>
                <w:color w:val="auto"/>
                <w:sz w:val="21"/>
                <w:szCs w:val="21"/>
              </w:rPr>
            </w:pPr>
          </w:p>
        </w:tc>
        <w:tc>
          <w:tcPr>
            <w:tcW w:w="152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南召市村</w:t>
            </w:r>
          </w:p>
        </w:tc>
        <w:tc>
          <w:tcPr>
            <w:tcW w:w="134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115.015011</w:t>
            </w:r>
          </w:p>
        </w:tc>
        <w:tc>
          <w:tcPr>
            <w:tcW w:w="126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35.948203</w:t>
            </w:r>
          </w:p>
        </w:tc>
        <w:tc>
          <w:tcPr>
            <w:tcW w:w="72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w:t>
            </w:r>
          </w:p>
        </w:tc>
        <w:tc>
          <w:tcPr>
            <w:tcW w:w="1041"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1200</w:t>
            </w:r>
          </w:p>
        </w:tc>
        <w:tc>
          <w:tcPr>
            <w:tcW w:w="119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8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934" w:type="dxa"/>
            <w:vMerge w:val="continue"/>
            <w:tcBorders>
              <w:tl2br w:val="nil"/>
              <w:tr2bl w:val="nil"/>
            </w:tcBorders>
            <w:vAlign w:val="center"/>
          </w:tcPr>
          <w:p>
            <w:pPr>
              <w:pStyle w:val="33"/>
              <w:spacing w:line="240" w:lineRule="auto"/>
              <w:ind w:firstLine="0" w:firstLineChars="0"/>
              <w:rPr>
                <w:rFonts w:hint="default" w:ascii="Times New Roman" w:hAnsi="Times New Roman" w:cs="Times New Roman"/>
                <w:color w:val="auto"/>
                <w:sz w:val="21"/>
                <w:szCs w:val="21"/>
              </w:rPr>
            </w:pPr>
          </w:p>
        </w:tc>
        <w:tc>
          <w:tcPr>
            <w:tcW w:w="152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北召市村</w:t>
            </w:r>
          </w:p>
        </w:tc>
        <w:tc>
          <w:tcPr>
            <w:tcW w:w="134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115.020418</w:t>
            </w:r>
          </w:p>
        </w:tc>
        <w:tc>
          <w:tcPr>
            <w:tcW w:w="126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35.957097</w:t>
            </w:r>
          </w:p>
        </w:tc>
        <w:tc>
          <w:tcPr>
            <w:tcW w:w="72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w:t>
            </w:r>
          </w:p>
        </w:tc>
        <w:tc>
          <w:tcPr>
            <w:tcW w:w="1041"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2400</w:t>
            </w:r>
          </w:p>
        </w:tc>
        <w:tc>
          <w:tcPr>
            <w:tcW w:w="119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8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6" w:hRule="atLeast"/>
          <w:jc w:val="center"/>
        </w:trPr>
        <w:tc>
          <w:tcPr>
            <w:tcW w:w="934" w:type="dxa"/>
            <w:vMerge w:val="continue"/>
            <w:tcBorders>
              <w:tl2br w:val="nil"/>
              <w:tr2bl w:val="nil"/>
            </w:tcBorders>
            <w:vAlign w:val="center"/>
          </w:tcPr>
          <w:p>
            <w:pPr>
              <w:pStyle w:val="33"/>
              <w:spacing w:line="240" w:lineRule="auto"/>
              <w:ind w:firstLine="0" w:firstLineChars="0"/>
              <w:rPr>
                <w:rFonts w:hint="default" w:ascii="Times New Roman" w:hAnsi="Times New Roman" w:cs="Times New Roman"/>
                <w:color w:val="auto"/>
                <w:sz w:val="21"/>
                <w:szCs w:val="21"/>
              </w:rPr>
            </w:pPr>
          </w:p>
        </w:tc>
        <w:tc>
          <w:tcPr>
            <w:tcW w:w="152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贺庄村</w:t>
            </w:r>
          </w:p>
        </w:tc>
        <w:tc>
          <w:tcPr>
            <w:tcW w:w="134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115.029774</w:t>
            </w:r>
          </w:p>
        </w:tc>
        <w:tc>
          <w:tcPr>
            <w:tcW w:w="126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35.941949</w:t>
            </w:r>
          </w:p>
        </w:tc>
        <w:tc>
          <w:tcPr>
            <w:tcW w:w="72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NE</w:t>
            </w:r>
          </w:p>
        </w:tc>
        <w:tc>
          <w:tcPr>
            <w:tcW w:w="1041"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960</w:t>
            </w:r>
          </w:p>
        </w:tc>
        <w:tc>
          <w:tcPr>
            <w:tcW w:w="119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8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934" w:type="dxa"/>
            <w:vMerge w:val="continue"/>
            <w:tcBorders>
              <w:tl2br w:val="nil"/>
              <w:tr2bl w:val="nil"/>
            </w:tcBorders>
            <w:vAlign w:val="center"/>
          </w:tcPr>
          <w:p>
            <w:pPr>
              <w:pStyle w:val="33"/>
              <w:spacing w:line="240" w:lineRule="auto"/>
              <w:ind w:firstLine="0" w:firstLineChars="0"/>
              <w:rPr>
                <w:rFonts w:hint="default" w:ascii="Times New Roman" w:hAnsi="Times New Roman" w:cs="Times New Roman"/>
                <w:color w:val="auto"/>
                <w:sz w:val="21"/>
                <w:szCs w:val="21"/>
              </w:rPr>
            </w:pPr>
          </w:p>
        </w:tc>
        <w:tc>
          <w:tcPr>
            <w:tcW w:w="152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刘庄村</w:t>
            </w:r>
          </w:p>
        </w:tc>
        <w:tc>
          <w:tcPr>
            <w:tcW w:w="134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115.033636</w:t>
            </w:r>
          </w:p>
        </w:tc>
        <w:tc>
          <w:tcPr>
            <w:tcW w:w="126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35.953692</w:t>
            </w:r>
          </w:p>
        </w:tc>
        <w:tc>
          <w:tcPr>
            <w:tcW w:w="72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NE</w:t>
            </w:r>
          </w:p>
        </w:tc>
        <w:tc>
          <w:tcPr>
            <w:tcW w:w="1041"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2300</w:t>
            </w:r>
          </w:p>
        </w:tc>
        <w:tc>
          <w:tcPr>
            <w:tcW w:w="119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8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34" w:type="dxa"/>
            <w:vMerge w:val="continue"/>
            <w:tcBorders>
              <w:tl2br w:val="nil"/>
              <w:tr2bl w:val="nil"/>
            </w:tcBorders>
            <w:vAlign w:val="center"/>
          </w:tcPr>
          <w:p>
            <w:pPr>
              <w:pStyle w:val="33"/>
              <w:spacing w:line="240" w:lineRule="auto"/>
              <w:ind w:firstLine="0" w:firstLineChars="0"/>
              <w:rPr>
                <w:rFonts w:hint="default" w:ascii="Times New Roman" w:hAnsi="Times New Roman" w:cs="Times New Roman"/>
                <w:color w:val="auto"/>
                <w:sz w:val="21"/>
                <w:szCs w:val="21"/>
              </w:rPr>
            </w:pPr>
          </w:p>
        </w:tc>
        <w:tc>
          <w:tcPr>
            <w:tcW w:w="152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王韩村</w:t>
            </w:r>
          </w:p>
        </w:tc>
        <w:tc>
          <w:tcPr>
            <w:tcW w:w="134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115.030031</w:t>
            </w:r>
          </w:p>
        </w:tc>
        <w:tc>
          <w:tcPr>
            <w:tcW w:w="126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35.912133</w:t>
            </w:r>
          </w:p>
        </w:tc>
        <w:tc>
          <w:tcPr>
            <w:tcW w:w="72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w:t>
            </w:r>
          </w:p>
        </w:tc>
        <w:tc>
          <w:tcPr>
            <w:tcW w:w="1041"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1840</w:t>
            </w:r>
          </w:p>
        </w:tc>
        <w:tc>
          <w:tcPr>
            <w:tcW w:w="119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8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34" w:type="dxa"/>
            <w:tcBorders>
              <w:tl2br w:val="nil"/>
              <w:tr2bl w:val="nil"/>
            </w:tcBorders>
            <w:vAlign w:val="center"/>
          </w:tcPr>
          <w:p>
            <w:pPr>
              <w:pStyle w:val="33"/>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152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w:t>
            </w:r>
          </w:p>
        </w:tc>
        <w:tc>
          <w:tcPr>
            <w:tcW w:w="134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26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2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4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92" w:type="dxa"/>
            <w:tcBorders>
              <w:tl2br w:val="nil"/>
              <w:tr2bl w:val="nil"/>
            </w:tcBorders>
            <w:vAlign w:val="center"/>
          </w:tcPr>
          <w:p>
            <w:pPr>
              <w:pStyle w:val="33"/>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GB3096-2008</w:t>
            </w:r>
          </w:p>
          <w:p>
            <w:pPr>
              <w:pStyle w:val="33"/>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2类区</w:t>
            </w:r>
          </w:p>
        </w:tc>
        <w:tc>
          <w:tcPr>
            <w:tcW w:w="1081" w:type="dxa"/>
            <w:tcBorders>
              <w:tl2br w:val="nil"/>
              <w:tr2bl w:val="nil"/>
            </w:tcBorders>
            <w:vAlign w:val="center"/>
          </w:tcPr>
          <w:p>
            <w:pPr>
              <w:pStyle w:val="33"/>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不改变其声环境</w:t>
            </w:r>
          </w:p>
          <w:p>
            <w:pPr>
              <w:pStyle w:val="33"/>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质量功能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34" w:type="dxa"/>
            <w:tcBorders>
              <w:tl2br w:val="nil"/>
              <w:tr2bl w:val="nil"/>
            </w:tcBorders>
            <w:vAlign w:val="center"/>
          </w:tcPr>
          <w:p>
            <w:pPr>
              <w:pStyle w:val="33"/>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w:t>
            </w:r>
          </w:p>
        </w:tc>
        <w:tc>
          <w:tcPr>
            <w:tcW w:w="152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第三濮清南</w:t>
            </w:r>
            <w:r>
              <w:rPr>
                <w:rFonts w:hint="default" w:ascii="Times New Roman" w:hAnsi="Times New Roman" w:cs="Times New Roman"/>
                <w:color w:val="auto"/>
                <w:sz w:val="21"/>
                <w:szCs w:val="21"/>
                <w:lang w:eastAsia="zh-CN"/>
              </w:rPr>
              <w:t>干渠</w:t>
            </w:r>
          </w:p>
        </w:tc>
        <w:tc>
          <w:tcPr>
            <w:tcW w:w="3333"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w:t>
            </w:r>
          </w:p>
        </w:tc>
        <w:tc>
          <w:tcPr>
            <w:tcW w:w="1041"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440</w:t>
            </w:r>
          </w:p>
        </w:tc>
        <w:tc>
          <w:tcPr>
            <w:tcW w:w="1192" w:type="dxa"/>
            <w:tcBorders>
              <w:tl2br w:val="nil"/>
              <w:tr2bl w:val="nil"/>
            </w:tcBorders>
            <w:vAlign w:val="center"/>
          </w:tcPr>
          <w:p>
            <w:pPr>
              <w:pStyle w:val="33"/>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GB3838-2002</w:t>
            </w:r>
          </w:p>
          <w:p>
            <w:pPr>
              <w:pStyle w:val="33"/>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Ⅳ类水体</w:t>
            </w:r>
          </w:p>
        </w:tc>
        <w:tc>
          <w:tcPr>
            <w:tcW w:w="1081" w:type="dxa"/>
            <w:tcBorders>
              <w:tl2br w:val="nil"/>
              <w:tr2bl w:val="nil"/>
            </w:tcBorders>
            <w:vAlign w:val="center"/>
          </w:tcPr>
          <w:p>
            <w:pPr>
              <w:pStyle w:val="33"/>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不对地表水环境造成污染影响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34" w:type="dxa"/>
            <w:tcBorders>
              <w:tl2br w:val="nil"/>
              <w:tr2bl w:val="nil"/>
            </w:tcBorders>
            <w:vAlign w:val="center"/>
          </w:tcPr>
          <w:p>
            <w:pPr>
              <w:pStyle w:val="33"/>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w:t>
            </w:r>
          </w:p>
        </w:tc>
        <w:tc>
          <w:tcPr>
            <w:tcW w:w="5895" w:type="dxa"/>
            <w:gridSpan w:val="5"/>
            <w:tcBorders>
              <w:tl2br w:val="nil"/>
              <w:tr2bl w:val="nil"/>
            </w:tcBorders>
            <w:vAlign w:val="center"/>
          </w:tcPr>
          <w:p>
            <w:pPr>
              <w:pStyle w:val="33"/>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项目所在区域地下水</w:t>
            </w:r>
          </w:p>
        </w:tc>
        <w:tc>
          <w:tcPr>
            <w:tcW w:w="1192" w:type="dxa"/>
            <w:tcBorders>
              <w:tl2br w:val="nil"/>
              <w:tr2bl w:val="nil"/>
            </w:tcBorders>
            <w:vAlign w:val="center"/>
          </w:tcPr>
          <w:p>
            <w:pPr>
              <w:pStyle w:val="33"/>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GB/T14848-2017</w:t>
            </w:r>
          </w:p>
          <w:p>
            <w:pPr>
              <w:pStyle w:val="33"/>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Ⅲ类水体</w:t>
            </w:r>
          </w:p>
        </w:tc>
        <w:tc>
          <w:tcPr>
            <w:tcW w:w="1081" w:type="dxa"/>
            <w:tcBorders>
              <w:tl2br w:val="nil"/>
              <w:tr2bl w:val="nil"/>
            </w:tcBorders>
            <w:vAlign w:val="center"/>
          </w:tcPr>
          <w:p>
            <w:pPr>
              <w:pStyle w:val="33"/>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不对地下水环境</w:t>
            </w:r>
          </w:p>
          <w:p>
            <w:pPr>
              <w:pStyle w:val="33"/>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造成污染影响</w:t>
            </w:r>
          </w:p>
        </w:tc>
      </w:tr>
    </w:tbl>
    <w:p>
      <w:pPr>
        <w:pStyle w:val="4"/>
        <w:ind w:firstLine="0" w:firstLineChars="0"/>
        <w:rPr>
          <w:rFonts w:hint="default" w:ascii="Times New Roman" w:hAnsi="Times New Roman" w:cs="Times New Roman"/>
          <w:color w:val="auto"/>
          <w:sz w:val="28"/>
          <w:szCs w:val="28"/>
        </w:rPr>
      </w:pPr>
      <w:bookmarkStart w:id="175" w:name="_Toc31794"/>
      <w:bookmarkStart w:id="176" w:name="_Toc676"/>
      <w:r>
        <w:rPr>
          <w:rFonts w:hint="default" w:ascii="Times New Roman" w:hAnsi="Times New Roman" w:cs="Times New Roman"/>
          <w:color w:val="auto"/>
          <w:sz w:val="28"/>
          <w:szCs w:val="28"/>
        </w:rPr>
        <w:t>2.7政策相符性分析</w:t>
      </w:r>
      <w:bookmarkEnd w:id="175"/>
      <w:bookmarkEnd w:id="176"/>
    </w:p>
    <w:p>
      <w:pPr>
        <w:pStyle w:val="5"/>
        <w:numPr>
          <w:ilvl w:val="2"/>
          <w:numId w:val="0"/>
        </w:numPr>
        <w:rPr>
          <w:rFonts w:hint="default" w:ascii="Times New Roman" w:hAnsi="Times New Roman" w:cs="Times New Roman"/>
          <w:bCs/>
          <w:color w:val="auto"/>
        </w:rPr>
      </w:pPr>
      <w:r>
        <w:rPr>
          <w:rFonts w:hint="default" w:ascii="Times New Roman" w:hAnsi="Times New Roman" w:cs="Times New Roman"/>
          <w:bCs/>
          <w:color w:val="auto"/>
          <w:lang w:val="en-US"/>
        </w:rPr>
        <w:t xml:space="preserve"> 2.7.1</w:t>
      </w:r>
      <w:r>
        <w:rPr>
          <w:rFonts w:hint="default" w:ascii="Times New Roman" w:hAnsi="Times New Roman" w:cs="Times New Roman"/>
          <w:bCs/>
          <w:color w:val="auto"/>
        </w:rPr>
        <w:t>《清丰县人民政府办公室关于印发清丰县畜禽养殖禁养区限养区划分方案的通知》</w:t>
      </w:r>
      <w:bookmarkEnd w:id="173"/>
      <w:bookmarkEnd w:id="174"/>
    </w:p>
    <w:p>
      <w:pPr>
        <w:ind w:firstLine="480"/>
        <w:rPr>
          <w:rFonts w:hint="default" w:ascii="Times New Roman" w:hAnsi="Times New Roman" w:cs="Times New Roman"/>
          <w:color w:val="auto"/>
        </w:rPr>
      </w:pPr>
      <w:r>
        <w:rPr>
          <w:rFonts w:hint="default" w:ascii="Times New Roman" w:hAnsi="Times New Roman" w:cs="Times New Roman"/>
          <w:color w:val="auto"/>
        </w:rPr>
        <w:t>（1）依据《畜禽养殖业污染防治技术规范》（HJ/T81-2001）和《畜禽养殖业污染治理工程技术规范》（HJ497－2009）中要求：</w:t>
      </w:r>
    </w:p>
    <w:p>
      <w:pPr>
        <w:ind w:firstLine="480"/>
        <w:rPr>
          <w:rFonts w:hint="default" w:ascii="Times New Roman" w:hAnsi="Times New Roman" w:cs="Times New Roman"/>
          <w:color w:val="auto"/>
        </w:rPr>
      </w:pPr>
      <w:r>
        <w:rPr>
          <w:rFonts w:hint="default" w:ascii="Times New Roman" w:hAnsi="Times New Roman" w:cs="Times New Roman"/>
          <w:color w:val="auto"/>
        </w:rPr>
        <w:t>(一)禁养区范围</w:t>
      </w:r>
    </w:p>
    <w:p>
      <w:pPr>
        <w:ind w:firstLine="480"/>
        <w:rPr>
          <w:rFonts w:hint="default" w:ascii="Times New Roman" w:hAnsi="Times New Roman" w:cs="Times New Roman"/>
          <w:color w:val="auto"/>
        </w:rPr>
      </w:pPr>
      <w:r>
        <w:rPr>
          <w:rFonts w:hint="default" w:ascii="Times New Roman" w:hAnsi="Times New Roman" w:cs="Times New Roman"/>
          <w:color w:val="auto"/>
        </w:rPr>
        <w:t>1.县城规划区及周围500m范围以内的区域，17个乡镇政府所在地规划区及单拐景区及周围500m范围以内的区域；</w:t>
      </w:r>
    </w:p>
    <w:p>
      <w:pPr>
        <w:ind w:firstLine="480"/>
        <w:rPr>
          <w:rFonts w:hint="default" w:ascii="Times New Roman" w:hAnsi="Times New Roman" w:cs="Times New Roman"/>
          <w:color w:val="auto"/>
        </w:rPr>
      </w:pPr>
      <w:r>
        <w:rPr>
          <w:rFonts w:hint="default" w:ascii="Times New Roman" w:hAnsi="Times New Roman" w:cs="Times New Roman"/>
          <w:color w:val="auto"/>
        </w:rPr>
        <w:t>2.县中心城区生活饮用水源地二级保护区边界外延500m范围内的区域；</w:t>
      </w:r>
    </w:p>
    <w:p>
      <w:pPr>
        <w:ind w:firstLine="480"/>
        <w:rPr>
          <w:rFonts w:hint="default" w:ascii="Times New Roman" w:hAnsi="Times New Roman" w:cs="Times New Roman"/>
          <w:color w:val="auto"/>
        </w:rPr>
      </w:pPr>
      <w:r>
        <w:rPr>
          <w:rFonts w:hint="default" w:ascii="Times New Roman" w:hAnsi="Times New Roman" w:cs="Times New Roman"/>
          <w:color w:val="auto"/>
        </w:rPr>
        <w:t>3.城市规划区内马颊河沿岸两侧500m范围以内的区域。</w:t>
      </w:r>
    </w:p>
    <w:p>
      <w:pPr>
        <w:ind w:firstLine="480"/>
        <w:rPr>
          <w:rFonts w:hint="default" w:ascii="Times New Roman" w:hAnsi="Times New Roman" w:cs="Times New Roman"/>
          <w:color w:val="auto"/>
        </w:rPr>
      </w:pPr>
      <w:r>
        <w:rPr>
          <w:rFonts w:hint="default" w:ascii="Times New Roman" w:hAnsi="Times New Roman" w:cs="Times New Roman"/>
          <w:color w:val="auto"/>
        </w:rPr>
        <w:t>4.规划的各类工业区周边500m范围内的区域。</w:t>
      </w:r>
    </w:p>
    <w:p>
      <w:pPr>
        <w:ind w:firstLine="480"/>
        <w:rPr>
          <w:rFonts w:hint="default" w:ascii="Times New Roman" w:hAnsi="Times New Roman" w:cs="Times New Roman"/>
          <w:color w:val="auto"/>
        </w:rPr>
      </w:pPr>
      <w:r>
        <w:rPr>
          <w:rFonts w:hint="default" w:ascii="Times New Roman" w:hAnsi="Times New Roman" w:cs="Times New Roman"/>
          <w:color w:val="auto"/>
        </w:rPr>
        <w:t>5.国家或地方法律法规规定需要特殊保护的其他区域。</w:t>
      </w:r>
    </w:p>
    <w:p>
      <w:pPr>
        <w:ind w:firstLine="480"/>
        <w:rPr>
          <w:rFonts w:hint="default" w:ascii="Times New Roman" w:hAnsi="Times New Roman" w:cs="Times New Roman"/>
          <w:color w:val="auto"/>
        </w:rPr>
      </w:pPr>
      <w:r>
        <w:rPr>
          <w:rFonts w:hint="default" w:ascii="Times New Roman" w:hAnsi="Times New Roman" w:cs="Times New Roman"/>
          <w:color w:val="auto"/>
        </w:rPr>
        <w:t>(二)限养区范围</w:t>
      </w:r>
    </w:p>
    <w:p>
      <w:pPr>
        <w:ind w:firstLine="480"/>
        <w:rPr>
          <w:rFonts w:hint="default" w:ascii="Times New Roman" w:hAnsi="Times New Roman" w:cs="Times New Roman"/>
          <w:color w:val="auto"/>
        </w:rPr>
      </w:pPr>
      <w:r>
        <w:rPr>
          <w:rFonts w:hint="default" w:ascii="Times New Roman" w:hAnsi="Times New Roman" w:cs="Times New Roman"/>
          <w:color w:val="auto"/>
        </w:rPr>
        <w:t>1.县城区规划常年主导风向上风向2km范围内及各乡镇政府所在地规划区常年主导风向上风向1km范围内的区域(划定的禁养区除外)；</w:t>
      </w:r>
    </w:p>
    <w:p>
      <w:pPr>
        <w:ind w:firstLine="480"/>
        <w:rPr>
          <w:rFonts w:hint="default" w:ascii="Times New Roman" w:hAnsi="Times New Roman" w:cs="Times New Roman"/>
          <w:color w:val="auto"/>
        </w:rPr>
      </w:pPr>
      <w:r>
        <w:rPr>
          <w:rFonts w:hint="default" w:ascii="Times New Roman" w:hAnsi="Times New Roman" w:cs="Times New Roman"/>
          <w:color w:val="auto"/>
        </w:rPr>
        <w:t>2.县中心城区生活饮用水源地准保护区(划定的禁养区除外)；</w:t>
      </w:r>
    </w:p>
    <w:p>
      <w:pPr>
        <w:ind w:firstLine="480"/>
        <w:rPr>
          <w:rFonts w:hint="default" w:ascii="Times New Roman" w:hAnsi="Times New Roman" w:cs="Times New Roman"/>
          <w:color w:val="auto"/>
        </w:rPr>
      </w:pPr>
      <w:r>
        <w:rPr>
          <w:rFonts w:hint="default" w:ascii="Times New Roman" w:hAnsi="Times New Roman" w:cs="Times New Roman"/>
          <w:color w:val="auto"/>
        </w:rPr>
        <w:t>3.国道、省道、高速公路等交通主干线公路沿线两侧300m范围内的区域；</w:t>
      </w:r>
    </w:p>
    <w:p>
      <w:pPr>
        <w:ind w:firstLine="480"/>
        <w:rPr>
          <w:rFonts w:hint="default" w:ascii="Times New Roman" w:hAnsi="Times New Roman" w:cs="Times New Roman"/>
          <w:color w:val="auto"/>
        </w:rPr>
      </w:pPr>
      <w:r>
        <w:rPr>
          <w:rFonts w:hint="default" w:ascii="Times New Roman" w:hAnsi="Times New Roman" w:cs="Times New Roman"/>
          <w:color w:val="auto"/>
        </w:rPr>
        <w:t>4.根据城镇发展规划和区域污染物排放总量控制要求，应当限制养殖的区域。</w:t>
      </w:r>
    </w:p>
    <w:p>
      <w:pPr>
        <w:ind w:left="547" w:leftChars="228" w:firstLine="0" w:firstLineChars="0"/>
        <w:rPr>
          <w:rFonts w:hint="default" w:ascii="Times New Roman" w:hAnsi="Times New Roman" w:cs="Times New Roman"/>
          <w:color w:val="auto"/>
        </w:rPr>
      </w:pPr>
      <w:r>
        <w:rPr>
          <w:rFonts w:hint="default" w:ascii="Times New Roman" w:hAnsi="Times New Roman" w:cs="Times New Roman"/>
          <w:color w:val="auto"/>
        </w:rPr>
        <w:t>(三)适养区范围</w:t>
      </w:r>
      <w:r>
        <w:rPr>
          <w:rFonts w:hint="default" w:ascii="Times New Roman" w:hAnsi="Times New Roman" w:cs="Times New Roman"/>
          <w:color w:val="auto"/>
        </w:rPr>
        <w:br w:type="textWrapping"/>
      </w:r>
      <w:r>
        <w:rPr>
          <w:rFonts w:hint="default" w:ascii="Times New Roman" w:hAnsi="Times New Roman" w:cs="Times New Roman"/>
          <w:color w:val="auto"/>
        </w:rPr>
        <w:t>本行政辖区内除禁养区和限养区以外的其他区域为适养区。</w:t>
      </w:r>
    </w:p>
    <w:p>
      <w:pPr>
        <w:pStyle w:val="5"/>
        <w:rPr>
          <w:rFonts w:hint="default" w:ascii="Times New Roman" w:hAnsi="Times New Roman" w:cs="Times New Roman"/>
          <w:color w:val="auto"/>
          <w:lang w:val="en-US"/>
        </w:rPr>
      </w:pPr>
      <w:r>
        <w:rPr>
          <w:rFonts w:hint="default" w:ascii="Times New Roman" w:hAnsi="Times New Roman" w:cs="Times New Roman"/>
          <w:color w:val="auto"/>
          <w:lang w:val="en-US"/>
        </w:rPr>
        <w:t>2.7.2《清丰县畜禽养殖业禁养区限养区划分调整方案的通知》</w:t>
      </w:r>
      <w:r>
        <w:rPr>
          <w:rFonts w:hint="default" w:ascii="Times New Roman" w:hAnsi="Times New Roman" w:cs="Times New Roman"/>
          <w:color w:val="auto"/>
        </w:rPr>
        <w:t>相符性分析</w:t>
      </w:r>
    </w:p>
    <w:p>
      <w:pPr>
        <w:spacing w:line="240" w:lineRule="auto"/>
        <w:ind w:firstLine="442"/>
        <w:jc w:val="center"/>
        <w:rPr>
          <w:rFonts w:hint="default" w:ascii="Times New Roman" w:hAnsi="Times New Roman" w:cs="Times New Roman"/>
          <w:b/>
          <w:bCs/>
          <w:color w:val="auto"/>
          <w:sz w:val="22"/>
          <w:szCs w:val="22"/>
        </w:rPr>
      </w:pPr>
      <w:r>
        <w:rPr>
          <w:rFonts w:hint="default" w:ascii="Times New Roman" w:hAnsi="Times New Roman" w:cs="Times New Roman"/>
          <w:b/>
          <w:bCs/>
          <w:color w:val="auto"/>
          <w:sz w:val="22"/>
          <w:szCs w:val="22"/>
        </w:rPr>
        <w:t>表 2.7-1    本项目与清丰县畜禽养殖禁养区关系</w:t>
      </w:r>
    </w:p>
    <w:tbl>
      <w:tblPr>
        <w:tblStyle w:val="25"/>
        <w:tblW w:w="8946"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6"/>
        <w:gridCol w:w="5211"/>
        <w:gridCol w:w="2409"/>
        <w:gridCol w:w="900"/>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637" w:type="dxa"/>
            <w:gridSpan w:val="2"/>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《清丰县人民政府办公室关于印发清丰县畜禽养殖业禁养区限养区划分调整方案的通知的通知》</w:t>
            </w:r>
          </w:p>
        </w:tc>
        <w:tc>
          <w:tcPr>
            <w:tcW w:w="2409" w:type="dxa"/>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本项目与禁养区关系</w:t>
            </w:r>
          </w:p>
        </w:tc>
        <w:tc>
          <w:tcPr>
            <w:tcW w:w="900" w:type="dxa"/>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符合性</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58" w:hRule="atLeast"/>
          <w:jc w:val="center"/>
        </w:trPr>
        <w:tc>
          <w:tcPr>
            <w:tcW w:w="426" w:type="dxa"/>
            <w:tcBorders>
              <w:tl2br w:val="nil"/>
              <w:tr2bl w:val="nil"/>
            </w:tcBorders>
            <w:vAlign w:val="center"/>
          </w:tcPr>
          <w:p>
            <w:pPr>
              <w:spacing w:line="360" w:lineRule="exact"/>
              <w:ind w:firstLine="0" w:firstLineChars="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禁</w:t>
            </w:r>
          </w:p>
          <w:p>
            <w:pPr>
              <w:spacing w:line="360" w:lineRule="exact"/>
              <w:ind w:firstLine="0" w:firstLineChars="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养</w:t>
            </w:r>
          </w:p>
          <w:p>
            <w:pPr>
              <w:spacing w:line="360" w:lineRule="exact"/>
              <w:ind w:firstLine="0" w:firstLineChars="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区</w:t>
            </w:r>
          </w:p>
        </w:tc>
        <w:tc>
          <w:tcPr>
            <w:tcW w:w="5211" w:type="dxa"/>
            <w:tcBorders>
              <w:tl2br w:val="nil"/>
              <w:tr2bl w:val="nil"/>
            </w:tcBorders>
            <w:vAlign w:val="center"/>
          </w:tcPr>
          <w:p>
            <w:pPr>
              <w:spacing w:line="360" w:lineRule="exact"/>
              <w:ind w:firstLine="0" w:firstLineChars="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集中饮用水水源保护区。</w:t>
            </w:r>
          </w:p>
          <w:p>
            <w:pPr>
              <w:spacing w:line="360" w:lineRule="exact"/>
              <w:ind w:firstLine="0" w:firstLineChars="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1．生活饮用水水源保护区、风景名胜区、自然保护区的核心区及缓冲区500米范围内。</w:t>
            </w:r>
          </w:p>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2.城市和城镇居民区，包括文教科研区、医疗区、商业区、工业区、游览区等人口集中地区500米范围内。</w:t>
            </w:r>
          </w:p>
          <w:p>
            <w:pPr>
              <w:spacing w:line="360" w:lineRule="exact"/>
              <w:ind w:firstLine="0" w:firstLineChars="0"/>
              <w:rPr>
                <w:rFonts w:hint="default" w:ascii="Times New Roman" w:hAnsi="Times New Roman" w:cs="Times New Roman"/>
                <w:color w:val="auto"/>
              </w:rPr>
            </w:pPr>
            <w:r>
              <w:rPr>
                <w:rFonts w:hint="default" w:ascii="Times New Roman" w:hAnsi="Times New Roman" w:cs="Times New Roman"/>
                <w:color w:val="auto"/>
                <w:kern w:val="0"/>
                <w:sz w:val="21"/>
                <w:szCs w:val="21"/>
              </w:rPr>
              <w:t>3．法律、法规规定的其它禁养区域。</w:t>
            </w:r>
          </w:p>
        </w:tc>
        <w:tc>
          <w:tcPr>
            <w:tcW w:w="2409" w:type="dxa"/>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项目区距以上区域都在500m以上。</w:t>
            </w:r>
          </w:p>
        </w:tc>
        <w:tc>
          <w:tcPr>
            <w:tcW w:w="900" w:type="dxa"/>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不在禁养区</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17" w:hRule="atLeast"/>
          <w:jc w:val="center"/>
        </w:trPr>
        <w:tc>
          <w:tcPr>
            <w:tcW w:w="426" w:type="dxa"/>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限养区</w:t>
            </w:r>
          </w:p>
        </w:tc>
        <w:tc>
          <w:tcPr>
            <w:tcW w:w="5211" w:type="dxa"/>
            <w:tcBorders>
              <w:tl2br w:val="nil"/>
              <w:tr2bl w:val="nil"/>
            </w:tcBorders>
            <w:vAlign w:val="center"/>
          </w:tcPr>
          <w:p>
            <w:pPr>
              <w:pStyle w:val="6"/>
              <w:spacing w:after="120"/>
              <w:ind w:firstLine="420"/>
              <w:rPr>
                <w:rFonts w:hint="default" w:ascii="Times New Roman" w:hAnsi="Times New Roman" w:cs="Times New Roman"/>
                <w:bCs w:val="0"/>
                <w:color w:val="auto"/>
                <w:kern w:val="0"/>
                <w:sz w:val="21"/>
                <w:szCs w:val="21"/>
              </w:rPr>
            </w:pPr>
            <w:r>
              <w:rPr>
                <w:rFonts w:hint="default" w:ascii="Times New Roman" w:hAnsi="Times New Roman" w:cs="Times New Roman"/>
                <w:bCs w:val="0"/>
                <w:color w:val="auto"/>
                <w:sz w:val="21"/>
                <w:szCs w:val="21"/>
              </w:rPr>
              <w:t>禁养区域外延500米的区域。</w:t>
            </w:r>
          </w:p>
        </w:tc>
        <w:tc>
          <w:tcPr>
            <w:tcW w:w="2409" w:type="dxa"/>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该项目不在上述区域内</w:t>
            </w:r>
          </w:p>
        </w:tc>
        <w:tc>
          <w:tcPr>
            <w:tcW w:w="900" w:type="dxa"/>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不在限养区</w:t>
            </w:r>
          </w:p>
        </w:tc>
      </w:tr>
    </w:tbl>
    <w:p>
      <w:pPr>
        <w:ind w:firstLine="480"/>
        <w:rPr>
          <w:rFonts w:hint="default" w:ascii="Times New Roman" w:hAnsi="Times New Roman" w:cs="Times New Roman"/>
          <w:bCs/>
          <w:color w:val="auto"/>
        </w:rPr>
      </w:pPr>
      <w:r>
        <w:rPr>
          <w:rFonts w:hint="default" w:ascii="Times New Roman" w:hAnsi="Times New Roman" w:cs="Times New Roman"/>
          <w:bCs/>
          <w:color w:val="auto"/>
        </w:rPr>
        <w:t>项目所在地清丰县韩村镇杨韩村北，远离城市和城镇规划区；远离饮用水源地以及自然保护区，</w:t>
      </w:r>
      <w:r>
        <w:rPr>
          <w:rFonts w:hint="default" w:ascii="Times New Roman" w:hAnsi="Times New Roman" w:cs="Times New Roman"/>
          <w:bCs/>
          <w:color w:val="auto"/>
          <w:highlight w:val="none"/>
        </w:rPr>
        <w:t>根据清丰县农业农村局出具的证明可知，项目选址</w:t>
      </w:r>
      <w:r>
        <w:rPr>
          <w:rFonts w:hint="default" w:ascii="Times New Roman" w:hAnsi="Times New Roman" w:cs="Times New Roman"/>
          <w:bCs/>
          <w:color w:val="auto"/>
        </w:rPr>
        <w:t>不在清丰县划定的禁养区、限养区范围内。</w:t>
      </w:r>
    </w:p>
    <w:p>
      <w:pPr>
        <w:pStyle w:val="5"/>
        <w:numPr>
          <w:ilvl w:val="2"/>
          <w:numId w:val="0"/>
        </w:numPr>
        <w:adjustRightInd/>
        <w:snapToGrid/>
        <w:rPr>
          <w:rFonts w:hint="default" w:ascii="Times New Roman" w:hAnsi="Times New Roman" w:cs="Times New Roman"/>
          <w:color w:val="auto"/>
        </w:rPr>
      </w:pPr>
      <w:r>
        <w:rPr>
          <w:rFonts w:hint="default" w:ascii="Times New Roman" w:hAnsi="Times New Roman" w:cs="Times New Roman"/>
          <w:color w:val="auto"/>
          <w:lang w:val="en-US"/>
        </w:rPr>
        <w:t>2.7.3</w:t>
      </w:r>
      <w:r>
        <w:rPr>
          <w:rFonts w:hint="default" w:ascii="Times New Roman" w:hAnsi="Times New Roman" w:cs="Times New Roman"/>
          <w:color w:val="auto"/>
        </w:rPr>
        <w:t>“三线一单”相符性分析</w:t>
      </w:r>
    </w:p>
    <w:tbl>
      <w:tblPr>
        <w:tblStyle w:val="26"/>
        <w:tblW w:w="894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11"/>
        <w:gridCol w:w="1553"/>
        <w:gridCol w:w="3850"/>
        <w:gridCol w:w="72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11" w:type="dxa"/>
            <w:tcBorders>
              <w:tl2br w:val="nil"/>
              <w:tr2bl w:val="nil"/>
            </w:tcBorders>
            <w:vAlign w:val="center"/>
          </w:tcPr>
          <w:p>
            <w:pPr>
              <w:spacing w:line="240" w:lineRule="auto"/>
              <w:ind w:firstLine="42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“通知”文号</w:t>
            </w:r>
          </w:p>
        </w:tc>
        <w:tc>
          <w:tcPr>
            <w:tcW w:w="1553" w:type="dxa"/>
            <w:tcBorders>
              <w:tl2br w:val="nil"/>
              <w:tr2bl w:val="nil"/>
            </w:tcBorders>
            <w:vAlign w:val="center"/>
          </w:tcPr>
          <w:p>
            <w:pPr>
              <w:spacing w:line="240" w:lineRule="auto"/>
              <w:ind w:firstLine="42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类别</w:t>
            </w:r>
          </w:p>
        </w:tc>
        <w:tc>
          <w:tcPr>
            <w:tcW w:w="3850" w:type="dxa"/>
            <w:tcBorders>
              <w:tl2br w:val="nil"/>
              <w:tr2bl w:val="nil"/>
            </w:tcBorders>
            <w:vAlign w:val="center"/>
          </w:tcPr>
          <w:p>
            <w:pPr>
              <w:spacing w:line="240" w:lineRule="auto"/>
              <w:ind w:left="209" w:leftChars="87"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项目与三线一单相符性分析</w:t>
            </w:r>
          </w:p>
        </w:tc>
        <w:tc>
          <w:tcPr>
            <w:tcW w:w="729" w:type="dxa"/>
            <w:tcBorders>
              <w:tl2br w:val="nil"/>
              <w:tr2bl w:val="nil"/>
            </w:tcBorders>
            <w:vAlign w:val="center"/>
          </w:tcPr>
          <w:p>
            <w:pPr>
              <w:spacing w:line="240" w:lineRule="auto"/>
              <w:ind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11" w:type="dxa"/>
            <w:vMerge w:val="restart"/>
            <w:tcBorders>
              <w:tl2br w:val="nil"/>
              <w:tr2bl w:val="nil"/>
            </w:tcBorders>
            <w:vAlign w:val="center"/>
          </w:tcPr>
          <w:p>
            <w:pPr>
              <w:spacing w:line="240" w:lineRule="auto"/>
              <w:ind w:firstLine="42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《“十三五”环境影响评价改革实施方案》（环环评【2016】95号）</w:t>
            </w:r>
          </w:p>
        </w:tc>
        <w:tc>
          <w:tcPr>
            <w:tcW w:w="1553" w:type="dxa"/>
            <w:tcBorders>
              <w:tl2br w:val="nil"/>
              <w:tr2bl w:val="nil"/>
            </w:tcBorders>
            <w:vAlign w:val="center"/>
          </w:tcPr>
          <w:p>
            <w:pPr>
              <w:spacing w:line="240" w:lineRule="auto"/>
              <w:ind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生态保护红线</w:t>
            </w:r>
          </w:p>
        </w:tc>
        <w:tc>
          <w:tcPr>
            <w:tcW w:w="3850" w:type="dxa"/>
            <w:tcBorders>
              <w:tl2br w:val="nil"/>
              <w:tr2bl w:val="nil"/>
            </w:tcBorders>
            <w:vAlign w:val="center"/>
          </w:tcPr>
          <w:p>
            <w:pPr>
              <w:spacing w:line="240" w:lineRule="auto"/>
              <w:ind w:firstLine="42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项目位于清丰县韩村镇杨韩村北，根据《河南省生态保护红线划定方案》可知，项目地不属于生态红线区域</w:t>
            </w:r>
          </w:p>
        </w:tc>
        <w:tc>
          <w:tcPr>
            <w:tcW w:w="729" w:type="dxa"/>
            <w:tcBorders>
              <w:tl2br w:val="nil"/>
              <w:tr2bl w:val="nil"/>
            </w:tcBorders>
            <w:vAlign w:val="center"/>
          </w:tcPr>
          <w:p>
            <w:pPr>
              <w:spacing w:line="240" w:lineRule="auto"/>
              <w:ind w:firstLine="210" w:firstLineChars="100"/>
              <w:rPr>
                <w:rFonts w:hint="default" w:ascii="Times New Roman" w:hAnsi="Times New Roman" w:cs="Times New Roman"/>
                <w:bCs/>
                <w:color w:val="auto"/>
                <w:sz w:val="21"/>
                <w:szCs w:val="21"/>
              </w:rPr>
            </w:pPr>
          </w:p>
          <w:p>
            <w:pPr>
              <w:spacing w:line="240" w:lineRule="auto"/>
              <w:ind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11" w:type="dxa"/>
            <w:vMerge w:val="continue"/>
            <w:tcBorders>
              <w:tl2br w:val="nil"/>
              <w:tr2bl w:val="nil"/>
            </w:tcBorders>
            <w:vAlign w:val="center"/>
          </w:tcPr>
          <w:p>
            <w:pPr>
              <w:spacing w:line="240" w:lineRule="auto"/>
              <w:ind w:firstLine="420"/>
              <w:rPr>
                <w:rFonts w:hint="default" w:ascii="Times New Roman" w:hAnsi="Times New Roman" w:cs="Times New Roman"/>
                <w:bCs/>
                <w:color w:val="auto"/>
                <w:sz w:val="21"/>
                <w:szCs w:val="21"/>
              </w:rPr>
            </w:pPr>
          </w:p>
        </w:tc>
        <w:tc>
          <w:tcPr>
            <w:tcW w:w="1553" w:type="dxa"/>
            <w:tcBorders>
              <w:tl2br w:val="nil"/>
              <w:tr2bl w:val="nil"/>
            </w:tcBorders>
            <w:vAlign w:val="center"/>
          </w:tcPr>
          <w:p>
            <w:pPr>
              <w:spacing w:line="240" w:lineRule="auto"/>
              <w:ind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环境质量底线</w:t>
            </w:r>
          </w:p>
        </w:tc>
        <w:tc>
          <w:tcPr>
            <w:tcW w:w="3850" w:type="dxa"/>
            <w:tcBorders>
              <w:tl2br w:val="nil"/>
              <w:tr2bl w:val="nil"/>
            </w:tcBorders>
            <w:vAlign w:val="center"/>
          </w:tcPr>
          <w:p>
            <w:pPr>
              <w:spacing w:line="240" w:lineRule="auto"/>
              <w:ind w:firstLine="42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根据项目所在地环境现状调查和污染物排放影响预测，本项目营运后对区域内环境影响较小环境质量可以保持现有水平</w:t>
            </w:r>
          </w:p>
        </w:tc>
        <w:tc>
          <w:tcPr>
            <w:tcW w:w="729" w:type="dxa"/>
            <w:tcBorders>
              <w:tl2br w:val="nil"/>
              <w:tr2bl w:val="nil"/>
            </w:tcBorders>
            <w:vAlign w:val="center"/>
          </w:tcPr>
          <w:p>
            <w:pPr>
              <w:spacing w:line="240" w:lineRule="auto"/>
              <w:ind w:firstLine="210" w:firstLineChars="100"/>
              <w:rPr>
                <w:rFonts w:hint="default" w:ascii="Times New Roman" w:hAnsi="Times New Roman" w:cs="Times New Roman"/>
                <w:bCs/>
                <w:color w:val="auto"/>
                <w:sz w:val="21"/>
                <w:szCs w:val="21"/>
              </w:rPr>
            </w:pPr>
          </w:p>
          <w:p>
            <w:pPr>
              <w:spacing w:line="240" w:lineRule="auto"/>
              <w:ind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11" w:type="dxa"/>
            <w:vMerge w:val="continue"/>
            <w:tcBorders>
              <w:tl2br w:val="nil"/>
              <w:tr2bl w:val="nil"/>
            </w:tcBorders>
            <w:vAlign w:val="center"/>
          </w:tcPr>
          <w:p>
            <w:pPr>
              <w:spacing w:line="240" w:lineRule="auto"/>
              <w:ind w:firstLine="420"/>
              <w:rPr>
                <w:rFonts w:hint="default" w:ascii="Times New Roman" w:hAnsi="Times New Roman" w:cs="Times New Roman"/>
                <w:bCs/>
                <w:color w:val="auto"/>
                <w:sz w:val="21"/>
                <w:szCs w:val="21"/>
              </w:rPr>
            </w:pPr>
          </w:p>
        </w:tc>
        <w:tc>
          <w:tcPr>
            <w:tcW w:w="1553" w:type="dxa"/>
            <w:tcBorders>
              <w:tl2br w:val="nil"/>
              <w:tr2bl w:val="nil"/>
            </w:tcBorders>
            <w:vAlign w:val="center"/>
          </w:tcPr>
          <w:p>
            <w:pPr>
              <w:spacing w:line="240" w:lineRule="auto"/>
              <w:ind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资源利用上线</w:t>
            </w:r>
          </w:p>
        </w:tc>
        <w:tc>
          <w:tcPr>
            <w:tcW w:w="3850" w:type="dxa"/>
            <w:tcBorders>
              <w:tl2br w:val="nil"/>
              <w:tr2bl w:val="nil"/>
            </w:tcBorders>
            <w:vAlign w:val="center"/>
          </w:tcPr>
          <w:p>
            <w:pPr>
              <w:spacing w:line="240" w:lineRule="auto"/>
              <w:ind w:firstLine="42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项目产生废水经场区污水处理站处理后用于附近农田肥田，使资源综合利用</w:t>
            </w:r>
          </w:p>
        </w:tc>
        <w:tc>
          <w:tcPr>
            <w:tcW w:w="729" w:type="dxa"/>
            <w:tcBorders>
              <w:tl2br w:val="nil"/>
              <w:tr2bl w:val="nil"/>
            </w:tcBorders>
            <w:vAlign w:val="center"/>
          </w:tcPr>
          <w:p>
            <w:pPr>
              <w:spacing w:line="240" w:lineRule="auto"/>
              <w:ind w:firstLine="0" w:firstLineChars="0"/>
              <w:rPr>
                <w:rFonts w:hint="default" w:ascii="Times New Roman" w:hAnsi="Times New Roman" w:cs="Times New Roman"/>
                <w:bCs/>
                <w:color w:val="auto"/>
                <w:sz w:val="21"/>
                <w:szCs w:val="21"/>
              </w:rPr>
            </w:pPr>
          </w:p>
          <w:p>
            <w:pPr>
              <w:spacing w:line="240" w:lineRule="auto"/>
              <w:ind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11" w:type="dxa"/>
            <w:vMerge w:val="continue"/>
            <w:tcBorders>
              <w:tl2br w:val="nil"/>
              <w:tr2bl w:val="nil"/>
            </w:tcBorders>
            <w:vAlign w:val="center"/>
          </w:tcPr>
          <w:p>
            <w:pPr>
              <w:spacing w:line="240" w:lineRule="auto"/>
              <w:ind w:firstLine="420"/>
              <w:rPr>
                <w:rFonts w:hint="default" w:ascii="Times New Roman" w:hAnsi="Times New Roman" w:cs="Times New Roman"/>
                <w:bCs/>
                <w:color w:val="auto"/>
                <w:sz w:val="21"/>
                <w:szCs w:val="21"/>
              </w:rPr>
            </w:pPr>
          </w:p>
        </w:tc>
        <w:tc>
          <w:tcPr>
            <w:tcW w:w="1553" w:type="dxa"/>
            <w:tcBorders>
              <w:tl2br w:val="nil"/>
              <w:tr2bl w:val="nil"/>
            </w:tcBorders>
            <w:vAlign w:val="center"/>
          </w:tcPr>
          <w:p>
            <w:pPr>
              <w:spacing w:line="240" w:lineRule="auto"/>
              <w:ind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环境准入负面清单</w:t>
            </w:r>
          </w:p>
        </w:tc>
        <w:tc>
          <w:tcPr>
            <w:tcW w:w="3850" w:type="dxa"/>
            <w:tcBorders>
              <w:tl2br w:val="nil"/>
              <w:tr2bl w:val="nil"/>
            </w:tcBorders>
            <w:vAlign w:val="center"/>
          </w:tcPr>
          <w:p>
            <w:pPr>
              <w:spacing w:line="240" w:lineRule="auto"/>
              <w:ind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项目属于养殖业，养殖区距离周围村庄500米以上，不在禁养区和限养区，符合国家及地方各项产业政策</w:t>
            </w:r>
          </w:p>
        </w:tc>
        <w:tc>
          <w:tcPr>
            <w:tcW w:w="729" w:type="dxa"/>
            <w:tcBorders>
              <w:tl2br w:val="nil"/>
              <w:tr2bl w:val="nil"/>
            </w:tcBorders>
            <w:vAlign w:val="center"/>
          </w:tcPr>
          <w:p>
            <w:pPr>
              <w:spacing w:line="240" w:lineRule="auto"/>
              <w:ind w:firstLine="0" w:firstLineChars="0"/>
              <w:rPr>
                <w:rFonts w:hint="default" w:ascii="Times New Roman" w:hAnsi="Times New Roman" w:cs="Times New Roman"/>
                <w:bCs/>
                <w:color w:val="auto"/>
                <w:sz w:val="21"/>
                <w:szCs w:val="21"/>
              </w:rPr>
            </w:pPr>
          </w:p>
          <w:p>
            <w:pPr>
              <w:spacing w:line="240" w:lineRule="auto"/>
              <w:ind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符合</w:t>
            </w:r>
          </w:p>
        </w:tc>
      </w:tr>
    </w:tbl>
    <w:p>
      <w:pPr>
        <w:pStyle w:val="5"/>
        <w:numPr>
          <w:ilvl w:val="2"/>
          <w:numId w:val="0"/>
        </w:numPr>
        <w:rPr>
          <w:rFonts w:hint="default" w:ascii="Times New Roman" w:hAnsi="Times New Roman" w:cs="Times New Roman"/>
          <w:color w:val="auto"/>
          <w:lang w:val="en-US"/>
        </w:rPr>
      </w:pPr>
      <w:r>
        <w:rPr>
          <w:rFonts w:hint="default" w:ascii="Times New Roman" w:hAnsi="Times New Roman" w:cs="Times New Roman"/>
          <w:color w:val="auto"/>
          <w:lang w:val="en-US"/>
        </w:rPr>
        <w:t>2.7.4 与《关于深化建设项目环境影响评价审批制度改革及优化建设项目“三同时”管理工作的实施细则（试行）》（濮环【2015】34号）的相符性分析</w:t>
      </w:r>
    </w:p>
    <w:p>
      <w:pPr>
        <w:pStyle w:val="24"/>
        <w:adjustRightInd/>
        <w:snapToGrid/>
        <w:spacing w:after="0" w:line="360" w:lineRule="auto"/>
        <w:ind w:left="0" w:leftChars="0" w:firstLine="48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 xml:space="preserve">按照《河南省环境保护厅关于深化建设项目环境影响评价审批制度改革的实施细则》（豫环文〔2015 〕33 号）及《河南省环境环保厅关于进一步优化建设项目“三同时”管理工作的通知》（豫环〔2014 〕207 号）文件要求，濮阳市制定了 《关于深化建设项目环境影响评价审批制度改革及优化建设项目“三同时”管理工作的实施细则（试行）》（以下简称《细则》）。本项目与《实施细则》对比情况详见表2.7-2。 </w:t>
      </w:r>
    </w:p>
    <w:p>
      <w:pPr>
        <w:adjustRightInd/>
        <w:snapToGrid/>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表2.7-2  本项目与实施细则对比情况一览表</w:t>
      </w:r>
    </w:p>
    <w:tbl>
      <w:tblPr>
        <w:tblStyle w:val="26"/>
        <w:tblW w:w="894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023"/>
        <w:gridCol w:w="4786"/>
        <w:gridCol w:w="1166"/>
        <w:gridCol w:w="125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18" w:type="dxa"/>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类别</w:t>
            </w:r>
          </w:p>
        </w:tc>
        <w:tc>
          <w:tcPr>
            <w:tcW w:w="5809" w:type="dxa"/>
            <w:gridSpan w:val="2"/>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实施细则中相关规定</w:t>
            </w:r>
          </w:p>
        </w:tc>
        <w:tc>
          <w:tcPr>
            <w:tcW w:w="1166" w:type="dxa"/>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对照情况</w:t>
            </w:r>
          </w:p>
        </w:tc>
        <w:tc>
          <w:tcPr>
            <w:tcW w:w="1253" w:type="dxa"/>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结论/备注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718" w:type="dxa"/>
            <w:vMerge w:val="restart"/>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主体功能区分区</w:t>
            </w:r>
          </w:p>
        </w:tc>
        <w:tc>
          <w:tcPr>
            <w:tcW w:w="1023" w:type="dxa"/>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农产品主产区</w:t>
            </w:r>
          </w:p>
        </w:tc>
        <w:tc>
          <w:tcPr>
            <w:tcW w:w="4786" w:type="dxa"/>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清丰县、南乐县、范县、台前县（除工业准入优先区、城市人居功能区及禁止开发区域以外范围））</w:t>
            </w:r>
          </w:p>
        </w:tc>
        <w:tc>
          <w:tcPr>
            <w:tcW w:w="1166" w:type="dxa"/>
            <w:vMerge w:val="restart"/>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本项目位于清丰县韩村镇杨韩村北</w:t>
            </w:r>
          </w:p>
        </w:tc>
        <w:tc>
          <w:tcPr>
            <w:tcW w:w="1253" w:type="dxa"/>
            <w:tcBorders>
              <w:tl2br w:val="nil"/>
              <w:tr2bl w:val="nil"/>
            </w:tcBorders>
            <w:vAlign w:val="center"/>
          </w:tcPr>
          <w:p>
            <w:pPr>
              <w:pStyle w:val="24"/>
              <w:adjustRightInd/>
              <w:snapToGrid/>
              <w:spacing w:after="0" w:line="240" w:lineRule="exact"/>
              <w:ind w:left="0" w:leftChars="0" w:firstLine="0" w:firstLineChars="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项目选址属于农产品主产区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718" w:type="dxa"/>
            <w:vMerge w:val="continue"/>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cs="Times New Roman"/>
                <w:bCs/>
                <w:color w:val="auto"/>
                <w:sz w:val="21"/>
                <w:szCs w:val="21"/>
              </w:rPr>
            </w:pPr>
          </w:p>
        </w:tc>
        <w:tc>
          <w:tcPr>
            <w:tcW w:w="1023" w:type="dxa"/>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重点生态功能区</w:t>
            </w:r>
          </w:p>
        </w:tc>
        <w:tc>
          <w:tcPr>
            <w:tcW w:w="4786" w:type="dxa"/>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开发区：胡村乡、王助乡、华龙区：孟轲乡、岳村乡；濮阳县：城关镇、子岸乡、五星集、渠村乡；清丰县：城关镇；南乐县：城关镇；范县：城关镇、辛庄、濮城镇、王楼乡；台前县：城关镇。</w:t>
            </w:r>
          </w:p>
        </w:tc>
        <w:tc>
          <w:tcPr>
            <w:tcW w:w="1166" w:type="dxa"/>
            <w:vMerge w:val="continue"/>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cs="Times New Roman"/>
                <w:bCs/>
                <w:color w:val="auto"/>
                <w:sz w:val="21"/>
                <w:szCs w:val="21"/>
              </w:rPr>
            </w:pPr>
          </w:p>
        </w:tc>
        <w:tc>
          <w:tcPr>
            <w:tcW w:w="1253" w:type="dxa"/>
            <w:tcBorders>
              <w:tl2br w:val="nil"/>
              <w:tr2bl w:val="nil"/>
            </w:tcBorders>
            <w:vAlign w:val="center"/>
          </w:tcPr>
          <w:p>
            <w:pPr>
              <w:pStyle w:val="24"/>
              <w:adjustRightInd/>
              <w:snapToGrid/>
              <w:spacing w:after="0" w:line="240" w:lineRule="exact"/>
              <w:ind w:left="0" w:leftChars="0"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项目选址不属于重点生态功能区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4" w:hRule="atLeast"/>
          <w:jc w:val="center"/>
        </w:trPr>
        <w:tc>
          <w:tcPr>
            <w:tcW w:w="718" w:type="dxa"/>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所属污染防控单元</w:t>
            </w:r>
          </w:p>
        </w:tc>
        <w:tc>
          <w:tcPr>
            <w:tcW w:w="5809" w:type="dxa"/>
            <w:gridSpan w:val="2"/>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水污染防治重点单元 （ 华龙区、开发区、工业园区、市城乡一体化示范区、濮阳县、清丰县、南乐县、范县、台前县））、大气污染防治重点单元（ 濮阳市城市建成区 （ 包括西部开发区、 市城乡一体化示范区、华龙区、东部工业园区建成区部分）） ，各县县城建成区及其主导风向上方向10 公里以内区域））、重金属污染防控单元（全市范围内 ）</w:t>
            </w:r>
          </w:p>
        </w:tc>
        <w:tc>
          <w:tcPr>
            <w:tcW w:w="1166" w:type="dxa"/>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项目选址在清丰县韩村镇杨韩村北</w:t>
            </w:r>
          </w:p>
        </w:tc>
        <w:tc>
          <w:tcPr>
            <w:tcW w:w="1253" w:type="dxa"/>
            <w:tcBorders>
              <w:tl2br w:val="nil"/>
              <w:tr2bl w:val="nil"/>
            </w:tcBorders>
            <w:vAlign w:val="center"/>
          </w:tcPr>
          <w:p>
            <w:pPr>
              <w:pStyle w:val="24"/>
              <w:adjustRightInd/>
              <w:snapToGrid/>
              <w:spacing w:after="0" w:line="240" w:lineRule="exact"/>
              <w:ind w:left="0" w:leftChars="0"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属于</w:t>
            </w:r>
            <w:r>
              <w:rPr>
                <w:rFonts w:hint="default" w:ascii="Times New Roman" w:hAnsi="Times New Roman" w:eastAsia="宋体" w:cs="Times New Roman"/>
                <w:bCs/>
                <w:color w:val="auto"/>
                <w:sz w:val="21"/>
                <w:szCs w:val="21"/>
                <w:lang w:eastAsia="zh-CN"/>
              </w:rPr>
              <w:t>水污染</w:t>
            </w:r>
            <w:r>
              <w:rPr>
                <w:rFonts w:hint="default" w:ascii="Times New Roman" w:hAnsi="Times New Roman" w:eastAsia="宋体" w:cs="Times New Roman"/>
                <w:bCs/>
                <w:color w:val="auto"/>
                <w:sz w:val="21"/>
                <w:szCs w:val="21"/>
              </w:rPr>
              <w:t>防治重点单元、重金属污染防治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1" w:hRule="atLeast"/>
          <w:jc w:val="center"/>
        </w:trPr>
        <w:tc>
          <w:tcPr>
            <w:tcW w:w="718" w:type="dxa"/>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农产品主产区环境准入政策</w:t>
            </w:r>
          </w:p>
        </w:tc>
        <w:tc>
          <w:tcPr>
            <w:tcW w:w="5809" w:type="dxa"/>
            <w:gridSpan w:val="2"/>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1、不予审批《工业项目分类清单》中三类工业的新建项目和涉及重金属、持久性有机污染物排放等目影响粮食生产安全的二类工业新建项目（ 矿产资源点状开发项目和符合我省重大产业布局的项目除外））。</w:t>
            </w:r>
          </w:p>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2、在属于《水污染防治重点单元》的区域内，不予审批屠宰、酿造、含发酵工艺的粮食加工等废水排放量大项目。</w:t>
            </w:r>
          </w:p>
        </w:tc>
        <w:tc>
          <w:tcPr>
            <w:tcW w:w="1166" w:type="dxa"/>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不属于</w:t>
            </w:r>
          </w:p>
        </w:tc>
        <w:tc>
          <w:tcPr>
            <w:tcW w:w="1253" w:type="dxa"/>
            <w:tcBorders>
              <w:tl2br w:val="nil"/>
              <w:tr2bl w:val="nil"/>
            </w:tcBorders>
            <w:vAlign w:val="center"/>
          </w:tcPr>
          <w:p>
            <w:pPr>
              <w:pStyle w:val="24"/>
              <w:adjustRightInd/>
              <w:snapToGrid/>
              <w:spacing w:after="0" w:line="240" w:lineRule="exact"/>
              <w:ind w:left="0" w:leftChars="0" w:firstLine="0" w:firstLineChars="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项目不属于农产品主产区不予审批项目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718" w:type="dxa"/>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重点生态功能区环境准入政策</w:t>
            </w:r>
          </w:p>
        </w:tc>
        <w:tc>
          <w:tcPr>
            <w:tcW w:w="5809" w:type="dxa"/>
            <w:gridSpan w:val="2"/>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不予审批《工业项目分类清单 》中二类、三类工业项目（矿产资源点状开发项目和符合我省重大产业布局的项目除外））。</w:t>
            </w:r>
          </w:p>
        </w:tc>
        <w:tc>
          <w:tcPr>
            <w:tcW w:w="1166" w:type="dxa"/>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不属于</w:t>
            </w:r>
          </w:p>
        </w:tc>
        <w:tc>
          <w:tcPr>
            <w:tcW w:w="1253" w:type="dxa"/>
            <w:tcBorders>
              <w:tl2br w:val="nil"/>
              <w:tr2bl w:val="nil"/>
            </w:tcBorders>
            <w:vAlign w:val="center"/>
          </w:tcPr>
          <w:p>
            <w:pPr>
              <w:pStyle w:val="24"/>
              <w:adjustRightInd/>
              <w:snapToGrid/>
              <w:spacing w:after="0" w:line="240" w:lineRule="exact"/>
              <w:ind w:left="0" w:leftChars="0"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项目不属于重点生态功能区不予审项目</w:t>
            </w:r>
          </w:p>
        </w:tc>
      </w:tr>
    </w:tbl>
    <w:p>
      <w:pPr>
        <w:pStyle w:val="24"/>
        <w:adjustRightInd/>
        <w:snapToGrid/>
        <w:spacing w:after="0" w:line="360" w:lineRule="auto"/>
        <w:ind w:left="0" w:leftChars="0" w:firstLine="48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由上表可知，项目选址位于农产品主产区和重点生态功能区，项目建设符合农产品主产区和重点生态功能区环境准入政策。</w:t>
      </w:r>
    </w:p>
    <w:p>
      <w:pPr>
        <w:pStyle w:val="5"/>
        <w:numPr>
          <w:ilvl w:val="2"/>
          <w:numId w:val="0"/>
        </w:numPr>
        <w:rPr>
          <w:rFonts w:hint="default" w:ascii="Times New Roman" w:hAnsi="Times New Roman" w:eastAsia="宋体" w:cs="Times New Roman"/>
          <w:color w:val="auto"/>
          <w:lang w:val="en-US"/>
        </w:rPr>
      </w:pPr>
      <w:bookmarkStart w:id="177" w:name="_Toc8387"/>
      <w:r>
        <w:rPr>
          <w:rFonts w:hint="default" w:ascii="Times New Roman" w:hAnsi="Times New Roman" w:cs="Times New Roman"/>
          <w:color w:val="auto"/>
          <w:lang w:val="en-US"/>
        </w:rPr>
        <w:t>2.7.5 与</w:t>
      </w:r>
      <w:r>
        <w:rPr>
          <w:rFonts w:hint="default" w:ascii="Times New Roman" w:hAnsi="Times New Roman" w:cs="Times New Roman"/>
          <w:color w:val="auto"/>
        </w:rPr>
        <w:t>《动物防疫条件审查办法》（农业部令</w:t>
      </w:r>
      <w:r>
        <w:rPr>
          <w:rFonts w:hint="default" w:ascii="Times New Roman" w:hAnsi="Times New Roman" w:cs="Times New Roman"/>
          <w:color w:val="auto"/>
          <w:lang w:val="en-US"/>
        </w:rPr>
        <w:t>2010年第7号</w:t>
      </w:r>
      <w:r>
        <w:rPr>
          <w:rFonts w:hint="default" w:ascii="Times New Roman" w:hAnsi="Times New Roman" w:cs="Times New Roman"/>
          <w:color w:val="auto"/>
        </w:rPr>
        <w:t>）相符性分析</w:t>
      </w:r>
    </w:p>
    <w:p>
      <w:pPr>
        <w:ind w:firstLine="480"/>
        <w:rPr>
          <w:rFonts w:hint="default" w:ascii="Times New Roman" w:hAnsi="Times New Roman" w:cs="Times New Roman"/>
          <w:bCs/>
          <w:color w:val="auto"/>
        </w:rPr>
      </w:pPr>
      <w:r>
        <w:rPr>
          <w:rFonts w:hint="default" w:ascii="Times New Roman" w:hAnsi="Times New Roman" w:cs="Times New Roman"/>
          <w:bCs/>
          <w:color w:val="auto"/>
        </w:rPr>
        <w:t>为了规范动物防疫条件审查，有效预防控制动物疫病，维护公共卫生安全，根据《中华人民共和国动物防疫法》，农业部制定本办法。动物饲养场、养殖小区、动物隔离场所、动物屠宰加工场所以及动物和动物产品无害化处理场所，应当符合本办法规定的动物防疫条件，本项目属于母猪养殖项目，应满足动物饲养场、养殖小区动物防疫条件。</w:t>
      </w:r>
    </w:p>
    <w:p>
      <w:pPr>
        <w:ind w:firstLine="0" w:firstLineChars="0"/>
        <w:jc w:val="center"/>
        <w:rPr>
          <w:rFonts w:hint="default" w:ascii="Times New Roman" w:hAnsi="Times New Roman" w:cs="Times New Roman"/>
          <w:b/>
          <w:color w:val="auto"/>
        </w:rPr>
      </w:pPr>
      <w:r>
        <w:rPr>
          <w:rFonts w:hint="default" w:ascii="Times New Roman" w:hAnsi="Times New Roman" w:cs="Times New Roman"/>
          <w:b/>
          <w:color w:val="auto"/>
        </w:rPr>
        <w:t>表 2.7-3    本项目与动物防疫条件审查办法相符性分析</w:t>
      </w:r>
    </w:p>
    <w:tbl>
      <w:tblPr>
        <w:tblStyle w:val="26"/>
        <w:tblW w:w="893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96"/>
        <w:gridCol w:w="2113"/>
        <w:gridCol w:w="72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96" w:type="dxa"/>
            <w:tcBorders>
              <w:tl2br w:val="nil"/>
              <w:tr2bl w:val="nil"/>
            </w:tcBorders>
            <w:vAlign w:val="center"/>
          </w:tcPr>
          <w:p>
            <w:pPr>
              <w:spacing w:line="320" w:lineRule="exact"/>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动物饲养场、养殖小区动物防疫条件</w:t>
            </w:r>
          </w:p>
        </w:tc>
        <w:tc>
          <w:tcPr>
            <w:tcW w:w="2113" w:type="dxa"/>
            <w:tcBorders>
              <w:tl2br w:val="nil"/>
              <w:tr2bl w:val="nil"/>
            </w:tcBorders>
            <w:vAlign w:val="center"/>
          </w:tcPr>
          <w:p>
            <w:pPr>
              <w:spacing w:line="320" w:lineRule="exact"/>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本项目情况</w:t>
            </w:r>
          </w:p>
        </w:tc>
        <w:tc>
          <w:tcPr>
            <w:tcW w:w="721"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96"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kern w:val="10"/>
                <w:sz w:val="21"/>
                <w:szCs w:val="21"/>
              </w:rPr>
            </w:pPr>
            <w:r>
              <w:rPr>
                <w:rFonts w:hint="default" w:ascii="Times New Roman" w:hAnsi="Times New Roman" w:cs="Times New Roman"/>
                <w:color w:val="auto"/>
                <w:kern w:val="10"/>
                <w:sz w:val="21"/>
                <w:szCs w:val="21"/>
              </w:rPr>
              <w:t>动物饲养场、养殖小区选址应当符合下列条件：（一）距离生活饮用水源地、动物屠宰加工场所、动物和动物产品集贸市场500米以上；距离种畜禽场1000米以上；距离动物诊疗场所200米以上；动物饲养场（养殖小区）之间距离不少于500米；（二）距离动物隔离场所、无害化处理场所3000米以上；（三）距离城镇居民区、文化教育科研等人口集中区域及公路、铁路等主要交通干线500米以上</w:t>
            </w:r>
          </w:p>
        </w:tc>
        <w:tc>
          <w:tcPr>
            <w:tcW w:w="2113"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kern w:val="10"/>
                <w:sz w:val="21"/>
                <w:szCs w:val="21"/>
              </w:rPr>
            </w:pPr>
            <w:r>
              <w:rPr>
                <w:rFonts w:hint="default" w:ascii="Times New Roman" w:hAnsi="Times New Roman" w:cs="Times New Roman"/>
                <w:color w:val="auto"/>
                <w:kern w:val="10"/>
                <w:sz w:val="21"/>
                <w:szCs w:val="21"/>
              </w:rPr>
              <w:t>项目</w:t>
            </w:r>
            <w:r>
              <w:rPr>
                <w:rFonts w:hint="default" w:ascii="Times New Roman" w:hAnsi="Times New Roman" w:cs="Times New Roman"/>
                <w:color w:val="auto"/>
                <w:sz w:val="21"/>
                <w:szCs w:val="21"/>
              </w:rPr>
              <w:t>距离清丰县韩村镇地下水井(共1眼井)保护区1.7km，距离G45约650m，周边不涉及</w:t>
            </w:r>
            <w:r>
              <w:rPr>
                <w:rFonts w:hint="default" w:ascii="Times New Roman" w:hAnsi="Times New Roman" w:cs="Times New Roman"/>
                <w:color w:val="auto"/>
                <w:kern w:val="10"/>
                <w:sz w:val="21"/>
                <w:szCs w:val="21"/>
              </w:rPr>
              <w:t>动物屠宰加工场所、动物和动物产品集贸市场等</w:t>
            </w:r>
          </w:p>
        </w:tc>
        <w:tc>
          <w:tcPr>
            <w:tcW w:w="721"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kern w:val="10"/>
                <w:sz w:val="21"/>
                <w:szCs w:val="21"/>
              </w:rPr>
            </w:pPr>
            <w:r>
              <w:rPr>
                <w:rFonts w:hint="default" w:ascii="Times New Roman" w:hAnsi="Times New Roman" w:cs="Times New Roman"/>
                <w:bCs/>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96"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kern w:val="10"/>
                <w:sz w:val="21"/>
                <w:szCs w:val="21"/>
              </w:rPr>
            </w:pPr>
            <w:r>
              <w:rPr>
                <w:rFonts w:hint="default" w:ascii="Times New Roman" w:hAnsi="Times New Roman" w:cs="Times New Roman"/>
                <w:color w:val="auto"/>
                <w:kern w:val="10"/>
                <w:sz w:val="21"/>
                <w:szCs w:val="21"/>
              </w:rPr>
              <w:t>动物饲养场、养殖小区布局应当符合下列条件：（一）场区周围建有围墙；（二）场区出入口处设置与门同宽，长4米、深0.3米以上的消毒池；（三）生产区与生活办公区分开，并有隔离设施；（四）生产区入口处设置更衣消毒室，各养殖栋舍出入口设置消毒池或者消毒垫； （五）生产区内清洁道、污染道分设；（六）生产区内各养殖栋舍之间距离在5米以上或者有隔离设施。禽类饲养场、养殖小区内的孵化间与养殖区之间应当设置隔离设施，并配备种蛋熏蒸消毒设施，孵化间的流程应当单向，不得交叉或者回流。</w:t>
            </w:r>
          </w:p>
        </w:tc>
        <w:tc>
          <w:tcPr>
            <w:tcW w:w="2113"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kern w:val="10"/>
                <w:sz w:val="21"/>
                <w:szCs w:val="21"/>
              </w:rPr>
            </w:pPr>
            <w:r>
              <w:rPr>
                <w:rFonts w:hint="default" w:ascii="Times New Roman" w:hAnsi="Times New Roman" w:cs="Times New Roman"/>
                <w:color w:val="auto"/>
                <w:kern w:val="10"/>
                <w:sz w:val="21"/>
                <w:szCs w:val="21"/>
              </w:rPr>
              <w:t>项目设有消毒池和更衣消毒室，生活区位于厂区南侧，与生产区隔离</w:t>
            </w:r>
          </w:p>
        </w:tc>
        <w:tc>
          <w:tcPr>
            <w:tcW w:w="721"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kern w:val="10"/>
                <w:sz w:val="21"/>
                <w:szCs w:val="21"/>
              </w:rPr>
            </w:pPr>
            <w:r>
              <w:rPr>
                <w:rFonts w:hint="default" w:ascii="Times New Roman" w:hAnsi="Times New Roman" w:cs="Times New Roman"/>
                <w:bCs/>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96"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kern w:val="10"/>
                <w:sz w:val="21"/>
                <w:szCs w:val="21"/>
              </w:rPr>
            </w:pPr>
            <w:r>
              <w:rPr>
                <w:rFonts w:hint="default" w:ascii="Times New Roman" w:hAnsi="Times New Roman" w:cs="Times New Roman"/>
                <w:color w:val="auto"/>
                <w:kern w:val="10"/>
                <w:sz w:val="21"/>
                <w:szCs w:val="21"/>
              </w:rPr>
              <w:t>动物饲养场、养殖小区应当具有下列设施设备：（一）生产区有良好的采光、通风设施设备；（二）圈舍地面和墙壁选用适宜材料，以便清洗消毒；（三）配备疫苗冷冻（冷藏）设备、消毒和诊疗等防疫设备的兽医室，或者有兽医机构为其提供相应服务；（四）有与生产规模相适应的无害化处理、污水污物处理设施设备；（五）有相对独立的引入动物隔离舍和患病动物隔离舍。</w:t>
            </w:r>
          </w:p>
        </w:tc>
        <w:tc>
          <w:tcPr>
            <w:tcW w:w="2113"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kern w:val="10"/>
                <w:sz w:val="21"/>
                <w:szCs w:val="21"/>
              </w:rPr>
            </w:pPr>
            <w:r>
              <w:rPr>
                <w:rFonts w:hint="default" w:ascii="Times New Roman" w:hAnsi="Times New Roman" w:cs="Times New Roman"/>
                <w:color w:val="auto"/>
                <w:kern w:val="10"/>
                <w:sz w:val="21"/>
                <w:szCs w:val="21"/>
              </w:rPr>
              <w:t>厂区设置有污水处理站、无害化处理设备</w:t>
            </w:r>
          </w:p>
        </w:tc>
        <w:tc>
          <w:tcPr>
            <w:tcW w:w="721" w:type="dxa"/>
            <w:tcBorders>
              <w:tl2br w:val="nil"/>
              <w:tr2bl w:val="nil"/>
            </w:tcBorders>
            <w:vAlign w:val="center"/>
          </w:tcPr>
          <w:p>
            <w:pPr>
              <w:spacing w:line="320" w:lineRule="exact"/>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相符</w:t>
            </w:r>
          </w:p>
        </w:tc>
      </w:tr>
    </w:tbl>
    <w:p>
      <w:pPr>
        <w:pStyle w:val="5"/>
        <w:numPr>
          <w:ilvl w:val="2"/>
          <w:numId w:val="0"/>
        </w:numPr>
        <w:rPr>
          <w:rFonts w:hint="default" w:ascii="Times New Roman" w:hAnsi="Times New Roman" w:cs="Times New Roman"/>
          <w:color w:val="auto"/>
          <w:lang w:val="en-US"/>
        </w:rPr>
      </w:pPr>
      <w:r>
        <w:rPr>
          <w:rFonts w:hint="default" w:ascii="Times New Roman" w:hAnsi="Times New Roman" w:cs="Times New Roman"/>
          <w:color w:val="auto"/>
          <w:lang w:val="en-US"/>
        </w:rPr>
        <w:t>2.7.6场址选择的基本要求</w:t>
      </w:r>
      <w:bookmarkEnd w:id="177"/>
    </w:p>
    <w:p>
      <w:pPr>
        <w:spacing w:line="240" w:lineRule="auto"/>
        <w:ind w:firstLine="0" w:firstLineChars="0"/>
        <w:jc w:val="center"/>
        <w:rPr>
          <w:rFonts w:hint="default" w:ascii="Times New Roman" w:hAnsi="Times New Roman" w:cs="Times New Roman"/>
          <w:b/>
          <w:bCs/>
          <w:color w:val="auto"/>
        </w:rPr>
      </w:pPr>
      <w:bookmarkStart w:id="178" w:name="_Toc18517"/>
      <w:bookmarkStart w:id="179" w:name="_Toc13183_WPSOffice_Level1"/>
      <w:r>
        <w:rPr>
          <w:rFonts w:hint="default" w:ascii="Times New Roman" w:hAnsi="Times New Roman" w:cs="Times New Roman"/>
          <w:b/>
          <w:bCs/>
          <w:color w:val="auto"/>
        </w:rPr>
        <w:t>表 2.7-4   场址选择的基本要求及本项目的相符性分析一览表</w:t>
      </w:r>
      <w:bookmarkEnd w:id="178"/>
      <w:bookmarkEnd w:id="179"/>
    </w:p>
    <w:tbl>
      <w:tblPr>
        <w:tblStyle w:val="26"/>
        <w:tblW w:w="902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4199"/>
        <w:gridCol w:w="2850"/>
        <w:gridCol w:w="7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20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类 别  </w:t>
            </w:r>
          </w:p>
        </w:tc>
        <w:tc>
          <w:tcPr>
            <w:tcW w:w="419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相关要求</w:t>
            </w:r>
          </w:p>
        </w:tc>
        <w:tc>
          <w:tcPr>
            <w:tcW w:w="285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本项目基本情况</w:t>
            </w:r>
          </w:p>
        </w:tc>
        <w:tc>
          <w:tcPr>
            <w:tcW w:w="76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4" w:hRule="atLeast"/>
          <w:jc w:val="center"/>
        </w:trPr>
        <w:tc>
          <w:tcPr>
            <w:tcW w:w="1205"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1、《畜禽养殖业污染防治技术规范》（HJ/T81-2001）</w:t>
            </w:r>
          </w:p>
        </w:tc>
        <w:tc>
          <w:tcPr>
            <w:tcW w:w="4199" w:type="dxa"/>
            <w:tcBorders>
              <w:tl2br w:val="nil"/>
              <w:tr2bl w:val="nil"/>
            </w:tcBorders>
            <w:vAlign w:val="center"/>
          </w:tcPr>
          <w:p>
            <w:pPr>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集中饮用水水源保护区。</w:t>
            </w:r>
          </w:p>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1．生活饮用水水源保护区、风景名胜区、自然保护区的核心区及缓冲区500米范围内。</w:t>
            </w:r>
          </w:p>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2.城市和城镇居民区，包括文教科研区、医疗区、商业区、工业区、游览区等人口集中地区500米范围内。</w:t>
            </w:r>
          </w:p>
          <w:p>
            <w:pPr>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3．法律、法规规定的其它禁养</w:t>
            </w:r>
          </w:p>
        </w:tc>
        <w:tc>
          <w:tcPr>
            <w:tcW w:w="285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本项目属于新建项目，不在规划的禁养区。本项目最近的敏感点为项目南侧510m处杨韩村，因此场址不在规定的禁建区范围。</w:t>
            </w:r>
          </w:p>
        </w:tc>
        <w:tc>
          <w:tcPr>
            <w:tcW w:w="76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20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4199" w:type="dxa"/>
            <w:tcBorders>
              <w:tl2br w:val="nil"/>
              <w:tr2bl w:val="nil"/>
            </w:tcBorders>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畜禽粪便的贮存设施位置必须远离各类功能地表水体（距离不得小400m），并应设在养殖场生产及生活管理区的常年主导风向的下风向或侧风向处。</w:t>
            </w:r>
          </w:p>
        </w:tc>
        <w:tc>
          <w:tcPr>
            <w:tcW w:w="285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76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20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2、中华人民共和国畜牧法（第四十五号令）</w:t>
            </w:r>
          </w:p>
        </w:tc>
        <w:tc>
          <w:tcPr>
            <w:tcW w:w="4199" w:type="dxa"/>
            <w:tcBorders>
              <w:tl2br w:val="nil"/>
              <w:tr2bl w:val="nil"/>
            </w:tcBorders>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禁止在下列区域内建设畜禽养殖场、养殖小区：</w:t>
            </w:r>
          </w:p>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1、生活饮用水的水源保护区，风景名胜区，以及自然保护区的核心区和缓冲区；</w:t>
            </w:r>
          </w:p>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2、城镇居民区、文化教育科学研究区等人口集中区域；</w:t>
            </w:r>
          </w:p>
          <w:p>
            <w:pPr>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3、法律、法规规定的其他禁养区域。</w:t>
            </w:r>
          </w:p>
        </w:tc>
        <w:tc>
          <w:tcPr>
            <w:tcW w:w="2850" w:type="dxa"/>
            <w:tcBorders>
              <w:tl2br w:val="nil"/>
              <w:tr2bl w:val="nil"/>
            </w:tcBorders>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1、本项目不在生活饮用水的水源保护区，风景名胜区，以及自然保护区的核心区和缓冲区；2、本项目不在城镇居民区、文化教育科学研究区等人口集中区域。3、本项目不在法律、法规规定的其他禁养区域</w:t>
            </w:r>
          </w:p>
        </w:tc>
        <w:tc>
          <w:tcPr>
            <w:tcW w:w="76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4" w:hRule="atLeast"/>
          <w:jc w:val="center"/>
        </w:trPr>
        <w:tc>
          <w:tcPr>
            <w:tcW w:w="120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3、《河南省人民政府办公厅关于印发河南省县级集中式饮用水水源保护区划的通知》豫政办（2013）107号</w:t>
            </w:r>
          </w:p>
        </w:tc>
        <w:tc>
          <w:tcPr>
            <w:tcW w:w="4199" w:type="dxa"/>
            <w:tcBorders>
              <w:tl2br w:val="nil"/>
              <w:tr2bl w:val="nil"/>
            </w:tcBorders>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1.清丰县：清丰县八里庄地下水井群(共24眼井)。</w:t>
            </w:r>
          </w:p>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2.南乐县：南乐县自来水公司地下水井群(共13眼井)。</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3.范县：(1)范县新城区地下水井群(共8眼井)(2)范县老城区地下水井群(共2眼井)</w:t>
            </w:r>
          </w:p>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4.台前县：台前县马楼地下水井群(马楼乡黄河左岸，共16眼井)。</w:t>
            </w:r>
          </w:p>
        </w:tc>
        <w:tc>
          <w:tcPr>
            <w:tcW w:w="285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本项目位于韩村镇杨韩村北，不在饮用水源保护区范围内。</w:t>
            </w:r>
          </w:p>
        </w:tc>
        <w:tc>
          <w:tcPr>
            <w:tcW w:w="76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20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4、《河南省人民政府办公厅关于印发河南省乡镇集中式饮用水水源保护区划的通知》[豫政办〔2016〕23号]</w:t>
            </w:r>
          </w:p>
        </w:tc>
        <w:tc>
          <w:tcPr>
            <w:tcW w:w="419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清丰县韩村乡地下水井(共4眼井)：</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一级保护区范围：水厂厂区及外围30米的区域。</w:t>
            </w:r>
          </w:p>
          <w:p>
            <w:pPr>
              <w:spacing w:line="240" w:lineRule="auto"/>
              <w:ind w:firstLine="0" w:firstLineChars="0"/>
              <w:jc w:val="center"/>
              <w:rPr>
                <w:rFonts w:hint="default" w:ascii="Times New Roman" w:hAnsi="Times New Roman" w:cs="Times New Roman"/>
                <w:color w:val="auto"/>
                <w:sz w:val="21"/>
                <w:szCs w:val="21"/>
              </w:rPr>
            </w:pPr>
          </w:p>
        </w:tc>
        <w:tc>
          <w:tcPr>
            <w:tcW w:w="285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本项目位于韩村镇杨韩村北，其距离清丰县韩村乡地下水井（共4眼井，）保护区1.7km，位于该地下水井的</w:t>
            </w:r>
            <w:r>
              <w:rPr>
                <w:rFonts w:hint="default" w:ascii="Times New Roman" w:hAnsi="Times New Roman" w:cs="Times New Roman"/>
                <w:color w:val="auto"/>
                <w:sz w:val="21"/>
                <w:szCs w:val="21"/>
                <w:lang w:eastAsia="zh-CN"/>
              </w:rPr>
              <w:t>下游</w:t>
            </w:r>
            <w:r>
              <w:rPr>
                <w:rFonts w:hint="default" w:ascii="Times New Roman" w:hAnsi="Times New Roman" w:cs="Times New Roman"/>
                <w:color w:val="auto"/>
                <w:sz w:val="21"/>
                <w:szCs w:val="21"/>
              </w:rPr>
              <w:t>，项目不在饮用水水源保护区范围内。</w:t>
            </w:r>
          </w:p>
          <w:p>
            <w:pPr>
              <w:spacing w:line="240" w:lineRule="auto"/>
              <w:ind w:firstLine="0" w:firstLineChars="0"/>
              <w:jc w:val="both"/>
              <w:rPr>
                <w:rFonts w:hint="default" w:ascii="Times New Roman" w:hAnsi="Times New Roman" w:cs="Times New Roman"/>
                <w:color w:val="auto"/>
                <w:sz w:val="21"/>
                <w:szCs w:val="21"/>
              </w:rPr>
            </w:pPr>
          </w:p>
        </w:tc>
        <w:tc>
          <w:tcPr>
            <w:tcW w:w="76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bl>
    <w:p>
      <w:pPr>
        <w:pStyle w:val="5"/>
        <w:numPr>
          <w:ilvl w:val="2"/>
          <w:numId w:val="0"/>
        </w:numPr>
        <w:rPr>
          <w:rFonts w:hint="default" w:ascii="Times New Roman" w:hAnsi="Times New Roman" w:cs="Times New Roman"/>
          <w:color w:val="auto"/>
          <w:lang w:val="en-US"/>
        </w:rPr>
      </w:pPr>
      <w:r>
        <w:rPr>
          <w:rFonts w:hint="default" w:ascii="Times New Roman" w:hAnsi="Times New Roman" w:cs="Times New Roman"/>
          <w:color w:val="auto"/>
          <w:lang w:val="en-US"/>
        </w:rPr>
        <w:t>2.7.7 与《河南省环境保护厅关于矿山采选等三个行业生态影响类建设项目环境影响评价文件审查审批工作的通知》（豫环文</w:t>
      </w:r>
      <w:r>
        <w:rPr>
          <w:rFonts w:hint="default" w:ascii="Times New Roman" w:hAnsi="Times New Roman" w:eastAsia="宋体" w:cs="Times New Roman"/>
          <w:color w:val="auto"/>
          <w:lang w:val="en-US"/>
        </w:rPr>
        <w:t>[2016]245号</w:t>
      </w:r>
      <w:r>
        <w:rPr>
          <w:rFonts w:hint="default" w:ascii="Times New Roman" w:hAnsi="Times New Roman" w:cs="Times New Roman"/>
          <w:color w:val="auto"/>
          <w:lang w:val="en-US"/>
        </w:rPr>
        <w:t>）相符性分析</w:t>
      </w:r>
    </w:p>
    <w:p>
      <w:pPr>
        <w:ind w:firstLine="480"/>
        <w:rPr>
          <w:rFonts w:hint="default" w:ascii="Times New Roman" w:hAnsi="Times New Roman" w:cs="Times New Roman"/>
          <w:color w:val="auto"/>
        </w:rPr>
      </w:pPr>
      <w:r>
        <w:rPr>
          <w:rFonts w:hint="default" w:ascii="Times New Roman" w:hAnsi="Times New Roman" w:cs="Times New Roman"/>
          <w:color w:val="auto"/>
        </w:rPr>
        <w:t>为进一步规范生态影响类建设项目环境影响评价文件分级审批的审查审批工作，统一管理尺度，引导企业规范健康发展，河南省环境保护厅组织编制了矿山采选、畜禽养殖、旅游开发等三个行业建设项目环境影响评价文件审查审批原则要求(试行)。本项目为畜禽养殖项目，与本项目相关的文件为附件2河南省畜禽养殖建设项目环境影响评价文件审查审批原则要求(试行)。</w:t>
      </w:r>
    </w:p>
    <w:p>
      <w:pPr>
        <w:ind w:firstLine="480"/>
        <w:rPr>
          <w:rFonts w:hint="default" w:ascii="Times New Roman" w:hAnsi="Times New Roman" w:cs="Times New Roman"/>
          <w:color w:val="auto"/>
        </w:rPr>
      </w:pPr>
      <w:r>
        <w:rPr>
          <w:rFonts w:hint="default" w:ascii="Times New Roman" w:hAnsi="Times New Roman" w:cs="Times New Roman"/>
          <w:color w:val="auto"/>
        </w:rPr>
        <w:t>为规范河南省畜禽养殖项目合理布局、健康发展，结合河南省畜禽养殖业发展实际，在严格执行有关法律法规和产业政策的同时，对畜禽养殖项目环境影响评价提出如下审批原则，本次逐项进行对比，详见表2.7-5。</w:t>
      </w:r>
    </w:p>
    <w:p>
      <w:pPr>
        <w:ind w:firstLine="0" w:firstLineChars="0"/>
        <w:jc w:val="center"/>
        <w:rPr>
          <w:rFonts w:hint="default" w:ascii="Times New Roman" w:hAnsi="Times New Roman" w:cs="Times New Roman"/>
          <w:b/>
          <w:bCs/>
          <w:color w:val="auto"/>
          <w:sz w:val="22"/>
          <w:szCs w:val="22"/>
        </w:rPr>
      </w:pPr>
      <w:r>
        <w:rPr>
          <w:rFonts w:hint="default" w:ascii="Times New Roman" w:hAnsi="Times New Roman" w:cs="Times New Roman"/>
          <w:b/>
          <w:bCs/>
          <w:color w:val="auto"/>
          <w:sz w:val="22"/>
          <w:szCs w:val="22"/>
        </w:rPr>
        <w:t>表2.7-5 河南省畜禽养殖建设项目环境影响评价文件审查审批原则</w:t>
      </w:r>
    </w:p>
    <w:tbl>
      <w:tblPr>
        <w:tblStyle w:val="26"/>
        <w:tblW w:w="872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95"/>
        <w:gridCol w:w="4376"/>
        <w:gridCol w:w="2178"/>
        <w:gridCol w:w="68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5171" w:type="dxa"/>
            <w:gridSpan w:val="2"/>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审批原则</w:t>
            </w:r>
          </w:p>
        </w:tc>
        <w:tc>
          <w:tcPr>
            <w:tcW w:w="2178"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本项目情况</w:t>
            </w:r>
          </w:p>
        </w:tc>
        <w:tc>
          <w:tcPr>
            <w:tcW w:w="681" w:type="dxa"/>
            <w:tcBorders>
              <w:tl2br w:val="nil"/>
              <w:tr2bl w:val="nil"/>
            </w:tcBorders>
            <w:tcMar>
              <w:top w:w="0" w:type="dxa"/>
              <w:left w:w="0" w:type="dxa"/>
              <w:bottom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795"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总体要求</w:t>
            </w:r>
          </w:p>
        </w:tc>
        <w:tc>
          <w:tcPr>
            <w:tcW w:w="4376" w:type="dxa"/>
            <w:tcBorders>
              <w:tl2br w:val="nil"/>
              <w:tr2bl w:val="nil"/>
            </w:tcBorders>
            <w:tcMar>
              <w:left w:w="0" w:type="dxa"/>
              <w:right w:w="0" w:type="dxa"/>
            </w:tcMar>
            <w:vAlign w:val="center"/>
          </w:tcPr>
          <w:p>
            <w:pPr>
              <w:widowControl/>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畜禽养殖项目应严格执行《畜禽规模养殖污染防治条例》(中华人民共和国国务院令第643号)、《畜禽养殖业污染排放标准》(GB18596-2001)、《畜禽养殖业污染防治技术规范》(HJ/T81-2001)、《畜禽养殖业污染治理工程技术规范》(HJ497-2009)、《畜禽养殖业污染防治技术政策》(环法[2010]151号)等相关要求。</w:t>
            </w:r>
          </w:p>
        </w:tc>
        <w:tc>
          <w:tcPr>
            <w:tcW w:w="2178"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本项目应按照执行相关法律法规，各污染物实现达标，并降低对周围环境的影响。</w:t>
            </w:r>
          </w:p>
        </w:tc>
        <w:tc>
          <w:tcPr>
            <w:tcW w:w="681"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2</w:t>
            </w:r>
          </w:p>
        </w:tc>
        <w:tc>
          <w:tcPr>
            <w:tcW w:w="795"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建设布局要求</w:t>
            </w:r>
          </w:p>
        </w:tc>
        <w:tc>
          <w:tcPr>
            <w:tcW w:w="4376" w:type="dxa"/>
            <w:tcBorders>
              <w:tl2br w:val="nil"/>
              <w:tr2bl w:val="nil"/>
            </w:tcBorders>
            <w:tcMar>
              <w:left w:w="0" w:type="dxa"/>
              <w:right w:w="0" w:type="dxa"/>
            </w:tcMar>
            <w:vAlign w:val="center"/>
          </w:tcPr>
          <w:p>
            <w:pPr>
              <w:widowControl/>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禁止在饮用水源保护区、风景名胜区、自然保护区的核心区及缓冲区、城镇居民区、文化教育科学研究区等人口集中区域及法律、法规规定的其他禁止建设区建设畜禽养殖场(区)。在禁建区附近建设的、应位于禁建区常年主导风向下风向或侧风向，场界与禁建区边界最小距离不小于500m，畜禽粪便贮存设施与各类功能地表水体最小距离不小于400m。</w:t>
            </w:r>
          </w:p>
        </w:tc>
        <w:tc>
          <w:tcPr>
            <w:tcW w:w="2178"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本项目场界与禁建区边界最小距离大于500</w:t>
            </w:r>
            <w:r>
              <w:rPr>
                <w:rFonts w:hint="default" w:ascii="Times New Roman" w:hAnsi="Times New Roman" w:cs="Times New Roman"/>
                <w:color w:val="auto"/>
                <w:sz w:val="21"/>
                <w:szCs w:val="21"/>
              </w:rPr>
              <w:t>，粪污处理设施距离地表水体约为830m。</w:t>
            </w:r>
          </w:p>
        </w:tc>
        <w:tc>
          <w:tcPr>
            <w:tcW w:w="681"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795"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环境质量要求</w:t>
            </w:r>
          </w:p>
        </w:tc>
        <w:tc>
          <w:tcPr>
            <w:tcW w:w="4376"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区域环境质量达标的，项目实施后环境质量原则上仍须达标；环境质量不达标的，须强化污染防治措施，确保项目实施后环境质量不恶化。有国家、省、市相关法规、政策及环境管理要求的，按照相关要求执行。</w:t>
            </w:r>
          </w:p>
        </w:tc>
        <w:tc>
          <w:tcPr>
            <w:tcW w:w="2178"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根据环境质量现状监测数据，环境空气、地表水、地下水、声环境、土壤环境均能达标，项目运营后各污染物通过相应措施治理后，贡献值很小，对区域环境质量影响很小。</w:t>
            </w:r>
          </w:p>
        </w:tc>
        <w:tc>
          <w:tcPr>
            <w:tcW w:w="681"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795"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清粪工艺要求</w:t>
            </w:r>
          </w:p>
        </w:tc>
        <w:tc>
          <w:tcPr>
            <w:tcW w:w="4376"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新建、改建、扩建的畜禽养殖场（区）应采取干法清粪工艺，采取有效措施将粪及时、单独清出，不可与尿、污水混合排出，并将产生的粪渣及时运至贮存或处理场所。</w:t>
            </w:r>
          </w:p>
        </w:tc>
        <w:tc>
          <w:tcPr>
            <w:tcW w:w="2178"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本项目为母猪养殖项目，采用干法清粪工艺，猪粪经发酵处理后作为有机肥</w:t>
            </w:r>
            <w:r>
              <w:rPr>
                <w:rFonts w:hint="default" w:ascii="Times New Roman" w:hAnsi="Times New Roman" w:cs="Times New Roman"/>
                <w:color w:val="auto"/>
                <w:sz w:val="21"/>
                <w:szCs w:val="21"/>
                <w:lang w:eastAsia="zh-CN"/>
              </w:rPr>
              <w:t>基料</w:t>
            </w:r>
            <w:r>
              <w:rPr>
                <w:rFonts w:hint="default" w:ascii="Times New Roman" w:hAnsi="Times New Roman" w:cs="Times New Roman"/>
                <w:color w:val="auto"/>
                <w:sz w:val="21"/>
                <w:szCs w:val="21"/>
              </w:rPr>
              <w:t>外售，养殖废水进入厂区污水处理站厌氧发酵，经处理后综合利用</w:t>
            </w:r>
          </w:p>
        </w:tc>
        <w:tc>
          <w:tcPr>
            <w:tcW w:w="681"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795"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大气污染防治要求</w:t>
            </w:r>
          </w:p>
        </w:tc>
        <w:tc>
          <w:tcPr>
            <w:tcW w:w="4376" w:type="dxa"/>
            <w:tcBorders>
              <w:tl2br w:val="nil"/>
              <w:tr2bl w:val="nil"/>
            </w:tcBorders>
            <w:tcMar>
              <w:left w:w="0" w:type="dxa"/>
              <w:right w:w="0" w:type="dxa"/>
            </w:tcMar>
            <w:vAlign w:val="center"/>
          </w:tcPr>
          <w:p>
            <w:pPr>
              <w:adjustRightInd/>
              <w:snapToGrid/>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规模化畜禽养殖场(区)应加强恶臭气体净化处理。粪污处理各单元宜密闭设计、密闭的粪污处理厂(站)宜建设恶臭集中处理设施，各工艺过程产生的臭气集中收集处理后排放</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，排气简高度不低于15m。粪污处理环节产生的溜气原则上应综合利用，不得外排。</w:t>
            </w:r>
          </w:p>
        </w:tc>
        <w:tc>
          <w:tcPr>
            <w:tcW w:w="2178"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本项目运营后养殖过程猪舍产生的恶臭气体定期喷洒除臭剂</w:t>
            </w:r>
            <w:r>
              <w:rPr>
                <w:rFonts w:hint="default" w:ascii="Times New Roman" w:hAnsi="Times New Roman" w:cs="Times New Roman"/>
                <w:color w:val="auto"/>
                <w:sz w:val="21"/>
                <w:szCs w:val="21"/>
                <w:lang w:eastAsia="zh-CN"/>
              </w:rPr>
              <w:t>，猪舍出风口安装</w:t>
            </w:r>
            <w:r>
              <w:rPr>
                <w:rFonts w:hint="default" w:ascii="Times New Roman" w:hAnsi="Times New Roman" w:cs="Times New Roman"/>
                <w:bCs/>
                <w:color w:val="auto"/>
                <w:sz w:val="21"/>
                <w:szCs w:val="21"/>
                <w:lang w:eastAsia="zh-CN"/>
              </w:rPr>
              <w:t>过滤吸附</w:t>
            </w:r>
            <w:r>
              <w:rPr>
                <w:rFonts w:hint="default" w:ascii="Times New Roman" w:hAnsi="Times New Roman" w:cs="Times New Roman"/>
                <w:color w:val="auto"/>
                <w:sz w:val="21"/>
                <w:szCs w:val="21"/>
                <w:lang w:eastAsia="zh-CN"/>
              </w:rPr>
              <w:t>除臭装置</w:t>
            </w:r>
            <w:r>
              <w:rPr>
                <w:rFonts w:hint="default" w:ascii="Times New Roman" w:hAnsi="Times New Roman" w:cs="Times New Roman"/>
                <w:color w:val="auto"/>
                <w:sz w:val="21"/>
                <w:szCs w:val="21"/>
              </w:rPr>
              <w:t>；污水处理站各构筑物均密闭，并定期喷洒除臭剂，</w:t>
            </w:r>
            <w:r>
              <w:rPr>
                <w:rFonts w:hint="default" w:ascii="Times New Roman" w:hAnsi="Times New Roman" w:cs="Times New Roman"/>
                <w:color w:val="auto"/>
                <w:sz w:val="21"/>
                <w:szCs w:val="21"/>
                <w:highlight w:val="none"/>
              </w:rPr>
              <w:t>固粪处理区产生的恶臭</w:t>
            </w:r>
            <w:r>
              <w:rPr>
                <w:rFonts w:hint="default" w:ascii="Times New Roman" w:hAnsi="Times New Roman" w:cs="Times New Roman"/>
                <w:color w:val="auto"/>
                <w:sz w:val="21"/>
                <w:szCs w:val="21"/>
                <w:highlight w:val="none"/>
                <w:lang w:eastAsia="zh-CN"/>
              </w:rPr>
              <w:t>安装</w:t>
            </w:r>
            <w:r>
              <w:rPr>
                <w:rFonts w:hint="default" w:ascii="Times New Roman" w:hAnsi="Times New Roman" w:cs="Times New Roman"/>
                <w:bCs/>
                <w:color w:val="auto"/>
                <w:sz w:val="21"/>
                <w:szCs w:val="21"/>
                <w:highlight w:val="none"/>
              </w:rPr>
              <w:t>UV光解催化氧化装置+水帘除臭装置</w:t>
            </w:r>
            <w:r>
              <w:rPr>
                <w:rFonts w:hint="default" w:ascii="Times New Roman" w:hAnsi="Times New Roman" w:cs="Times New Roman"/>
                <w:bCs/>
                <w:color w:val="auto"/>
                <w:sz w:val="21"/>
                <w:szCs w:val="21"/>
                <w:highlight w:val="none"/>
                <w:lang w:eastAsia="zh-CN"/>
              </w:rPr>
              <w:t>并</w:t>
            </w:r>
            <w:r>
              <w:rPr>
                <w:rFonts w:hint="default" w:ascii="Times New Roman" w:hAnsi="Times New Roman" w:cs="Times New Roman"/>
                <w:color w:val="auto"/>
                <w:sz w:val="21"/>
                <w:szCs w:val="21"/>
                <w:highlight w:val="none"/>
              </w:rPr>
              <w:t>定期喷洒除臭剂。</w:t>
            </w:r>
          </w:p>
        </w:tc>
        <w:tc>
          <w:tcPr>
            <w:tcW w:w="681"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795"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水污染防治要求</w:t>
            </w:r>
          </w:p>
        </w:tc>
        <w:tc>
          <w:tcPr>
            <w:tcW w:w="4376" w:type="dxa"/>
            <w:tcBorders>
              <w:tl2br w:val="nil"/>
              <w:tr2bl w:val="nil"/>
            </w:tcBorders>
            <w:tcMar>
              <w:left w:w="0" w:type="dxa"/>
              <w:right w:w="0" w:type="dxa"/>
            </w:tcMar>
            <w:vAlign w:val="center"/>
          </w:tcPr>
          <w:p>
            <w:pPr>
              <w:adjustRightInd/>
              <w:snapToGrid/>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模化畜禽养殖场(区)排水系统实施雨污分流、污水收集输送系统不得采取明沟布设。污水、沼液应综合利用，向环境排放经过处理的畜禽养殖废弃物，应当符合国家和地方规定的污染物排放标准和总量控制指标。粪污处理设施和粪便贮存设施应设置顶盖，并采取有效的防渗工艺，防止污染地下水。</w:t>
            </w:r>
          </w:p>
        </w:tc>
        <w:tc>
          <w:tcPr>
            <w:tcW w:w="2178"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本项目厂区采取雨污分流，废水经厂区污水处理站处理后，用于周边农田</w:t>
            </w:r>
            <w:r>
              <w:rPr>
                <w:rFonts w:hint="default" w:ascii="Times New Roman" w:hAnsi="Times New Roman" w:cs="Times New Roman"/>
                <w:color w:val="auto"/>
                <w:sz w:val="21"/>
                <w:szCs w:val="21"/>
                <w:lang w:eastAsia="zh-CN"/>
              </w:rPr>
              <w:t>施肥</w:t>
            </w:r>
            <w:r>
              <w:rPr>
                <w:rFonts w:hint="default" w:ascii="Times New Roman" w:hAnsi="Times New Roman" w:cs="Times New Roman"/>
                <w:color w:val="auto"/>
                <w:sz w:val="21"/>
                <w:szCs w:val="21"/>
              </w:rPr>
              <w:t>。污水处理各构筑物、猪舍地面均采取防渗措施，防治污染地下水。</w:t>
            </w:r>
          </w:p>
        </w:tc>
        <w:tc>
          <w:tcPr>
            <w:tcW w:w="681"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795"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固废污染防治要求</w:t>
            </w:r>
          </w:p>
        </w:tc>
        <w:tc>
          <w:tcPr>
            <w:tcW w:w="4376" w:type="dxa"/>
            <w:tcBorders>
              <w:tl2br w:val="nil"/>
              <w:tr2bl w:val="nil"/>
            </w:tcBorders>
            <w:tcMar>
              <w:left w:w="0" w:type="dxa"/>
              <w:right w:w="0" w:type="dxa"/>
            </w:tcMar>
            <w:vAlign w:val="center"/>
          </w:tcPr>
          <w:p>
            <w:pPr>
              <w:widowControl/>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病害畜禽养殖废弃物应及时处理，原则上应采取生物化制技术进行无害化处理，不得随意处置。医疗废物应交由有危险废物处置资质的单位进行处理。畜愈类便经无害化处理满足标准后</w:t>
            </w:r>
            <w:r>
              <w:rPr>
                <w:rFonts w:hint="default" w:ascii="Times New Roman" w:hAnsi="Times New Roman" w:cs="Times New Roman"/>
                <w:color w:val="auto"/>
                <w:kern w:val="0"/>
                <w:sz w:val="21"/>
                <w:szCs w:val="21"/>
              </w:rPr>
              <w:t>方能土地利用，并对土壤肥力和粪肥肥效进行评价，同时应有一倍以上的土地用于轮作。未经处理畜愈类使严禁直接施入农田。</w:t>
            </w:r>
          </w:p>
        </w:tc>
        <w:tc>
          <w:tcPr>
            <w:tcW w:w="2178"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本项目运营后，病死猪在厂区无害化处理；医疗废物委托有资质单位单位安全处置；猪粪发酵堆肥后作为有机肥</w:t>
            </w:r>
            <w:r>
              <w:rPr>
                <w:rFonts w:hint="default" w:ascii="Times New Roman" w:hAnsi="Times New Roman" w:cs="Times New Roman"/>
                <w:color w:val="auto"/>
                <w:sz w:val="21"/>
                <w:szCs w:val="21"/>
                <w:lang w:eastAsia="zh-CN"/>
              </w:rPr>
              <w:t>基料</w:t>
            </w:r>
            <w:r>
              <w:rPr>
                <w:rFonts w:hint="default" w:ascii="Times New Roman" w:hAnsi="Times New Roman" w:cs="Times New Roman"/>
                <w:color w:val="auto"/>
                <w:sz w:val="21"/>
                <w:szCs w:val="21"/>
              </w:rPr>
              <w:t>外售。</w:t>
            </w:r>
          </w:p>
        </w:tc>
        <w:tc>
          <w:tcPr>
            <w:tcW w:w="681"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795"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公众参与</w:t>
            </w:r>
          </w:p>
        </w:tc>
        <w:tc>
          <w:tcPr>
            <w:tcW w:w="4376" w:type="dxa"/>
            <w:tcBorders>
              <w:tl2br w:val="nil"/>
              <w:tr2bl w:val="nil"/>
            </w:tcBorders>
            <w:tcMar>
              <w:left w:w="0" w:type="dxa"/>
              <w:right w:w="0" w:type="dxa"/>
            </w:tcMar>
            <w:vAlign w:val="center"/>
          </w:tcPr>
          <w:p>
            <w:pPr>
              <w:adjustRightInd/>
              <w:snapToGrid/>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严格按照国家和河南省相关规定开展信息公开和公众参与，必要时可进一步加大信息公开和公众参与力度。</w:t>
            </w:r>
          </w:p>
        </w:tc>
        <w:tc>
          <w:tcPr>
            <w:tcW w:w="2178"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本项目环评期间采取了一次公示、二次公示、并在中原油田日报上进行了报纸公示，未收到反对意见</w:t>
            </w:r>
          </w:p>
        </w:tc>
        <w:tc>
          <w:tcPr>
            <w:tcW w:w="681" w:type="dxa"/>
            <w:tcBorders>
              <w:tl2br w:val="nil"/>
              <w:tr2bl w:val="nil"/>
            </w:tcBorders>
            <w:tcMar>
              <w:left w:w="0" w:type="dxa"/>
              <w:right w:w="0" w:type="dxa"/>
            </w:tcMar>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bl>
    <w:p>
      <w:pPr>
        <w:ind w:firstLine="480"/>
        <w:rPr>
          <w:rFonts w:hint="default" w:ascii="Times New Roman" w:hAnsi="Times New Roman" w:cs="Times New Roman"/>
          <w:color w:val="auto"/>
        </w:rPr>
      </w:pPr>
      <w:r>
        <w:rPr>
          <w:rFonts w:hint="default" w:ascii="Times New Roman" w:hAnsi="Times New Roman" w:cs="Times New Roman"/>
          <w:color w:val="auto"/>
        </w:rPr>
        <w:t>由上表分析结果可知，本项目符合河南省畜禽养殖建设项目环境影响评价文件审查审批原则要求。建设单位在运营后应做好各项污染防治措施，实现污染物的达标排放，降低对周围环境的影响。</w:t>
      </w:r>
    </w:p>
    <w:p>
      <w:pPr>
        <w:pStyle w:val="5"/>
        <w:numPr>
          <w:ilvl w:val="2"/>
          <w:numId w:val="0"/>
        </w:numPr>
        <w:rPr>
          <w:rFonts w:hint="default" w:ascii="Times New Roman" w:hAnsi="Times New Roman" w:cs="Times New Roman"/>
          <w:b/>
          <w:bCs w:val="0"/>
          <w:color w:val="auto"/>
          <w:u w:val="single"/>
          <w:lang w:val="en-US"/>
        </w:rPr>
      </w:pPr>
      <w:r>
        <w:rPr>
          <w:rFonts w:hint="default" w:ascii="Times New Roman" w:hAnsi="Times New Roman" w:cs="Times New Roman"/>
          <w:b/>
          <w:bCs w:val="0"/>
          <w:color w:val="auto"/>
          <w:u w:val="single"/>
          <w:lang w:val="en-US"/>
        </w:rPr>
        <w:t>2.7.8与国家及地方污染防治相关管理要求相符性分析</w:t>
      </w:r>
    </w:p>
    <w:p>
      <w:pPr>
        <w:ind w:firstLine="480"/>
        <w:rPr>
          <w:rFonts w:hint="default" w:ascii="Times New Roman" w:hAnsi="Times New Roman" w:cs="Times New Roman"/>
          <w:b/>
          <w:bCs w:val="0"/>
          <w:color w:val="auto"/>
          <w:u w:val="single"/>
        </w:rPr>
      </w:pPr>
      <w:r>
        <w:rPr>
          <w:rFonts w:hint="default" w:ascii="Times New Roman" w:hAnsi="Times New Roman" w:cs="Times New Roman"/>
          <w:b/>
          <w:bCs w:val="0"/>
          <w:color w:val="auto"/>
          <w:u w:val="single"/>
        </w:rPr>
        <w:t>2.7.8.1与《大气污染防治行动计划》（简称空气“国十条”）相符性分析</w:t>
      </w:r>
    </w:p>
    <w:p>
      <w:pPr>
        <w:ind w:firstLine="480"/>
        <w:rPr>
          <w:rFonts w:hint="default" w:ascii="Times New Roman" w:hAnsi="Times New Roman" w:cs="Times New Roman"/>
          <w:b/>
          <w:bCs w:val="0"/>
          <w:color w:val="auto"/>
          <w:u w:val="single"/>
        </w:rPr>
      </w:pPr>
      <w:r>
        <w:rPr>
          <w:rFonts w:hint="default" w:ascii="Times New Roman" w:hAnsi="Times New Roman" w:cs="Times New Roman"/>
          <w:b/>
          <w:bCs w:val="0"/>
          <w:color w:val="auto"/>
          <w:u w:val="single"/>
        </w:rPr>
        <w:t>空气“国十条”：第一条 加大综合治理力度，减少多污染物排放；第二条 调整优化产业结构，推动产业转型升级；第三条 加快企业技术改造，提高科技创新能力；第四条 加快调整能源结构，增加清洁能源供应；第五条 严格节能环保准入，优化产业空间布局；第六条 发挥市场机制作用，完善环境经济政策；第七条 健全法律法规体系，严格依法监督管理；第八条  建立区域协作机制，统筹区域环境治理；第九条 建立监测预警应急体系，妥善应对重污染天气；第十条 明确政府企业和社会的责任，动员全民参与环境保护。</w:t>
      </w:r>
    </w:p>
    <w:p>
      <w:pPr>
        <w:ind w:firstLine="480"/>
        <w:rPr>
          <w:rFonts w:hint="default" w:ascii="Times New Roman" w:hAnsi="Times New Roman" w:cs="Times New Roman"/>
          <w:b/>
          <w:bCs w:val="0"/>
          <w:color w:val="auto"/>
          <w:u w:val="single"/>
        </w:rPr>
      </w:pPr>
      <w:r>
        <w:rPr>
          <w:rFonts w:hint="default" w:ascii="Times New Roman" w:hAnsi="Times New Roman" w:cs="Times New Roman"/>
          <w:b/>
          <w:bCs w:val="0"/>
          <w:color w:val="auto"/>
          <w:u w:val="single"/>
        </w:rPr>
        <w:t>本项目猪粪发酵堆肥过程喷洒除臭剂，</w:t>
      </w:r>
      <w:r>
        <w:rPr>
          <w:rFonts w:hint="default" w:ascii="Times New Roman" w:hAnsi="Times New Roman" w:cs="Times New Roman"/>
          <w:b/>
          <w:bCs w:val="0"/>
          <w:color w:val="auto"/>
          <w:u w:val="single"/>
          <w:lang w:eastAsia="zh-CN"/>
        </w:rPr>
        <w:t>周边绿化等进行治理</w:t>
      </w:r>
      <w:r>
        <w:rPr>
          <w:rFonts w:hint="default" w:ascii="Times New Roman" w:hAnsi="Times New Roman" w:cs="Times New Roman"/>
          <w:b/>
          <w:bCs w:val="0"/>
          <w:color w:val="auto"/>
          <w:u w:val="single"/>
        </w:rPr>
        <w:t>；污水处理构筑物密闭并喷洒除臭剂进行治理，无害化处理装置采用UV光氧装置处理后排放，从而减少了污染物的排放，符合空气“国十条”的第一条管理要求；另外本项目属于鼓励类，不属于高耗能、高污染行业类别，本项目实施有利用优化产业结构，符合空气“国十条”的第二条管理要求。</w:t>
      </w:r>
    </w:p>
    <w:p>
      <w:pPr>
        <w:ind w:firstLine="480"/>
        <w:rPr>
          <w:rFonts w:hint="default" w:ascii="Times New Roman" w:hAnsi="Times New Roman" w:cs="Times New Roman"/>
          <w:b/>
          <w:bCs w:val="0"/>
          <w:color w:val="auto"/>
          <w:u w:val="single"/>
        </w:rPr>
      </w:pPr>
      <w:bookmarkStart w:id="180" w:name="1.9.4.2与《水污染防治行动计划》（简称“水十条”）相符性分析"/>
      <w:bookmarkEnd w:id="180"/>
      <w:r>
        <w:rPr>
          <w:rFonts w:hint="default" w:ascii="Times New Roman" w:hAnsi="Times New Roman" w:cs="Times New Roman"/>
          <w:b/>
          <w:bCs w:val="0"/>
          <w:color w:val="auto"/>
          <w:u w:val="single"/>
        </w:rPr>
        <w:t>2.7.8.3 与《水污染防治行动计划》（简称“水十条”）相符性分析</w:t>
      </w:r>
    </w:p>
    <w:p>
      <w:pPr>
        <w:ind w:firstLine="480"/>
        <w:rPr>
          <w:rFonts w:hint="default" w:ascii="Times New Roman" w:hAnsi="Times New Roman" w:cs="Times New Roman"/>
          <w:b/>
          <w:bCs w:val="0"/>
          <w:color w:val="auto"/>
          <w:u w:val="single"/>
        </w:rPr>
      </w:pPr>
      <w:r>
        <w:rPr>
          <w:rFonts w:hint="default" w:ascii="Times New Roman" w:hAnsi="Times New Roman" w:cs="Times New Roman"/>
          <w:b/>
          <w:bCs w:val="0"/>
          <w:color w:val="auto"/>
          <w:u w:val="single"/>
        </w:rPr>
        <w:t>“水十条”：一是全面控制污染物排放（科学划定畜禽养殖禁养区，2017年底前，依法关闭或搬迁禁养区内的畜禽养殖场（小区）和养殖专业户，京津冀、长三角、珠三角等区域提前一年完成。现有规模化畜禽养殖场（小区）要根据污染防治需要，配套建设粪便污水贮存、处理、利用设施。散养密集区要实行畜禽粪便污水分户收集、集中处理利用。自2016年起，新建、改建、扩建规模化畜禽养殖场（小区）要实施雨污分流、粪便污水资源化利用；二是推动经济结构转型升级。加快淘汰落后产能，合理确定产业发展布局、结构和规模，以工业水、再生水和海水利用等推动循环发展；三是着力节约保护水资源。实施最严格水资源管理制度，控制用水总量，提高用水效率，加强水量调度，保证重要河流生态流量；四是强化科技支撑。推广示范先进适用技术，加强基础研究和前瞻技术研发，规范环保产业市场，加快发展环保服务业；五是充分发挥市场机制作用。加快水价改革，完善收费政策，健全税收政策，促进多元投资，建立有利于水环境治理的激励机制；六是严格环境执法监管。严惩各类环境违法行为和违规建设项目，加强行政执法与刑事司法衔接，健全水环境监测网络；七是切实加强水环境管理。强化环境治理目标管理，深化污染物总量控制制度，严格控制各类环境风险，全面推行排污许可；八是全力保障水生态环境安全；九是明确和落实各方责任。强化地方政府水环境保护责任，落实排污单位主体责任，国家分流域、分区域、分海域逐年考核计划实施情况，督促各方履责到位；十是强化公众参与和社会监督。</w:t>
      </w:r>
    </w:p>
    <w:p>
      <w:pPr>
        <w:ind w:firstLine="480"/>
        <w:rPr>
          <w:rFonts w:hint="default" w:ascii="Times New Roman" w:hAnsi="Times New Roman" w:cs="Times New Roman"/>
          <w:b/>
          <w:bCs w:val="0"/>
          <w:color w:val="auto"/>
          <w:u w:val="single"/>
        </w:rPr>
      </w:pPr>
      <w:r>
        <w:rPr>
          <w:rFonts w:hint="default" w:ascii="Times New Roman" w:hAnsi="Times New Roman" w:cs="Times New Roman"/>
          <w:b/>
          <w:bCs w:val="0"/>
          <w:color w:val="auto"/>
          <w:u w:val="single"/>
        </w:rPr>
        <w:t>本项目雨污分流，项目产生的猪舍冲洗废水、生活废水等经厂区污水处理设施厌氧发酵处理后沼液用于附近农田肥田。本项目污染物不外排，符合“水十条”相关规定。</w:t>
      </w:r>
    </w:p>
    <w:p>
      <w:pPr>
        <w:pStyle w:val="5"/>
        <w:rPr>
          <w:rFonts w:hint="default" w:ascii="Times New Roman" w:hAnsi="Times New Roman" w:cs="Times New Roman"/>
          <w:color w:val="auto"/>
          <w:lang w:val="en-US"/>
        </w:rPr>
      </w:pPr>
      <w:r>
        <w:rPr>
          <w:rFonts w:hint="default" w:ascii="Times New Roman" w:hAnsi="Times New Roman" w:cs="Times New Roman"/>
          <w:color w:val="auto"/>
          <w:lang w:val="en-US"/>
        </w:rPr>
        <w:t>2.7.9《濮阳市人民政府办公室关于印发濮阳市2018年持续打好打赢水污染防治攻坚战工作方案的通知》相符性分析</w:t>
      </w:r>
    </w:p>
    <w:p>
      <w:pPr>
        <w:adjustRightInd/>
        <w:snapToGrid/>
        <w:ind w:firstLine="480"/>
        <w:rPr>
          <w:rFonts w:hint="default" w:ascii="Times New Roman" w:hAnsi="Times New Roman" w:cs="Times New Roman"/>
          <w:bCs/>
          <w:color w:val="auto"/>
        </w:rPr>
      </w:pPr>
      <w:r>
        <w:rPr>
          <w:rFonts w:hint="default" w:ascii="Times New Roman" w:hAnsi="Times New Roman" w:cs="Times New Roman"/>
          <w:bCs/>
          <w:color w:val="auto"/>
        </w:rPr>
        <w:t>根据《濮阳市人民政府办公室关于印发濮阳市2018年持续打好打赢水污染防治攻坚战工作方案的通知》（濮政办〔2018〕7号），现对照其分析本项目与濮政办〔2018〕7号的相符性。</w:t>
      </w:r>
    </w:p>
    <w:p>
      <w:pPr>
        <w:adjustRightInd/>
        <w:snapToGrid/>
        <w:spacing w:line="240" w:lineRule="auto"/>
        <w:ind w:firstLine="442"/>
        <w:jc w:val="center"/>
        <w:rPr>
          <w:rFonts w:hint="default" w:ascii="Times New Roman" w:hAnsi="Times New Roman" w:cs="Times New Roman"/>
          <w:b/>
          <w:color w:val="auto"/>
        </w:rPr>
      </w:pPr>
      <w:r>
        <w:rPr>
          <w:rFonts w:hint="default" w:ascii="Times New Roman" w:hAnsi="Times New Roman" w:cs="Times New Roman"/>
          <w:b/>
          <w:color w:val="auto"/>
          <w:sz w:val="22"/>
          <w:szCs w:val="22"/>
        </w:rPr>
        <w:t xml:space="preserve">表2.7-6  </w:t>
      </w:r>
      <w:r>
        <w:rPr>
          <w:rFonts w:hint="default" w:ascii="Times New Roman" w:hAnsi="Times New Roman" w:cs="Times New Roman"/>
          <w:b/>
          <w:color w:val="auto"/>
          <w:sz w:val="22"/>
          <w:szCs w:val="22"/>
          <w:lang w:val="en-US" w:eastAsia="zh-CN"/>
        </w:rPr>
        <w:t xml:space="preserve"> </w:t>
      </w:r>
      <w:r>
        <w:rPr>
          <w:rFonts w:hint="default" w:ascii="Times New Roman" w:hAnsi="Times New Roman" w:cs="Times New Roman"/>
          <w:b/>
          <w:color w:val="auto"/>
          <w:sz w:val="22"/>
          <w:szCs w:val="22"/>
        </w:rPr>
        <w:t>项目与濮政办〔2018〕7号相符性分析</w:t>
      </w:r>
    </w:p>
    <w:tbl>
      <w:tblPr>
        <w:tblStyle w:val="26"/>
        <w:tblW w:w="852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3909"/>
        <w:gridCol w:w="2410"/>
        <w:gridCol w:w="103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4" w:type="dxa"/>
            <w:tcBorders>
              <w:tl2br w:val="nil"/>
              <w:tr2bl w:val="nil"/>
            </w:tcBorders>
            <w:vAlign w:val="center"/>
          </w:tcPr>
          <w:p>
            <w:pPr>
              <w:adjustRightInd/>
              <w:snapToGrid/>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序号</w:t>
            </w:r>
          </w:p>
        </w:tc>
        <w:tc>
          <w:tcPr>
            <w:tcW w:w="3909" w:type="dxa"/>
            <w:tcBorders>
              <w:tl2br w:val="nil"/>
              <w:tr2bl w:val="nil"/>
            </w:tcBorders>
          </w:tcPr>
          <w:p>
            <w:pPr>
              <w:adjustRightInd/>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要求</w:t>
            </w:r>
          </w:p>
        </w:tc>
        <w:tc>
          <w:tcPr>
            <w:tcW w:w="2410" w:type="dxa"/>
            <w:tcBorders>
              <w:tl2br w:val="nil"/>
              <w:tr2bl w:val="nil"/>
            </w:tcBorders>
          </w:tcPr>
          <w:p>
            <w:pPr>
              <w:adjustRightInd/>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本项目要求</w:t>
            </w:r>
          </w:p>
        </w:tc>
        <w:tc>
          <w:tcPr>
            <w:tcW w:w="1039" w:type="dxa"/>
            <w:tcBorders>
              <w:tl2br w:val="nil"/>
              <w:tr2bl w:val="nil"/>
            </w:tcBorders>
          </w:tcPr>
          <w:p>
            <w:pPr>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5" w:hRule="atLeast"/>
          <w:jc w:val="center"/>
        </w:trPr>
        <w:tc>
          <w:tcPr>
            <w:tcW w:w="1164" w:type="dxa"/>
            <w:tcBorders>
              <w:tl2br w:val="nil"/>
              <w:tr2bl w:val="nil"/>
            </w:tcBorders>
            <w:vAlign w:val="center"/>
          </w:tcPr>
          <w:p>
            <w:pPr>
              <w:adjustRightInd/>
              <w:snapToGrid/>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w:t>
            </w:r>
          </w:p>
        </w:tc>
        <w:tc>
          <w:tcPr>
            <w:tcW w:w="3909" w:type="dxa"/>
            <w:tcBorders>
              <w:tl2br w:val="nil"/>
              <w:tr2bl w:val="nil"/>
            </w:tcBorders>
            <w:vAlign w:val="center"/>
          </w:tcPr>
          <w:p>
            <w:pPr>
              <w:widowControl/>
              <w:adjustRightInd/>
              <w:snapToGrid/>
              <w:spacing w:line="360" w:lineRule="atLeast"/>
              <w:ind w:firstLine="42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防治畜禽养殖污染。继续推进畜禽规模养殖场粪污处理设施配套建设，2018年年底前全市规模畜禽养殖场粪污设施配套率达80%以上；防范禁养区内已关闭或搬迁的规模化畜禽养殖场反弹。</w:t>
            </w:r>
          </w:p>
        </w:tc>
        <w:tc>
          <w:tcPr>
            <w:tcW w:w="2410" w:type="dxa"/>
            <w:tcBorders>
              <w:tl2br w:val="nil"/>
              <w:tr2bl w:val="nil"/>
            </w:tcBorders>
            <w:vAlign w:val="center"/>
          </w:tcPr>
          <w:p>
            <w:pPr>
              <w:adjustRightInd/>
              <w:snapToGrid/>
              <w:spacing w:line="240" w:lineRule="auto"/>
              <w:ind w:firstLine="42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本项目不在清丰县畜禽养殖禁养区限养区划分方案的禁养区内，且本项目建设有猪粪固粪处理区和污水处理站。</w:t>
            </w:r>
          </w:p>
        </w:tc>
        <w:tc>
          <w:tcPr>
            <w:tcW w:w="1039"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64" w:type="dxa"/>
            <w:tcBorders>
              <w:tl2br w:val="nil"/>
              <w:tr2bl w:val="nil"/>
            </w:tcBorders>
            <w:vAlign w:val="center"/>
          </w:tcPr>
          <w:p>
            <w:pPr>
              <w:adjustRightInd/>
              <w:snapToGrid/>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w:t>
            </w:r>
          </w:p>
        </w:tc>
        <w:tc>
          <w:tcPr>
            <w:tcW w:w="3909" w:type="dxa"/>
            <w:tcBorders>
              <w:tl2br w:val="nil"/>
              <w:tr2bl w:val="nil"/>
            </w:tcBorders>
            <w:vAlign w:val="center"/>
          </w:tcPr>
          <w:p>
            <w:pPr>
              <w:widowControl/>
              <w:adjustRightInd/>
              <w:snapToGrid/>
              <w:spacing w:line="360" w:lineRule="atLeast"/>
              <w:ind w:firstLine="42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严格环境准入。针对不同主体功能区、环境功能区、生态红线区、水污染防治重点控制单元区的生态环境特征和环境承载能力，分区分类实施差别化环境准入政策。2018年年底前完成水资源、水环境承载能力现状评价。</w:t>
            </w:r>
          </w:p>
        </w:tc>
        <w:tc>
          <w:tcPr>
            <w:tcW w:w="2410" w:type="dxa"/>
            <w:tcBorders>
              <w:tl2br w:val="nil"/>
              <w:tr2bl w:val="nil"/>
            </w:tcBorders>
            <w:vAlign w:val="center"/>
          </w:tcPr>
          <w:p>
            <w:pPr>
              <w:adjustRightInd/>
              <w:snapToGrid/>
              <w:spacing w:line="240" w:lineRule="auto"/>
              <w:ind w:firstLine="420"/>
              <w:jc w:val="left"/>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本项目厂区采取雨污分流，且污水处理各构筑物、猪舍地面、污水管道、固粪处理区、沼液池、沼气池、危废间等均采取防渗措施，防治污染地下水。</w:t>
            </w:r>
          </w:p>
        </w:tc>
        <w:tc>
          <w:tcPr>
            <w:tcW w:w="1039"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相符</w:t>
            </w:r>
          </w:p>
        </w:tc>
      </w:tr>
    </w:tbl>
    <w:p>
      <w:pPr>
        <w:adjustRightInd/>
        <w:snapToGrid/>
        <w:ind w:firstLine="480"/>
        <w:rPr>
          <w:rFonts w:hint="default" w:ascii="Times New Roman" w:hAnsi="Times New Roman" w:cs="Times New Roman"/>
          <w:bCs/>
          <w:color w:val="auto"/>
        </w:rPr>
      </w:pPr>
      <w:r>
        <w:rPr>
          <w:rFonts w:hint="default" w:ascii="Times New Roman" w:hAnsi="Times New Roman" w:cs="Times New Roman"/>
          <w:bCs/>
          <w:color w:val="auto"/>
        </w:rPr>
        <w:t>综上所述，本项目建设符合《濮阳市人民政府办公室关于印发濮阳市2018年持续打好打赢水污染防治攻坚战工作方案的通知》（濮政办〔2018〕7号）文件相关要求。</w:t>
      </w:r>
    </w:p>
    <w:p>
      <w:pPr>
        <w:pStyle w:val="5"/>
        <w:rPr>
          <w:rFonts w:hint="default" w:ascii="Times New Roman" w:hAnsi="Times New Roman" w:cs="Times New Roman"/>
          <w:color w:val="auto"/>
          <w:lang w:val="en-US"/>
        </w:rPr>
      </w:pPr>
      <w:r>
        <w:rPr>
          <w:rFonts w:hint="default" w:ascii="Times New Roman" w:hAnsi="Times New Roman" w:cs="Times New Roman"/>
          <w:color w:val="auto"/>
          <w:lang w:val="en-US"/>
        </w:rPr>
        <w:t>2.7.10 与《濮阳市环境污染防治攻坚战指挥部办公室关于印发濮阳市2019年大气污染防治攻坚战实施方案的通知》相符性分析</w:t>
      </w:r>
    </w:p>
    <w:p>
      <w:pPr>
        <w:adjustRightInd/>
        <w:ind w:firstLine="480"/>
        <w:jc w:val="left"/>
        <w:rPr>
          <w:rFonts w:hint="default" w:ascii="Times New Roman" w:hAnsi="Times New Roman" w:cs="Times New Roman"/>
          <w:bCs/>
          <w:color w:val="auto"/>
        </w:rPr>
      </w:pPr>
      <w:r>
        <w:rPr>
          <w:rFonts w:hint="default" w:ascii="Times New Roman" w:hAnsi="Times New Roman" w:cs="Times New Roman"/>
          <w:bCs/>
          <w:color w:val="auto"/>
        </w:rPr>
        <w:t>根据《濮阳市环境污染防治攻坚战指挥部办公室关于印发濮阳市2019年大气污染防治攻坚战实施方案的通知》（濮环攻坚办〔2019〕82号），本项目与濮环攻坚办〔2019〕82号相符性分析见下表。</w:t>
      </w:r>
    </w:p>
    <w:p>
      <w:pPr>
        <w:adjustRightInd/>
        <w:spacing w:line="240" w:lineRule="auto"/>
        <w:ind w:firstLine="440"/>
        <w:jc w:val="center"/>
        <w:rPr>
          <w:rFonts w:hint="default" w:ascii="Times New Roman" w:hAnsi="Times New Roman" w:eastAsia="黑体" w:cs="Times New Roman"/>
          <w:bCs/>
          <w:color w:val="auto"/>
          <w:sz w:val="22"/>
          <w:szCs w:val="22"/>
        </w:rPr>
      </w:pPr>
      <w:r>
        <w:rPr>
          <w:rFonts w:hint="default" w:ascii="Times New Roman" w:hAnsi="Times New Roman" w:eastAsia="黑体" w:cs="Times New Roman"/>
          <w:bCs/>
          <w:color w:val="auto"/>
          <w:sz w:val="22"/>
          <w:szCs w:val="22"/>
        </w:rPr>
        <w:t>表2.7-7  本项目与濮环攻坚办〔2019〕82号相符性分析</w:t>
      </w:r>
    </w:p>
    <w:tbl>
      <w:tblPr>
        <w:tblStyle w:val="26"/>
        <w:tblW w:w="896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9"/>
        <w:gridCol w:w="4302"/>
        <w:gridCol w:w="3074"/>
        <w:gridCol w:w="88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l2br w:val="nil"/>
              <w:tr2bl w:val="nil"/>
            </w:tcBorders>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序号</w:t>
            </w:r>
          </w:p>
        </w:tc>
        <w:tc>
          <w:tcPr>
            <w:tcW w:w="4302" w:type="dxa"/>
            <w:tcBorders>
              <w:tl2br w:val="nil"/>
              <w:tr2bl w:val="nil"/>
            </w:tcBorders>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要求</w:t>
            </w:r>
          </w:p>
        </w:tc>
        <w:tc>
          <w:tcPr>
            <w:tcW w:w="3074" w:type="dxa"/>
            <w:tcBorders>
              <w:tl2br w:val="nil"/>
              <w:tr2bl w:val="nil"/>
            </w:tcBorders>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本项目</w:t>
            </w:r>
          </w:p>
        </w:tc>
        <w:tc>
          <w:tcPr>
            <w:tcW w:w="889" w:type="dxa"/>
            <w:tcBorders>
              <w:tl2br w:val="nil"/>
              <w:tr2bl w:val="nil"/>
            </w:tcBorders>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6" w:hRule="atLeast"/>
          <w:jc w:val="center"/>
        </w:trPr>
        <w:tc>
          <w:tcPr>
            <w:tcW w:w="699" w:type="dxa"/>
            <w:tcBorders>
              <w:tl2br w:val="nil"/>
              <w:tr2bl w:val="nil"/>
            </w:tcBorders>
            <w:vAlign w:val="center"/>
          </w:tcPr>
          <w:p>
            <w:pPr>
              <w:adjustRightInd/>
              <w:snapToGrid/>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w:t>
            </w:r>
          </w:p>
        </w:tc>
        <w:tc>
          <w:tcPr>
            <w:tcW w:w="4302" w:type="dxa"/>
            <w:tcBorders>
              <w:tl2br w:val="nil"/>
              <w:tr2bl w:val="nil"/>
            </w:tcBorders>
            <w:vAlign w:val="center"/>
          </w:tcPr>
          <w:p>
            <w:pPr>
              <w:adjustRightInd/>
              <w:snapToGrid/>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强化工地扬尘污染防治。严格落实施工工地“六个百分之百”、“两个禁止”、开复工验收、“三员”管理、扬尘防治预算管理等制度</w:t>
            </w:r>
          </w:p>
        </w:tc>
        <w:tc>
          <w:tcPr>
            <w:tcW w:w="3074" w:type="dxa"/>
            <w:tcBorders>
              <w:tl2br w:val="nil"/>
              <w:tr2bl w:val="nil"/>
            </w:tcBorders>
            <w:vAlign w:val="center"/>
          </w:tcPr>
          <w:p>
            <w:pPr>
              <w:adjustRightInd/>
              <w:snapToGrid/>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本项目施工场地做到100%围挡、物料堆放100%覆盖、土方100%湿法开挖、路面100%硬化、车辆100%清洗出入、运输车辆100%封闭；施工现场不搅拌混凝土、不配置砂浆；设扬尘污染防治监督员、网格员、管理员</w:t>
            </w:r>
          </w:p>
        </w:tc>
        <w:tc>
          <w:tcPr>
            <w:tcW w:w="889"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6" w:hRule="atLeast"/>
          <w:jc w:val="center"/>
        </w:trPr>
        <w:tc>
          <w:tcPr>
            <w:tcW w:w="699" w:type="dxa"/>
            <w:tcBorders>
              <w:tl2br w:val="nil"/>
              <w:tr2bl w:val="nil"/>
            </w:tcBorders>
            <w:vAlign w:val="center"/>
          </w:tcPr>
          <w:p>
            <w:pPr>
              <w:adjustRightInd/>
              <w:snapToGrid/>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w:t>
            </w:r>
          </w:p>
        </w:tc>
        <w:tc>
          <w:tcPr>
            <w:tcW w:w="4302" w:type="dxa"/>
            <w:tcBorders>
              <w:tl2br w:val="nil"/>
              <w:tr2bl w:val="nil"/>
            </w:tcBorders>
            <w:vAlign w:val="center"/>
          </w:tcPr>
          <w:p>
            <w:pPr>
              <w:adjustRightInd/>
              <w:snapToGrid/>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开展工业企业无组织排放治理。2019年9月底前，全市工业企业完成物料运输、生产工艺、堆场环节的无组织排放深度治理，全面实现“五到位、一密闭”</w:t>
            </w:r>
          </w:p>
        </w:tc>
        <w:tc>
          <w:tcPr>
            <w:tcW w:w="3074" w:type="dxa"/>
            <w:tcBorders>
              <w:tl2br w:val="nil"/>
              <w:tr2bl w:val="nil"/>
            </w:tcBorders>
            <w:vAlign w:val="center"/>
          </w:tcPr>
          <w:p>
            <w:pPr>
              <w:adjustRightInd/>
              <w:snapToGrid/>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本项目厂区道路全部硬化，定时进行洒水清扫，污水处理站和猪舍定期喷洒除臭剂，猪舍加强通风、及时清粪；堆肥车间废气喷洒除臭剂后排放</w:t>
            </w:r>
          </w:p>
        </w:tc>
        <w:tc>
          <w:tcPr>
            <w:tcW w:w="889"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相符</w:t>
            </w:r>
          </w:p>
        </w:tc>
      </w:tr>
    </w:tbl>
    <w:p>
      <w:pPr>
        <w:pStyle w:val="30"/>
        <w:rPr>
          <w:rFonts w:hint="default" w:ascii="Times New Roman" w:hAnsi="Times New Roman" w:cs="Times New Roman"/>
          <w:color w:val="auto"/>
          <w:lang w:val="en-US" w:eastAsia="zh-CN"/>
        </w:rPr>
      </w:pPr>
      <w:bookmarkStart w:id="181" w:name="_Toc30653"/>
      <w:bookmarkStart w:id="182" w:name="_Toc19396"/>
      <w:r>
        <w:rPr>
          <w:rFonts w:hint="default" w:ascii="Times New Roman" w:hAnsi="Times New Roman" w:cs="Times New Roman"/>
          <w:color w:val="auto"/>
          <w:lang w:val="en-US" w:eastAsia="zh-CN"/>
        </w:rPr>
        <w:t>2.8 本项目与清丰县韩村镇土地利用总体规划相符性分析（2010-2020）</w:t>
      </w:r>
    </w:p>
    <w:p>
      <w:pPr>
        <w:autoSpaceDE w:val="0"/>
        <w:autoSpaceDN w:val="0"/>
        <w:spacing w:line="360" w:lineRule="auto"/>
        <w:ind w:firstLine="482" w:firstLineChars="200"/>
        <w:textAlignment w:val="baseline"/>
        <w:rPr>
          <w:rFonts w:hint="default" w:ascii="Times New Roman" w:hAnsi="Times New Roman" w:cs="Times New Roman"/>
          <w:b/>
          <w:bCs/>
          <w:color w:val="auto"/>
          <w:kern w:val="0"/>
          <w:sz w:val="24"/>
          <w:szCs w:val="28"/>
          <w:u w:val="single"/>
        </w:rPr>
      </w:pPr>
      <w:r>
        <w:rPr>
          <w:rFonts w:hint="default" w:ascii="Times New Roman" w:hAnsi="Times New Roman" w:cs="Times New Roman"/>
          <w:b/>
          <w:bCs/>
          <w:color w:val="auto"/>
          <w:kern w:val="0"/>
          <w:sz w:val="24"/>
          <w:szCs w:val="28"/>
          <w:u w:val="single"/>
          <w:lang w:val="en-US" w:eastAsia="zh-CN"/>
        </w:rPr>
        <w:t>2.8.1严格保护耕地和永久基本农田</w:t>
      </w:r>
    </w:p>
    <w:p>
      <w:pPr>
        <w:autoSpaceDE w:val="0"/>
        <w:autoSpaceDN w:val="0"/>
        <w:spacing w:line="360" w:lineRule="auto"/>
        <w:ind w:firstLine="482" w:firstLineChars="200"/>
        <w:textAlignment w:val="baseline"/>
        <w:rPr>
          <w:rFonts w:hint="default" w:ascii="Times New Roman" w:hAnsi="Times New Roman" w:cs="Times New Roman"/>
          <w:b/>
          <w:bCs/>
          <w:color w:val="auto"/>
          <w:kern w:val="0"/>
          <w:sz w:val="24"/>
          <w:szCs w:val="28"/>
          <w:u w:val="single"/>
        </w:rPr>
      </w:pPr>
      <w:r>
        <w:rPr>
          <w:rFonts w:hint="default" w:ascii="Times New Roman" w:hAnsi="Times New Roman" w:cs="Times New Roman"/>
          <w:b/>
          <w:bCs/>
          <w:color w:val="auto"/>
          <w:kern w:val="0"/>
          <w:sz w:val="24"/>
          <w:szCs w:val="28"/>
          <w:u w:val="single"/>
          <w:lang w:val="en-US" w:eastAsia="zh-CN"/>
        </w:rPr>
        <w:t>规划至2020年，韩村乡耕地保有量不低于3695.00公顷；基本农田保护面积不低于3226.73公顷，切实做到基本农田“数量不减少、质量有提高、布局总体稳定”。</w:t>
      </w:r>
    </w:p>
    <w:p>
      <w:pPr>
        <w:autoSpaceDE w:val="0"/>
        <w:autoSpaceDN w:val="0"/>
        <w:spacing w:line="360" w:lineRule="auto"/>
        <w:ind w:firstLine="482" w:firstLineChars="200"/>
        <w:textAlignment w:val="baseline"/>
        <w:rPr>
          <w:rFonts w:hint="default" w:ascii="Times New Roman" w:hAnsi="Times New Roman" w:cs="Times New Roman"/>
          <w:b/>
          <w:bCs/>
          <w:color w:val="auto"/>
          <w:kern w:val="0"/>
          <w:sz w:val="24"/>
          <w:szCs w:val="28"/>
          <w:u w:val="single"/>
        </w:rPr>
      </w:pPr>
      <w:r>
        <w:rPr>
          <w:rFonts w:hint="default" w:ascii="Times New Roman" w:hAnsi="Times New Roman" w:cs="Times New Roman"/>
          <w:b/>
          <w:bCs/>
          <w:color w:val="auto"/>
          <w:kern w:val="0"/>
          <w:sz w:val="24"/>
          <w:szCs w:val="28"/>
          <w:u w:val="single"/>
          <w:lang w:val="en-US" w:eastAsia="zh-CN"/>
        </w:rPr>
        <w:t xml:space="preserve">2.8.2节约集约用地，确保各项建设用地规模不突破上级下达指标 </w:t>
      </w:r>
    </w:p>
    <w:p>
      <w:pPr>
        <w:autoSpaceDE w:val="0"/>
        <w:autoSpaceDN w:val="0"/>
        <w:spacing w:line="360" w:lineRule="auto"/>
        <w:ind w:firstLine="482" w:firstLineChars="200"/>
        <w:textAlignment w:val="baseline"/>
        <w:rPr>
          <w:rFonts w:hint="default" w:ascii="Times New Roman" w:hAnsi="Times New Roman" w:cs="Times New Roman"/>
          <w:b/>
          <w:bCs/>
          <w:color w:val="auto"/>
          <w:kern w:val="0"/>
          <w:sz w:val="24"/>
          <w:szCs w:val="28"/>
          <w:u w:val="single"/>
        </w:rPr>
      </w:pPr>
      <w:r>
        <w:rPr>
          <w:rFonts w:hint="default" w:ascii="Times New Roman" w:hAnsi="Times New Roman" w:cs="Times New Roman"/>
          <w:b/>
          <w:bCs/>
          <w:color w:val="auto"/>
          <w:kern w:val="0"/>
          <w:sz w:val="24"/>
          <w:szCs w:val="28"/>
          <w:u w:val="single"/>
          <w:lang w:val="en-US" w:eastAsia="zh-CN"/>
        </w:rPr>
        <w:t>确保重点区域用地需求，保障重大基础设施、扶贫项目等合理用地需求，规划到2020年，建设用地规模不高于769.95公顷。农村居民点用地减少61.37公顷，交通水利及其他建设用地规划期内面积增加0.02公顷。城乡建设用地规模到2020年控制在647.75公顷之内，农村居民点用地规模到2020年控制612.90公顷；交通水利及其他建设用地规模到2020年不高于122.20公顷。</w:t>
      </w:r>
    </w:p>
    <w:p>
      <w:pPr>
        <w:autoSpaceDE w:val="0"/>
        <w:autoSpaceDN w:val="0"/>
        <w:spacing w:line="360" w:lineRule="auto"/>
        <w:ind w:firstLine="482" w:firstLineChars="200"/>
        <w:textAlignment w:val="baseline"/>
        <w:rPr>
          <w:rFonts w:hint="default" w:ascii="Times New Roman" w:hAnsi="Times New Roman" w:cs="Times New Roman"/>
          <w:b/>
          <w:bCs/>
          <w:color w:val="auto"/>
          <w:kern w:val="0"/>
          <w:sz w:val="24"/>
          <w:szCs w:val="28"/>
          <w:u w:val="single"/>
        </w:rPr>
      </w:pPr>
      <w:r>
        <w:rPr>
          <w:rFonts w:hint="default" w:ascii="Times New Roman" w:hAnsi="Times New Roman" w:cs="Times New Roman"/>
          <w:b/>
          <w:bCs/>
          <w:color w:val="auto"/>
          <w:kern w:val="0"/>
          <w:sz w:val="24"/>
          <w:szCs w:val="28"/>
          <w:u w:val="single"/>
          <w:lang w:val="en-US" w:eastAsia="zh-CN"/>
        </w:rPr>
        <w:t xml:space="preserve">2.8.3严格控制建设占用耕地，落实补充耕地目标 </w:t>
      </w:r>
    </w:p>
    <w:p>
      <w:pPr>
        <w:autoSpaceDE w:val="0"/>
        <w:autoSpaceDN w:val="0"/>
        <w:spacing w:line="360" w:lineRule="auto"/>
        <w:ind w:firstLine="482" w:firstLineChars="200"/>
        <w:textAlignment w:val="baseline"/>
        <w:rPr>
          <w:rFonts w:hint="default" w:ascii="Times New Roman" w:hAnsi="Times New Roman" w:cs="Times New Roman"/>
          <w:b/>
          <w:bCs/>
          <w:color w:val="auto"/>
          <w:kern w:val="0"/>
          <w:sz w:val="24"/>
          <w:szCs w:val="28"/>
          <w:u w:val="single"/>
        </w:rPr>
      </w:pPr>
      <w:r>
        <w:rPr>
          <w:rFonts w:hint="default" w:ascii="Times New Roman" w:hAnsi="Times New Roman" w:cs="Times New Roman"/>
          <w:b/>
          <w:bCs/>
          <w:color w:val="auto"/>
          <w:kern w:val="0"/>
          <w:sz w:val="24"/>
          <w:szCs w:val="28"/>
          <w:u w:val="single"/>
          <w:lang w:val="en-US" w:eastAsia="zh-CN"/>
        </w:rPr>
        <w:t>规划至2020年，全乡建设占用耕地控制在4.54公顷，安排补充耕地任务164.33公顷。</w:t>
      </w:r>
    </w:p>
    <w:p>
      <w:pPr>
        <w:autoSpaceDE w:val="0"/>
        <w:autoSpaceDN w:val="0"/>
        <w:spacing w:line="360" w:lineRule="auto"/>
        <w:ind w:firstLine="482" w:firstLineChars="200"/>
        <w:textAlignment w:val="baseline"/>
        <w:rPr>
          <w:rFonts w:hint="default" w:ascii="Times New Roman" w:hAnsi="Times New Roman" w:cs="Times New Roman"/>
          <w:b/>
          <w:bCs/>
          <w:color w:val="auto"/>
          <w:kern w:val="0"/>
          <w:sz w:val="24"/>
          <w:szCs w:val="28"/>
          <w:u w:val="single"/>
        </w:rPr>
      </w:pPr>
      <w:r>
        <w:rPr>
          <w:rFonts w:hint="default" w:ascii="Times New Roman" w:hAnsi="Times New Roman" w:cs="Times New Roman"/>
          <w:b/>
          <w:bCs/>
          <w:color w:val="auto"/>
          <w:kern w:val="0"/>
          <w:sz w:val="24"/>
          <w:szCs w:val="28"/>
          <w:u w:val="single"/>
          <w:lang w:val="en-US" w:eastAsia="zh-CN"/>
        </w:rPr>
        <w:t>2.8.4保护和改善生态环境</w:t>
      </w:r>
    </w:p>
    <w:p>
      <w:pPr>
        <w:autoSpaceDE w:val="0"/>
        <w:autoSpaceDN w:val="0"/>
        <w:spacing w:line="360" w:lineRule="auto"/>
        <w:ind w:firstLine="482" w:firstLineChars="200"/>
        <w:textAlignment w:val="baseline"/>
        <w:rPr>
          <w:rFonts w:hint="default" w:ascii="Times New Roman" w:hAnsi="Times New Roman" w:cs="Times New Roman"/>
          <w:b/>
          <w:bCs/>
          <w:color w:val="auto"/>
          <w:kern w:val="0"/>
          <w:sz w:val="24"/>
          <w:szCs w:val="28"/>
          <w:u w:val="single"/>
        </w:rPr>
      </w:pPr>
      <w:r>
        <w:rPr>
          <w:rFonts w:hint="default" w:ascii="Times New Roman" w:hAnsi="Times New Roman" w:cs="Times New Roman"/>
          <w:b/>
          <w:bCs/>
          <w:color w:val="auto"/>
          <w:kern w:val="0"/>
          <w:sz w:val="24"/>
          <w:szCs w:val="28"/>
          <w:u w:val="single"/>
          <w:lang w:val="en-US" w:eastAsia="zh-CN"/>
        </w:rPr>
        <w:t>针对部分地区水土流失严重、生态环境遭到破坏的现象，规划期间应加大植树造林力度，进一步提高森林覆盖率，加强小流域水土保持林建设，严格控制各类污染，居民生活环境质量得到显著改善。农用地特别是耕地污染的防治工作得到加强，农村环境质量显著提高。</w:t>
      </w:r>
    </w:p>
    <w:p>
      <w:pPr>
        <w:autoSpaceDE w:val="0"/>
        <w:autoSpaceDN w:val="0"/>
        <w:spacing w:line="360" w:lineRule="auto"/>
        <w:ind w:firstLine="482" w:firstLineChars="200"/>
        <w:textAlignment w:val="baseline"/>
        <w:rPr>
          <w:rFonts w:hint="default" w:ascii="Times New Roman" w:hAnsi="Times New Roman" w:cs="Times New Roman"/>
          <w:b/>
          <w:bCs/>
          <w:color w:val="auto"/>
          <w:kern w:val="0"/>
          <w:sz w:val="24"/>
          <w:szCs w:val="28"/>
          <w:u w:val="single"/>
        </w:rPr>
      </w:pPr>
      <w:r>
        <w:rPr>
          <w:rFonts w:hint="default" w:ascii="Times New Roman" w:hAnsi="Times New Roman" w:cs="Times New Roman"/>
          <w:b/>
          <w:bCs/>
          <w:color w:val="auto"/>
          <w:kern w:val="0"/>
          <w:sz w:val="24"/>
          <w:szCs w:val="28"/>
          <w:u w:val="single"/>
        </w:rPr>
        <w:t>本项目不在</w:t>
      </w:r>
      <w:r>
        <w:rPr>
          <w:rFonts w:hint="default" w:ascii="Times New Roman" w:hAnsi="Times New Roman" w:cs="Times New Roman"/>
          <w:b/>
          <w:bCs/>
          <w:color w:val="auto"/>
          <w:kern w:val="0"/>
          <w:sz w:val="24"/>
          <w:szCs w:val="28"/>
          <w:u w:val="single"/>
          <w:lang w:eastAsia="zh-CN"/>
        </w:rPr>
        <w:t>清丰韩村镇</w:t>
      </w:r>
      <w:r>
        <w:rPr>
          <w:rFonts w:hint="default" w:ascii="Times New Roman" w:hAnsi="Times New Roman" w:cs="Times New Roman"/>
          <w:b/>
          <w:bCs/>
          <w:color w:val="auto"/>
          <w:kern w:val="0"/>
          <w:sz w:val="24"/>
          <w:szCs w:val="28"/>
          <w:u w:val="single"/>
        </w:rPr>
        <w:t>城市总体规划范围内。</w:t>
      </w:r>
    </w:p>
    <w:p>
      <w:pPr>
        <w:pStyle w:val="30"/>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color w:val="auto"/>
          <w:lang w:val="en-US" w:eastAsia="zh-CN"/>
        </w:rPr>
        <w:t>9</w:t>
      </w:r>
      <w:r>
        <w:rPr>
          <w:rFonts w:hint="default" w:ascii="Times New Roman" w:hAnsi="Times New Roman" w:cs="Times New Roman"/>
          <w:color w:val="auto"/>
        </w:rPr>
        <w:t xml:space="preserve"> </w:t>
      </w:r>
      <w:bookmarkEnd w:id="170"/>
      <w:bookmarkEnd w:id="171"/>
      <w:r>
        <w:rPr>
          <w:rFonts w:hint="default" w:ascii="Times New Roman" w:hAnsi="Times New Roman" w:cs="Times New Roman"/>
          <w:color w:val="auto"/>
        </w:rPr>
        <w:t>评价专题章节设置</w:t>
      </w:r>
      <w:bookmarkEnd w:id="172"/>
      <w:bookmarkEnd w:id="181"/>
      <w:bookmarkEnd w:id="182"/>
    </w:p>
    <w:p>
      <w:pPr>
        <w:ind w:firstLine="480"/>
        <w:rPr>
          <w:rFonts w:hint="default" w:ascii="Times New Roman" w:hAnsi="Times New Roman" w:cs="Times New Roman"/>
          <w:color w:val="auto"/>
        </w:rPr>
      </w:pPr>
      <w:r>
        <w:rPr>
          <w:rFonts w:hint="default" w:ascii="Times New Roman" w:hAnsi="Times New Roman" w:cs="Times New Roman"/>
          <w:color w:val="auto"/>
        </w:rPr>
        <w:t>（1）概述</w:t>
      </w:r>
    </w:p>
    <w:p>
      <w:pPr>
        <w:ind w:firstLine="480"/>
        <w:rPr>
          <w:rFonts w:hint="default" w:ascii="Times New Roman" w:hAnsi="Times New Roman" w:cs="Times New Roman"/>
          <w:color w:val="auto"/>
        </w:rPr>
      </w:pPr>
      <w:r>
        <w:rPr>
          <w:rFonts w:hint="default" w:ascii="Times New Roman" w:hAnsi="Times New Roman" w:cs="Times New Roman"/>
          <w:color w:val="auto"/>
        </w:rPr>
        <w:t>（2）总论</w:t>
      </w:r>
    </w:p>
    <w:p>
      <w:pPr>
        <w:ind w:firstLine="480"/>
        <w:rPr>
          <w:rFonts w:hint="default" w:ascii="Times New Roman" w:hAnsi="Times New Roman" w:cs="Times New Roman"/>
          <w:color w:val="auto"/>
        </w:rPr>
      </w:pPr>
      <w:r>
        <w:rPr>
          <w:rFonts w:hint="default" w:ascii="Times New Roman" w:hAnsi="Times New Roman" w:cs="Times New Roman"/>
          <w:color w:val="auto"/>
        </w:rPr>
        <w:t>（3）工程分析</w:t>
      </w:r>
    </w:p>
    <w:p>
      <w:pPr>
        <w:ind w:firstLine="480"/>
        <w:rPr>
          <w:rFonts w:hint="default" w:ascii="Times New Roman" w:hAnsi="Times New Roman" w:cs="Times New Roman"/>
          <w:color w:val="auto"/>
        </w:rPr>
      </w:pPr>
      <w:r>
        <w:rPr>
          <w:rFonts w:hint="default" w:ascii="Times New Roman" w:hAnsi="Times New Roman" w:cs="Times New Roman"/>
          <w:color w:val="auto"/>
        </w:rPr>
        <w:t>（4）区域环境概况及环境质量现状评价</w:t>
      </w:r>
    </w:p>
    <w:p>
      <w:pPr>
        <w:ind w:firstLine="480"/>
        <w:rPr>
          <w:rFonts w:hint="default" w:ascii="Times New Roman" w:hAnsi="Times New Roman" w:cs="Times New Roman"/>
          <w:color w:val="auto"/>
        </w:rPr>
      </w:pPr>
      <w:r>
        <w:rPr>
          <w:rFonts w:hint="default" w:ascii="Times New Roman" w:hAnsi="Times New Roman" w:cs="Times New Roman"/>
          <w:color w:val="auto"/>
        </w:rPr>
        <w:t>（5）环境质量影响预测与评价</w:t>
      </w:r>
    </w:p>
    <w:p>
      <w:pPr>
        <w:ind w:firstLine="480"/>
        <w:rPr>
          <w:rFonts w:hint="default" w:ascii="Times New Roman" w:hAnsi="Times New Roman" w:cs="Times New Roman"/>
          <w:color w:val="auto"/>
        </w:rPr>
      </w:pPr>
      <w:r>
        <w:rPr>
          <w:rFonts w:hint="default" w:ascii="Times New Roman" w:hAnsi="Times New Roman" w:cs="Times New Roman"/>
          <w:color w:val="auto"/>
        </w:rPr>
        <w:t>（6）防污减污措施评价</w:t>
      </w:r>
    </w:p>
    <w:p>
      <w:pPr>
        <w:ind w:firstLine="480"/>
        <w:rPr>
          <w:rFonts w:hint="default" w:ascii="Times New Roman" w:hAnsi="Times New Roman" w:cs="Times New Roman"/>
          <w:color w:val="auto"/>
        </w:rPr>
      </w:pPr>
      <w:r>
        <w:rPr>
          <w:rFonts w:hint="default" w:ascii="Times New Roman" w:hAnsi="Times New Roman" w:cs="Times New Roman"/>
          <w:color w:val="auto"/>
        </w:rPr>
        <w:t>（7）场址及总图布置可行性分析</w:t>
      </w:r>
    </w:p>
    <w:p>
      <w:pPr>
        <w:ind w:firstLine="480"/>
        <w:rPr>
          <w:rFonts w:hint="default" w:ascii="Times New Roman" w:hAnsi="Times New Roman" w:cs="Times New Roman"/>
          <w:color w:val="auto"/>
        </w:rPr>
      </w:pPr>
      <w:r>
        <w:rPr>
          <w:rFonts w:hint="default" w:ascii="Times New Roman" w:hAnsi="Times New Roman" w:cs="Times New Roman"/>
          <w:color w:val="auto"/>
        </w:rPr>
        <w:t>（8）环境经济损益分析</w:t>
      </w:r>
    </w:p>
    <w:p>
      <w:pPr>
        <w:ind w:firstLine="480"/>
        <w:rPr>
          <w:rFonts w:hint="default" w:ascii="Times New Roman" w:hAnsi="Times New Roman" w:cs="Times New Roman"/>
          <w:color w:val="auto"/>
        </w:rPr>
      </w:pPr>
      <w:r>
        <w:rPr>
          <w:rFonts w:hint="default" w:ascii="Times New Roman" w:hAnsi="Times New Roman" w:cs="Times New Roman"/>
          <w:color w:val="auto"/>
        </w:rPr>
        <w:t>（9）环境管理与环境监测</w:t>
      </w:r>
    </w:p>
    <w:p>
      <w:pPr>
        <w:ind w:firstLine="480"/>
        <w:rPr>
          <w:rFonts w:hint="default" w:ascii="Times New Roman" w:hAnsi="Times New Roman" w:cs="Times New Roman"/>
          <w:color w:val="auto"/>
        </w:rPr>
      </w:pPr>
      <w:r>
        <w:rPr>
          <w:rFonts w:hint="default" w:ascii="Times New Roman" w:hAnsi="Times New Roman" w:cs="Times New Roman"/>
          <w:color w:val="auto"/>
        </w:rPr>
        <w:t>（10）结论与建议</w:t>
      </w:r>
    </w:p>
    <w:p>
      <w:pPr>
        <w:pStyle w:val="30"/>
        <w:spacing w:line="360" w:lineRule="auto"/>
        <w:rPr>
          <w:rFonts w:hint="default" w:ascii="Times New Roman" w:hAnsi="Times New Roman" w:cs="Times New Roman"/>
          <w:color w:val="auto"/>
        </w:rPr>
      </w:pPr>
      <w:bookmarkStart w:id="183" w:name="_Toc413827931"/>
      <w:bookmarkStart w:id="184" w:name="_Toc27674"/>
      <w:bookmarkStart w:id="185" w:name="_Toc328371601"/>
      <w:bookmarkStart w:id="186" w:name="_Toc2090"/>
      <w:bookmarkStart w:id="187" w:name="_Toc275796695"/>
      <w:bookmarkStart w:id="188" w:name="_Toc275449600"/>
      <w:bookmarkStart w:id="189" w:name="_Toc275448969"/>
      <w:bookmarkStart w:id="190" w:name="_Toc441490829"/>
      <w:bookmarkStart w:id="191" w:name="_Toc402441865"/>
      <w:bookmarkStart w:id="192" w:name="_Toc345417253"/>
      <w:bookmarkStart w:id="193" w:name="_Toc275796858"/>
      <w:bookmarkStart w:id="194" w:name="_Toc278310160"/>
      <w:r>
        <w:rPr>
          <w:rFonts w:hint="default" w:ascii="Times New Roman" w:hAnsi="Times New Roman" w:cs="Times New Roman"/>
          <w:color w:val="auto"/>
        </w:rPr>
        <w:t>2.</w:t>
      </w:r>
      <w:r>
        <w:rPr>
          <w:rFonts w:hint="default" w:ascii="Times New Roman" w:hAnsi="Times New Roman" w:cs="Times New Roman"/>
          <w:color w:val="auto"/>
          <w:lang w:val="en-US" w:eastAsia="zh-CN"/>
        </w:rPr>
        <w:t>10</w:t>
      </w:r>
      <w:r>
        <w:rPr>
          <w:rFonts w:hint="default" w:ascii="Times New Roman" w:hAnsi="Times New Roman" w:cs="Times New Roman"/>
          <w:color w:val="auto"/>
        </w:rPr>
        <w:t xml:space="preserve"> 评价工作程序</w:t>
      </w:r>
      <w:bookmarkEnd w:id="183"/>
      <w:bookmarkEnd w:id="184"/>
      <w:bookmarkEnd w:id="185"/>
      <w:bookmarkEnd w:id="186"/>
      <w:bookmarkEnd w:id="187"/>
      <w:bookmarkEnd w:id="188"/>
      <w:bookmarkEnd w:id="189"/>
      <w:bookmarkEnd w:id="190"/>
      <w:bookmarkEnd w:id="191"/>
      <w:bookmarkEnd w:id="192"/>
      <w:bookmarkEnd w:id="193"/>
      <w:bookmarkEnd w:id="194"/>
    </w:p>
    <w:p>
      <w:pPr>
        <w:ind w:firstLine="480"/>
        <w:rPr>
          <w:rFonts w:hint="default" w:ascii="Times New Roman" w:hAnsi="Times New Roman" w:cs="Times New Roman"/>
          <w:color w:val="auto"/>
        </w:rPr>
      </w:pPr>
      <w:r>
        <w:rPr>
          <w:rFonts w:hint="default" w:ascii="Times New Roman" w:hAnsi="Times New Roman" w:cs="Times New Roman"/>
          <w:color w:val="auto"/>
        </w:rPr>
        <w:t>环境影响评价工作程序见图2-1。</w:t>
      </w:r>
    </w:p>
    <w:p>
      <w:pPr>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558155" cy="6374765"/>
            <wp:effectExtent l="0" t="0" r="444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1" cstate="print"/>
                    <a:stretch>
                      <a:fillRect/>
                    </a:stretch>
                  </pic:blipFill>
                  <pic:spPr>
                    <a:xfrm>
                      <a:off x="0" y="0"/>
                      <a:ext cx="5558155" cy="6374765"/>
                    </a:xfrm>
                    <a:prstGeom prst="rect">
                      <a:avLst/>
                    </a:prstGeom>
                    <a:noFill/>
                    <a:ln>
                      <a:noFill/>
                    </a:ln>
                  </pic:spPr>
                </pic:pic>
              </a:graphicData>
            </a:graphic>
          </wp:inline>
        </w:drawing>
      </w:r>
    </w:p>
    <w:p>
      <w:pPr>
        <w:spacing w:line="240" w:lineRule="auto"/>
        <w:ind w:firstLine="480"/>
        <w:jc w:val="center"/>
        <w:rPr>
          <w:rFonts w:hint="default" w:ascii="Times New Roman" w:hAnsi="Times New Roman" w:eastAsia="黑体" w:cs="Times New Roman"/>
          <w:color w:val="auto"/>
        </w:rPr>
      </w:pPr>
    </w:p>
    <w:p>
      <w:pPr>
        <w:spacing w:line="240" w:lineRule="auto"/>
        <w:ind w:firstLine="480"/>
        <w:jc w:val="center"/>
        <w:rPr>
          <w:rFonts w:hint="default" w:ascii="Times New Roman" w:hAnsi="Times New Roman" w:eastAsia="黑体" w:cs="Times New Roman"/>
          <w:color w:val="auto"/>
        </w:rPr>
        <w:sectPr>
          <w:headerReference r:id="rId7" w:type="default"/>
          <w:pgSz w:w="11906" w:h="16838"/>
          <w:pgMar w:top="1587" w:right="1587" w:bottom="1587" w:left="1587" w:header="851" w:footer="992"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黑体" w:cs="Times New Roman"/>
          <w:color w:val="auto"/>
        </w:rPr>
        <w:t>图2-1   环境影响评价工作程序</w:t>
      </w:r>
    </w:p>
    <w:p>
      <w:pPr>
        <w:pStyle w:val="24"/>
        <w:ind w:left="480" w:firstLine="480"/>
        <w:rPr>
          <w:rFonts w:hint="default" w:ascii="Times New Roman" w:hAnsi="Times New Roman" w:cs="Times New Roman"/>
          <w:color w:val="auto"/>
        </w:rPr>
      </w:pPr>
    </w:p>
    <w:p>
      <w:pPr>
        <w:keepNext/>
        <w:keepLines/>
        <w:spacing w:before="100" w:beforeAutospacing="1" w:after="100" w:afterAutospacing="1"/>
        <w:ind w:firstLine="0" w:firstLineChars="0"/>
        <w:jc w:val="center"/>
        <w:outlineLvl w:val="0"/>
        <w:rPr>
          <w:rFonts w:hint="default" w:ascii="Times New Roman" w:hAnsi="Times New Roman" w:eastAsia="黑体" w:cs="Times New Roman"/>
          <w:color w:val="auto"/>
          <w:sz w:val="44"/>
          <w:szCs w:val="44"/>
        </w:rPr>
      </w:pPr>
      <w:bookmarkStart w:id="195" w:name="_Toc24374"/>
      <w:bookmarkStart w:id="196" w:name="_Toc485579831"/>
      <w:bookmarkStart w:id="197" w:name="_Toc468115351"/>
      <w:bookmarkStart w:id="198" w:name="_Toc443924632"/>
      <w:bookmarkStart w:id="199" w:name="_Toc22488"/>
      <w:r>
        <w:rPr>
          <w:rFonts w:hint="default" w:ascii="Times New Roman" w:hAnsi="Times New Roman" w:eastAsia="黑体" w:cs="Times New Roman"/>
          <w:color w:val="auto"/>
          <w:sz w:val="44"/>
          <w:szCs w:val="44"/>
        </w:rPr>
        <w:t>第三章  工程分析</w:t>
      </w:r>
      <w:bookmarkEnd w:id="195"/>
      <w:bookmarkEnd w:id="196"/>
      <w:bookmarkEnd w:id="197"/>
      <w:bookmarkEnd w:id="198"/>
      <w:bookmarkEnd w:id="199"/>
    </w:p>
    <w:p>
      <w:pPr>
        <w:pStyle w:val="30"/>
        <w:rPr>
          <w:rFonts w:hint="default" w:ascii="Times New Roman" w:hAnsi="Times New Roman" w:cs="Times New Roman"/>
          <w:color w:val="auto"/>
        </w:rPr>
      </w:pPr>
      <w:bookmarkStart w:id="200" w:name="_Toc311979792"/>
      <w:bookmarkStart w:id="201" w:name="_Toc17852"/>
      <w:bookmarkStart w:id="202" w:name="_Toc406847391"/>
      <w:bookmarkStart w:id="203" w:name="_Toc485579832"/>
      <w:bookmarkStart w:id="204" w:name="_Toc311979838"/>
      <w:bookmarkStart w:id="205" w:name="_Toc407001384"/>
      <w:bookmarkStart w:id="206" w:name="_Toc468115352"/>
      <w:bookmarkStart w:id="207" w:name="_Toc311979906"/>
      <w:bookmarkStart w:id="208" w:name="_Toc413166111"/>
      <w:bookmarkStart w:id="209" w:name="_Toc443924633"/>
      <w:bookmarkStart w:id="210" w:name="_Toc388881894"/>
      <w:bookmarkStart w:id="211" w:name="_Toc13726"/>
      <w:bookmarkStart w:id="212" w:name="_Toc269400656"/>
      <w:r>
        <w:rPr>
          <w:rFonts w:hint="default" w:ascii="Times New Roman" w:hAnsi="Times New Roman" w:cs="Times New Roman"/>
          <w:color w:val="auto"/>
        </w:rPr>
        <w:t>3.1 拟建项目工程概况</w:t>
      </w:r>
      <w:bookmarkEnd w:id="200"/>
      <w:bookmarkEnd w:id="201"/>
      <w:bookmarkEnd w:id="202"/>
      <w:bookmarkEnd w:id="203"/>
      <w:bookmarkEnd w:id="204"/>
      <w:bookmarkEnd w:id="205"/>
      <w:bookmarkEnd w:id="206"/>
      <w:bookmarkEnd w:id="207"/>
      <w:bookmarkEnd w:id="208"/>
      <w:bookmarkEnd w:id="209"/>
      <w:bookmarkEnd w:id="210"/>
      <w:bookmarkEnd w:id="211"/>
    </w:p>
    <w:p>
      <w:pPr>
        <w:pStyle w:val="34"/>
        <w:ind w:firstLine="480"/>
        <w:rPr>
          <w:rFonts w:hint="default" w:ascii="Times New Roman" w:hAnsi="Times New Roman" w:cs="Times New Roman"/>
          <w:color w:val="auto"/>
        </w:rPr>
      </w:pPr>
      <w:bookmarkStart w:id="213" w:name="_Toc413166112"/>
      <w:bookmarkStart w:id="214" w:name="_Toc388881895"/>
      <w:bookmarkStart w:id="215" w:name="_Toc407001385"/>
      <w:bookmarkStart w:id="216" w:name="_Toc406847392"/>
      <w:bookmarkStart w:id="217" w:name="_Toc311979793"/>
      <w:bookmarkStart w:id="218" w:name="_Toc311979839"/>
      <w:bookmarkStart w:id="219" w:name="_Toc311979907"/>
      <w:bookmarkStart w:id="220" w:name="_Toc468115353"/>
      <w:r>
        <w:rPr>
          <w:rFonts w:hint="default" w:ascii="Times New Roman" w:hAnsi="Times New Roman" w:cs="Times New Roman"/>
          <w:color w:val="auto"/>
        </w:rPr>
        <w:t>3.1.1</w:t>
      </w:r>
      <w:bookmarkEnd w:id="213"/>
      <w:bookmarkEnd w:id="214"/>
      <w:bookmarkEnd w:id="215"/>
      <w:bookmarkEnd w:id="216"/>
      <w:bookmarkEnd w:id="217"/>
      <w:bookmarkEnd w:id="218"/>
      <w:bookmarkEnd w:id="219"/>
      <w:r>
        <w:rPr>
          <w:rFonts w:hint="default" w:ascii="Times New Roman" w:hAnsi="Times New Roman" w:cs="Times New Roman"/>
          <w:color w:val="auto"/>
        </w:rPr>
        <w:t>工程基本</w:t>
      </w:r>
      <w:bookmarkEnd w:id="220"/>
      <w:r>
        <w:rPr>
          <w:rFonts w:hint="default" w:ascii="Times New Roman" w:hAnsi="Times New Roman" w:cs="Times New Roman"/>
          <w:color w:val="auto"/>
        </w:rPr>
        <w:t>情况</w:t>
      </w:r>
    </w:p>
    <w:bookmarkEnd w:id="212"/>
    <w:p>
      <w:pPr>
        <w:ind w:firstLine="480"/>
        <w:jc w:val="left"/>
        <w:rPr>
          <w:rFonts w:hint="default" w:ascii="Times New Roman" w:hAnsi="Times New Roman" w:cs="Times New Roman"/>
          <w:color w:val="auto"/>
        </w:rPr>
      </w:pPr>
      <w:bookmarkStart w:id="221" w:name="_Toc311979908"/>
      <w:bookmarkStart w:id="222" w:name="_Toc311979794"/>
      <w:bookmarkStart w:id="223" w:name="_Toc311979840"/>
      <w:r>
        <w:rPr>
          <w:rFonts w:hint="default" w:ascii="Times New Roman" w:hAnsi="Times New Roman" w:cs="Times New Roman"/>
          <w:color w:val="auto"/>
        </w:rPr>
        <w:t>本项目基本情况见表3.1-1。</w:t>
      </w:r>
    </w:p>
    <w:p>
      <w:pPr>
        <w:spacing w:afterLines="30"/>
        <w:ind w:firstLine="482"/>
        <w:jc w:val="left"/>
        <w:rPr>
          <w:rFonts w:hint="default" w:ascii="Times New Roman" w:hAnsi="Times New Roman" w:cs="Times New Roman"/>
          <w:b/>
          <w:color w:val="auto"/>
        </w:rPr>
      </w:pPr>
      <w:r>
        <w:rPr>
          <w:rFonts w:hint="default" w:ascii="Times New Roman" w:hAnsi="Times New Roman" w:cs="Times New Roman"/>
          <w:b/>
          <w:color w:val="auto"/>
        </w:rPr>
        <w:t xml:space="preserve">  </w:t>
      </w:r>
      <w:r>
        <w:rPr>
          <w:rFonts w:hint="default" w:ascii="Times New Roman" w:hAnsi="Times New Roman" w:cs="Times New Roman"/>
          <w:b/>
          <w:color w:val="auto"/>
          <w:szCs w:val="21"/>
        </w:rPr>
        <w:t>表3.1-1                本项目基本情况一览表</w:t>
      </w:r>
    </w:p>
    <w:tbl>
      <w:tblPr>
        <w:tblStyle w:val="25"/>
        <w:tblW w:w="873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4"/>
        <w:gridCol w:w="1904"/>
        <w:gridCol w:w="630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dxa"/>
            <w:tcMar>
              <w:top w:w="0" w:type="dxa"/>
              <w:left w:w="0" w:type="dxa"/>
              <w:bottom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904" w:type="dxa"/>
            <w:tcMar>
              <w:top w:w="0" w:type="dxa"/>
              <w:left w:w="0" w:type="dxa"/>
              <w:bottom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    目</w:t>
            </w:r>
          </w:p>
        </w:tc>
        <w:tc>
          <w:tcPr>
            <w:tcW w:w="6302" w:type="dxa"/>
            <w:tcMar>
              <w:top w:w="0" w:type="dxa"/>
              <w:left w:w="0" w:type="dxa"/>
              <w:bottom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内          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dxa"/>
            <w:tcMar>
              <w:top w:w="0" w:type="dxa"/>
              <w:left w:w="0" w:type="dxa"/>
              <w:bottom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904" w:type="dxa"/>
            <w:tcMar>
              <w:top w:w="0" w:type="dxa"/>
              <w:left w:w="0" w:type="dxa"/>
              <w:bottom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工程名称</w:t>
            </w:r>
          </w:p>
        </w:tc>
        <w:tc>
          <w:tcPr>
            <w:tcW w:w="6302" w:type="dxa"/>
            <w:tcMar>
              <w:top w:w="0" w:type="dxa"/>
              <w:left w:w="0" w:type="dxa"/>
              <w:bottom w:w="0" w:type="dxa"/>
              <w:right w:w="0" w:type="dxa"/>
            </w:tcMar>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牧原食品股份有限公司清丰一场生猪养殖项目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524" w:type="dxa"/>
            <w:tcMar>
              <w:top w:w="0" w:type="dxa"/>
              <w:left w:w="0" w:type="dxa"/>
              <w:bottom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904" w:type="dxa"/>
            <w:tcMar>
              <w:top w:w="0" w:type="dxa"/>
              <w:left w:w="0" w:type="dxa"/>
              <w:bottom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工程建设单位</w:t>
            </w:r>
          </w:p>
        </w:tc>
        <w:tc>
          <w:tcPr>
            <w:tcW w:w="6302" w:type="dxa"/>
            <w:tcMar>
              <w:top w:w="0" w:type="dxa"/>
              <w:left w:w="0" w:type="dxa"/>
              <w:bottom w:w="0" w:type="dxa"/>
              <w:right w:w="0" w:type="dxa"/>
            </w:tcMar>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牧原食品股份有限公司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dxa"/>
            <w:tcMar>
              <w:top w:w="0" w:type="dxa"/>
              <w:left w:w="0" w:type="dxa"/>
              <w:bottom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904" w:type="dxa"/>
            <w:tcMar>
              <w:top w:w="0" w:type="dxa"/>
              <w:left w:w="0" w:type="dxa"/>
              <w:bottom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建设性质</w:t>
            </w:r>
          </w:p>
        </w:tc>
        <w:tc>
          <w:tcPr>
            <w:tcW w:w="6302" w:type="dxa"/>
            <w:tcMar>
              <w:top w:w="0" w:type="dxa"/>
              <w:left w:w="0" w:type="dxa"/>
              <w:bottom w:w="0" w:type="dxa"/>
              <w:right w:w="0" w:type="dxa"/>
            </w:tcMar>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dxa"/>
            <w:tcMar>
              <w:top w:w="0" w:type="dxa"/>
              <w:left w:w="0" w:type="dxa"/>
              <w:bottom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904" w:type="dxa"/>
            <w:tcMar>
              <w:top w:w="0" w:type="dxa"/>
              <w:left w:w="0" w:type="dxa"/>
              <w:bottom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行业类别</w:t>
            </w:r>
          </w:p>
        </w:tc>
        <w:tc>
          <w:tcPr>
            <w:tcW w:w="6302" w:type="dxa"/>
            <w:tcMar>
              <w:top w:w="0" w:type="dxa"/>
              <w:left w:w="0" w:type="dxa"/>
              <w:bottom w:w="0" w:type="dxa"/>
              <w:right w:w="0" w:type="dxa"/>
            </w:tcMar>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畜牧业（A3）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dxa"/>
            <w:tcMar>
              <w:top w:w="0" w:type="dxa"/>
              <w:left w:w="0" w:type="dxa"/>
              <w:bottom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904" w:type="dxa"/>
            <w:tcMar>
              <w:top w:w="0" w:type="dxa"/>
              <w:left w:w="0" w:type="dxa"/>
              <w:bottom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建设地点</w:t>
            </w:r>
          </w:p>
        </w:tc>
        <w:tc>
          <w:tcPr>
            <w:tcW w:w="6302" w:type="dxa"/>
            <w:tcMar>
              <w:top w:w="0" w:type="dxa"/>
              <w:left w:w="0" w:type="dxa"/>
              <w:bottom w:w="0" w:type="dxa"/>
              <w:right w:w="0" w:type="dxa"/>
            </w:tcMar>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濮阳市清丰县韩村镇杨韩村北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dxa"/>
            <w:tcMar>
              <w:top w:w="0" w:type="dxa"/>
              <w:left w:w="0" w:type="dxa"/>
              <w:bottom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1904" w:type="dxa"/>
            <w:tcMar>
              <w:top w:w="0" w:type="dxa"/>
              <w:left w:w="0" w:type="dxa"/>
              <w:bottom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占地面积</w:t>
            </w:r>
          </w:p>
        </w:tc>
        <w:tc>
          <w:tcPr>
            <w:tcW w:w="6302" w:type="dxa"/>
            <w:tcMar>
              <w:top w:w="0" w:type="dxa"/>
              <w:left w:w="0" w:type="dxa"/>
              <w:bottom w:w="0" w:type="dxa"/>
              <w:right w:w="0" w:type="dxa"/>
            </w:tcMar>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highlight w:val="yellow"/>
              </w:rPr>
            </w:pPr>
            <w:bookmarkStart w:id="224" w:name="OLE_LINK7"/>
            <w:r>
              <w:rPr>
                <w:rFonts w:hint="default" w:ascii="Times New Roman" w:hAnsi="Times New Roman" w:cs="Times New Roman"/>
                <w:color w:val="auto"/>
                <w:sz w:val="21"/>
                <w:szCs w:val="21"/>
              </w:rPr>
              <w:t>167亩</w:t>
            </w:r>
            <w:bookmarkEnd w:id="224"/>
            <w:r>
              <w:rPr>
                <w:rFonts w:hint="default" w:ascii="Times New Roman" w:hAnsi="Times New Roman" w:cs="Times New Roman"/>
                <w:color w:val="auto"/>
                <w:sz w:val="21"/>
                <w:szCs w:val="21"/>
              </w:rPr>
              <w:t>，一般耕地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dxa"/>
            <w:tcMar>
              <w:top w:w="0" w:type="dxa"/>
              <w:left w:w="0" w:type="dxa"/>
              <w:bottom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1904" w:type="dxa"/>
            <w:tcMar>
              <w:top w:w="0" w:type="dxa"/>
              <w:left w:w="0" w:type="dxa"/>
              <w:bottom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建筑面积</w:t>
            </w:r>
          </w:p>
        </w:tc>
        <w:tc>
          <w:tcPr>
            <w:tcW w:w="6302" w:type="dxa"/>
            <w:tcMar>
              <w:top w:w="0" w:type="dxa"/>
              <w:left w:w="0" w:type="dxa"/>
              <w:bottom w:w="0" w:type="dxa"/>
              <w:right w:w="0" w:type="dxa"/>
            </w:tcMar>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41500m</w:t>
            </w:r>
            <w:r>
              <w:rPr>
                <w:rFonts w:hint="default" w:ascii="Times New Roman" w:hAnsi="Times New Roman" w:cs="Times New Roman"/>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dxa"/>
            <w:tcMar>
              <w:top w:w="0" w:type="dxa"/>
              <w:left w:w="0" w:type="dxa"/>
              <w:bottom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1904" w:type="dxa"/>
            <w:tcMar>
              <w:top w:w="0" w:type="dxa"/>
              <w:left w:w="0" w:type="dxa"/>
              <w:bottom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投资</w:t>
            </w:r>
          </w:p>
        </w:tc>
        <w:tc>
          <w:tcPr>
            <w:tcW w:w="6302" w:type="dxa"/>
            <w:tcMar>
              <w:top w:w="0" w:type="dxa"/>
              <w:left w:w="0" w:type="dxa"/>
              <w:bottom w:w="0" w:type="dxa"/>
              <w:right w:w="0" w:type="dxa"/>
            </w:tcMar>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rPr>
            </w:pPr>
            <w:r>
              <w:rPr>
                <w:rFonts w:hint="default" w:ascii="Times New Roman" w:hAnsi="Times New Roman" w:cs="Times New Roman"/>
                <w:iCs/>
                <w:color w:val="auto"/>
                <w:kern w:val="0"/>
                <w:sz w:val="21"/>
                <w:szCs w:val="21"/>
              </w:rPr>
              <w:t>9012.19</w:t>
            </w:r>
            <w:r>
              <w:rPr>
                <w:rFonts w:hint="default" w:ascii="Times New Roman" w:hAnsi="Times New Roman" w:cs="Times New Roman"/>
                <w:color w:val="auto"/>
                <w:sz w:val="21"/>
                <w:szCs w:val="21"/>
              </w:rPr>
              <w:t>万元，企业自筹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4" w:type="dxa"/>
            <w:tcMar>
              <w:top w:w="0" w:type="dxa"/>
              <w:left w:w="0" w:type="dxa"/>
              <w:bottom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1904" w:type="dxa"/>
            <w:tcMar>
              <w:top w:w="0" w:type="dxa"/>
              <w:left w:w="0" w:type="dxa"/>
              <w:bottom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生产规模</w:t>
            </w:r>
          </w:p>
        </w:tc>
        <w:tc>
          <w:tcPr>
            <w:tcW w:w="6302" w:type="dxa"/>
            <w:tcMar>
              <w:top w:w="0" w:type="dxa"/>
              <w:left w:w="0" w:type="dxa"/>
              <w:bottom w:w="0" w:type="dxa"/>
              <w:right w:w="0" w:type="dxa"/>
            </w:tcMar>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rPr>
            </w:pPr>
            <w:bookmarkStart w:id="225" w:name="OLE_LINK5"/>
            <w:r>
              <w:rPr>
                <w:rFonts w:hint="default" w:ascii="Times New Roman" w:hAnsi="Times New Roman" w:cs="Times New Roman"/>
                <w:color w:val="auto"/>
                <w:sz w:val="21"/>
                <w:szCs w:val="21"/>
              </w:rPr>
              <w:t>养殖场设计规模为年存栏量7500头，其中怀孕猪6500头、哺乳猪1000头，</w:t>
            </w:r>
            <w:bookmarkEnd w:id="225"/>
            <w:r>
              <w:rPr>
                <w:rFonts w:hint="default" w:ascii="Times New Roman" w:hAnsi="Times New Roman" w:cs="Times New Roman"/>
                <w:color w:val="auto"/>
                <w:sz w:val="21"/>
                <w:szCs w:val="21"/>
              </w:rPr>
              <w:t>后备舍1400头（不计入存栏量）</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预计年出栏仔猪</w:t>
            </w:r>
            <w:r>
              <w:rPr>
                <w:rFonts w:hint="default" w:ascii="Times New Roman" w:hAnsi="Times New Roman" w:cs="Times New Roman"/>
                <w:color w:val="auto"/>
                <w:sz w:val="21"/>
                <w:szCs w:val="21"/>
                <w:lang w:val="en-US" w:eastAsia="zh-CN"/>
              </w:rPr>
              <w:t>18.7</w:t>
            </w:r>
            <w:r>
              <w:rPr>
                <w:rFonts w:hint="eastAsia" w:cs="Times New Roman"/>
                <w:color w:val="auto"/>
                <w:sz w:val="21"/>
                <w:szCs w:val="21"/>
                <w:lang w:val="en-US" w:eastAsia="zh-CN"/>
              </w:rPr>
              <w:t>5</w:t>
            </w:r>
            <w:r>
              <w:rPr>
                <w:rFonts w:hint="default" w:ascii="Times New Roman" w:hAnsi="Times New Roman" w:cs="Times New Roman"/>
                <w:color w:val="auto"/>
                <w:sz w:val="21"/>
                <w:szCs w:val="21"/>
              </w:rPr>
              <w:t>万头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dxa"/>
            <w:tcMar>
              <w:top w:w="0" w:type="dxa"/>
              <w:left w:w="0" w:type="dxa"/>
              <w:bottom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904" w:type="dxa"/>
            <w:tcMar>
              <w:top w:w="0" w:type="dxa"/>
              <w:left w:w="0" w:type="dxa"/>
              <w:bottom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劳动定员及工作制度</w:t>
            </w:r>
          </w:p>
        </w:tc>
        <w:tc>
          <w:tcPr>
            <w:tcW w:w="6302" w:type="dxa"/>
            <w:tcMar>
              <w:top w:w="0" w:type="dxa"/>
              <w:left w:w="0" w:type="dxa"/>
              <w:bottom w:w="0" w:type="dxa"/>
              <w:right w:w="0" w:type="dxa"/>
            </w:tcMar>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年工作日365天，24小时工作制，全场劳动定员30人。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dxa"/>
            <w:tcMar>
              <w:top w:w="0" w:type="dxa"/>
              <w:left w:w="0" w:type="dxa"/>
              <w:bottom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1904" w:type="dxa"/>
            <w:tcMar>
              <w:top w:w="0" w:type="dxa"/>
              <w:left w:w="0" w:type="dxa"/>
              <w:bottom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工程主要组成</w:t>
            </w:r>
          </w:p>
        </w:tc>
        <w:tc>
          <w:tcPr>
            <w:tcW w:w="6302" w:type="dxa"/>
            <w:tcMar>
              <w:top w:w="0" w:type="dxa"/>
              <w:left w:w="0" w:type="dxa"/>
              <w:bottom w:w="0" w:type="dxa"/>
              <w:right w:w="0" w:type="dxa"/>
            </w:tcMar>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rPr>
            </w:pPr>
            <w:bookmarkStart w:id="226" w:name="OLE_LINK6"/>
            <w:r>
              <w:rPr>
                <w:rFonts w:hint="default" w:ascii="Times New Roman" w:hAnsi="Times New Roman" w:cs="Times New Roman"/>
                <w:color w:val="auto"/>
                <w:sz w:val="21"/>
                <w:szCs w:val="21"/>
              </w:rPr>
              <w:t>建设</w:t>
            </w:r>
            <w:bookmarkEnd w:id="226"/>
            <w:r>
              <w:rPr>
                <w:rFonts w:hint="default" w:ascii="Times New Roman" w:hAnsi="Times New Roman" w:cs="Times New Roman"/>
                <w:color w:val="auto"/>
                <w:sz w:val="21"/>
                <w:szCs w:val="21"/>
              </w:rPr>
              <w:t>怀孕舍33间、哺乳舍29间、后备舍8间等；配套沼气的收集、净化与利用设施；沼液综合利用设施；</w:t>
            </w:r>
            <w:r>
              <w:rPr>
                <w:rFonts w:hint="default" w:ascii="Times New Roman" w:hAnsi="Times New Roman" w:cs="Times New Roman"/>
                <w:color w:val="auto"/>
                <w:sz w:val="21"/>
                <w:szCs w:val="21"/>
                <w:lang w:eastAsia="zh-CN"/>
              </w:rPr>
              <w:t>固粪处理区</w:t>
            </w:r>
            <w:r>
              <w:rPr>
                <w:rFonts w:hint="default" w:ascii="Times New Roman" w:hAnsi="Times New Roman" w:cs="Times New Roman"/>
                <w:color w:val="auto"/>
                <w:sz w:val="21"/>
                <w:szCs w:val="21"/>
              </w:rPr>
              <w:t>及其它辅助生产设施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dxa"/>
            <w:tcMar>
              <w:top w:w="0" w:type="dxa"/>
              <w:left w:w="0" w:type="dxa"/>
              <w:bottom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1904" w:type="dxa"/>
            <w:tcMar>
              <w:top w:w="0" w:type="dxa"/>
              <w:left w:w="0" w:type="dxa"/>
              <w:bottom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排水去向</w:t>
            </w:r>
          </w:p>
        </w:tc>
        <w:tc>
          <w:tcPr>
            <w:tcW w:w="6302" w:type="dxa"/>
            <w:tcMar>
              <w:top w:w="0" w:type="dxa"/>
              <w:left w:w="0" w:type="dxa"/>
              <w:bottom w:w="0" w:type="dxa"/>
              <w:right w:w="0" w:type="dxa"/>
            </w:tcMar>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场区设置雨污分流，雨水排至</w:t>
            </w:r>
            <w:r>
              <w:rPr>
                <w:rFonts w:hint="default" w:ascii="Times New Roman" w:hAnsi="Times New Roman" w:cs="Times New Roman"/>
                <w:color w:val="auto"/>
                <w:sz w:val="21"/>
                <w:szCs w:val="21"/>
                <w:lang w:eastAsia="zh-CN"/>
              </w:rPr>
              <w:t>附近</w:t>
            </w:r>
            <w:r>
              <w:rPr>
                <w:rFonts w:hint="default" w:ascii="Times New Roman" w:hAnsi="Times New Roman" w:cs="Times New Roman"/>
                <w:color w:val="auto"/>
                <w:sz w:val="21"/>
                <w:szCs w:val="21"/>
              </w:rPr>
              <w:t>干渠，项目废水经沼气厌氧系统处理后，全部实现还田利用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24" w:type="dxa"/>
            <w:tcMar>
              <w:top w:w="0" w:type="dxa"/>
              <w:left w:w="0" w:type="dxa"/>
              <w:bottom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1904" w:type="dxa"/>
            <w:tcMar>
              <w:top w:w="0" w:type="dxa"/>
              <w:left w:w="0" w:type="dxa"/>
              <w:bottom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预计正式运行日期</w:t>
            </w:r>
          </w:p>
        </w:tc>
        <w:tc>
          <w:tcPr>
            <w:tcW w:w="6302" w:type="dxa"/>
            <w:tcMar>
              <w:top w:w="0" w:type="dxa"/>
              <w:left w:w="0" w:type="dxa"/>
              <w:bottom w:w="0" w:type="dxa"/>
              <w:right w:w="0" w:type="dxa"/>
            </w:tcMar>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2022年1月</w:t>
            </w:r>
          </w:p>
        </w:tc>
      </w:tr>
    </w:tbl>
    <w:p>
      <w:pPr>
        <w:pStyle w:val="34"/>
        <w:ind w:firstLine="480"/>
        <w:rPr>
          <w:rFonts w:hint="default" w:ascii="Times New Roman" w:hAnsi="Times New Roman" w:cs="Times New Roman"/>
          <w:color w:val="auto"/>
        </w:rPr>
      </w:pPr>
      <w:bookmarkStart w:id="227" w:name="_Toc388881898"/>
      <w:bookmarkStart w:id="228" w:name="_Toc311979842"/>
      <w:bookmarkStart w:id="229" w:name="_Toc311979910"/>
      <w:bookmarkStart w:id="230" w:name="_Toc311979796"/>
      <w:bookmarkStart w:id="231" w:name="_Toc407001390"/>
      <w:bookmarkStart w:id="232" w:name="_Toc413166117"/>
      <w:bookmarkStart w:id="233" w:name="_Toc406847397"/>
      <w:bookmarkStart w:id="234" w:name="_Toc468115356"/>
      <w:bookmarkStart w:id="235" w:name="_Toc413166114"/>
      <w:bookmarkStart w:id="236" w:name="_Toc468115354"/>
      <w:bookmarkStart w:id="237" w:name="_Toc407001387"/>
      <w:bookmarkStart w:id="238" w:name="_Toc406847394"/>
      <w:r>
        <w:rPr>
          <w:rFonts w:hint="default" w:ascii="Times New Roman" w:hAnsi="Times New Roman" w:cs="Times New Roman"/>
          <w:color w:val="auto"/>
        </w:rPr>
        <w:t>3.1.2 项目</w:t>
      </w:r>
      <w:bookmarkEnd w:id="227"/>
      <w:bookmarkEnd w:id="228"/>
      <w:bookmarkEnd w:id="229"/>
      <w:bookmarkEnd w:id="230"/>
      <w:r>
        <w:rPr>
          <w:rFonts w:hint="default" w:ascii="Times New Roman" w:hAnsi="Times New Roman" w:cs="Times New Roman"/>
          <w:color w:val="auto"/>
        </w:rPr>
        <w:t>主要产品方案、养殖规模</w:t>
      </w:r>
      <w:bookmarkEnd w:id="231"/>
      <w:bookmarkEnd w:id="232"/>
      <w:bookmarkEnd w:id="233"/>
      <w:bookmarkEnd w:id="234"/>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本项目设计建设规模为：年存栏母猪7500头，怀孕猪6500头，哺乳猪1000头，后备舍1400头</w:t>
      </w:r>
      <w:r>
        <w:rPr>
          <w:rFonts w:hint="default" w:ascii="Times New Roman" w:hAnsi="Times New Roman" w:cs="Times New Roman"/>
          <w:b/>
          <w:bCs/>
          <w:color w:val="auto"/>
          <w:u w:val="single"/>
          <w:lang w:eastAsia="zh-CN"/>
        </w:rPr>
        <w:t>（</w:t>
      </w:r>
      <w:r>
        <w:rPr>
          <w:rFonts w:hint="default" w:ascii="Times New Roman" w:hAnsi="Times New Roman" w:cs="Times New Roman"/>
          <w:b/>
          <w:bCs/>
          <w:color w:val="auto"/>
          <w:u w:val="single"/>
        </w:rPr>
        <w:t>后备舍不计入存栏量</w:t>
      </w:r>
      <w:r>
        <w:rPr>
          <w:rFonts w:hint="default" w:ascii="Times New Roman" w:hAnsi="Times New Roman" w:cs="Times New Roman"/>
          <w:b/>
          <w:bCs/>
          <w:color w:val="auto"/>
          <w:u w:val="single"/>
          <w:lang w:eastAsia="zh-CN"/>
        </w:rPr>
        <w:t>，但计算产污情况时均已考虑后备舍存栏量），</w:t>
      </w:r>
      <w:r>
        <w:rPr>
          <w:rFonts w:hint="default" w:ascii="Times New Roman" w:hAnsi="Times New Roman" w:cs="Times New Roman"/>
          <w:b/>
          <w:bCs/>
          <w:color w:val="auto"/>
          <w:u w:val="single"/>
        </w:rPr>
        <w:t>不设公猪舍。工程设计规模为年出栏</w:t>
      </w:r>
      <w:r>
        <w:rPr>
          <w:rFonts w:hint="default" w:ascii="Times New Roman" w:hAnsi="Times New Roman" w:cs="Times New Roman"/>
          <w:b/>
          <w:bCs/>
          <w:color w:val="auto"/>
          <w:u w:val="single"/>
          <w:lang w:eastAsia="zh-CN"/>
        </w:rPr>
        <w:t>仔</w:t>
      </w:r>
      <w:r>
        <w:rPr>
          <w:rFonts w:hint="default" w:ascii="Times New Roman" w:hAnsi="Times New Roman" w:cs="Times New Roman"/>
          <w:b/>
          <w:bCs/>
          <w:color w:val="auto"/>
          <w:u w:val="single"/>
        </w:rPr>
        <w:t>猪</w:t>
      </w:r>
      <w:r>
        <w:rPr>
          <w:rFonts w:hint="default" w:ascii="Times New Roman" w:hAnsi="Times New Roman" w:cs="Times New Roman"/>
          <w:b/>
          <w:bCs/>
          <w:color w:val="auto"/>
          <w:u w:val="single"/>
          <w:lang w:val="en-US" w:eastAsia="zh-CN"/>
        </w:rPr>
        <w:t>18.7</w:t>
      </w:r>
      <w:r>
        <w:rPr>
          <w:rFonts w:hint="eastAsia" w:cs="Times New Roman"/>
          <w:b/>
          <w:bCs/>
          <w:color w:val="auto"/>
          <w:u w:val="single"/>
          <w:lang w:val="en-US" w:eastAsia="zh-CN"/>
        </w:rPr>
        <w:t>5</w:t>
      </w:r>
      <w:r>
        <w:rPr>
          <w:rFonts w:hint="default" w:ascii="Times New Roman" w:hAnsi="Times New Roman" w:cs="Times New Roman"/>
          <w:b/>
          <w:bCs/>
          <w:color w:val="auto"/>
          <w:u w:val="single"/>
        </w:rPr>
        <w:t>万头。项目主要产品方案及生产规模见表3.1-2。</w:t>
      </w:r>
    </w:p>
    <w:p>
      <w:pPr>
        <w:spacing w:afterLines="30"/>
        <w:ind w:firstLine="482"/>
        <w:jc w:val="left"/>
        <w:rPr>
          <w:rFonts w:hint="default" w:ascii="Times New Roman" w:hAnsi="Times New Roman" w:cs="Times New Roman"/>
          <w:b/>
          <w:bCs/>
          <w:color w:val="auto"/>
          <w:szCs w:val="21"/>
          <w:u w:val="single"/>
        </w:rPr>
      </w:pPr>
      <w:r>
        <w:rPr>
          <w:rFonts w:hint="default" w:ascii="Times New Roman" w:hAnsi="Times New Roman" w:cs="Times New Roman"/>
          <w:b/>
          <w:bCs/>
          <w:color w:val="auto"/>
          <w:szCs w:val="21"/>
          <w:u w:val="single"/>
        </w:rPr>
        <w:t>表3.1-2                       项目设计养殖方案</w:t>
      </w:r>
    </w:p>
    <w:tbl>
      <w:tblPr>
        <w:tblStyle w:val="25"/>
        <w:tblW w:w="894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1327"/>
        <w:gridCol w:w="1663"/>
        <w:gridCol w:w="1912"/>
        <w:gridCol w:w="192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2121" w:type="dxa"/>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养殖单元名称</w:t>
            </w:r>
          </w:p>
        </w:tc>
        <w:tc>
          <w:tcPr>
            <w:tcW w:w="1327" w:type="dxa"/>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单元数量（舍）</w:t>
            </w:r>
          </w:p>
        </w:tc>
        <w:tc>
          <w:tcPr>
            <w:tcW w:w="1663" w:type="dxa"/>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存栏周期</w:t>
            </w:r>
          </w:p>
        </w:tc>
        <w:tc>
          <w:tcPr>
            <w:tcW w:w="1912" w:type="dxa"/>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日常存栏总量（头）</w:t>
            </w:r>
          </w:p>
        </w:tc>
        <w:tc>
          <w:tcPr>
            <w:tcW w:w="1920" w:type="dxa"/>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lang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2121" w:type="dxa"/>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怀孕舍</w:t>
            </w:r>
          </w:p>
        </w:tc>
        <w:tc>
          <w:tcPr>
            <w:tcW w:w="1327" w:type="dxa"/>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33</w:t>
            </w:r>
          </w:p>
        </w:tc>
        <w:tc>
          <w:tcPr>
            <w:tcW w:w="1663" w:type="dxa"/>
            <w:vAlign w:val="center"/>
          </w:tcPr>
          <w:p>
            <w:pPr>
              <w:tabs>
                <w:tab w:val="left" w:pos="554"/>
              </w:tabs>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114</w:t>
            </w:r>
          </w:p>
        </w:tc>
        <w:tc>
          <w:tcPr>
            <w:tcW w:w="1912" w:type="dxa"/>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6500</w:t>
            </w:r>
          </w:p>
        </w:tc>
        <w:tc>
          <w:tcPr>
            <w:tcW w:w="1920" w:type="dxa"/>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产仔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21" w:type="dxa"/>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哺乳舍</w:t>
            </w:r>
          </w:p>
        </w:tc>
        <w:tc>
          <w:tcPr>
            <w:tcW w:w="1327" w:type="dxa"/>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29</w:t>
            </w:r>
          </w:p>
        </w:tc>
        <w:tc>
          <w:tcPr>
            <w:tcW w:w="1663" w:type="dxa"/>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30</w:t>
            </w:r>
          </w:p>
        </w:tc>
        <w:tc>
          <w:tcPr>
            <w:tcW w:w="1912" w:type="dxa"/>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1000</w:t>
            </w:r>
          </w:p>
        </w:tc>
        <w:tc>
          <w:tcPr>
            <w:tcW w:w="1920" w:type="dxa"/>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哺乳幼仔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2121" w:type="dxa"/>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后备舍</w:t>
            </w:r>
          </w:p>
        </w:tc>
        <w:tc>
          <w:tcPr>
            <w:tcW w:w="1327" w:type="dxa"/>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8</w:t>
            </w:r>
          </w:p>
        </w:tc>
        <w:tc>
          <w:tcPr>
            <w:tcW w:w="1663" w:type="dxa"/>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77</w:t>
            </w:r>
          </w:p>
        </w:tc>
        <w:tc>
          <w:tcPr>
            <w:tcW w:w="1912" w:type="dxa"/>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1400</w:t>
            </w:r>
          </w:p>
        </w:tc>
        <w:tc>
          <w:tcPr>
            <w:tcW w:w="1920" w:type="dxa"/>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lang w:eastAsia="zh-CN"/>
              </w:rPr>
              <w:t>后备育种</w:t>
            </w:r>
          </w:p>
        </w:tc>
      </w:tr>
    </w:tbl>
    <w:p>
      <w:pPr>
        <w:ind w:firstLine="480"/>
        <w:rPr>
          <w:rFonts w:hint="default" w:ascii="Times New Roman" w:hAnsi="Times New Roman" w:eastAsia="宋体" w:cs="Times New Roman"/>
          <w:b/>
          <w:bCs/>
          <w:color w:val="auto"/>
          <w:u w:val="single"/>
          <w:lang w:eastAsia="zh-CN"/>
        </w:rPr>
      </w:pPr>
      <w:r>
        <w:rPr>
          <w:rFonts w:hint="default" w:ascii="Times New Roman" w:hAnsi="Times New Roman" w:cs="Times New Roman"/>
          <w:b/>
          <w:bCs/>
          <w:color w:val="auto"/>
          <w:u w:val="single"/>
        </w:rPr>
        <w:t>注：后备舍不计入存栏量</w:t>
      </w:r>
      <w:r>
        <w:rPr>
          <w:rFonts w:hint="default" w:ascii="Times New Roman" w:hAnsi="Times New Roman" w:cs="Times New Roman"/>
          <w:b/>
          <w:bCs/>
          <w:color w:val="auto"/>
          <w:u w:val="single"/>
          <w:lang w:eastAsia="zh-CN"/>
        </w:rPr>
        <w:t>，但以下计算产污情况时均已考虑后备舍存栏量。</w:t>
      </w:r>
    </w:p>
    <w:p>
      <w:pPr>
        <w:pStyle w:val="34"/>
        <w:ind w:firstLine="480"/>
        <w:rPr>
          <w:rFonts w:hint="default" w:ascii="Times New Roman" w:hAnsi="Times New Roman" w:cs="Times New Roman"/>
          <w:color w:val="auto"/>
        </w:rPr>
      </w:pPr>
      <w:r>
        <w:rPr>
          <w:rFonts w:hint="default" w:ascii="Times New Roman" w:hAnsi="Times New Roman" w:cs="Times New Roman"/>
          <w:color w:val="auto"/>
        </w:rPr>
        <w:t>3.1.3 项目主要建设内容</w:t>
      </w:r>
      <w:bookmarkEnd w:id="235"/>
      <w:bookmarkEnd w:id="236"/>
      <w:bookmarkEnd w:id="237"/>
      <w:bookmarkEnd w:id="238"/>
    </w:p>
    <w:p>
      <w:pPr>
        <w:pStyle w:val="20"/>
        <w:spacing w:line="360" w:lineRule="auto"/>
        <w:ind w:firstLine="480"/>
        <w:rPr>
          <w:rFonts w:hint="default" w:ascii="Times New Roman" w:hAnsi="Times New Roman" w:cs="Times New Roman"/>
          <w:color w:val="auto"/>
        </w:rPr>
      </w:pPr>
      <w:r>
        <w:rPr>
          <w:rFonts w:hint="default" w:ascii="Times New Roman" w:hAnsi="Times New Roman" w:cs="Times New Roman"/>
          <w:bCs/>
          <w:color w:val="auto"/>
        </w:rPr>
        <w:t>本</w:t>
      </w:r>
      <w:r>
        <w:rPr>
          <w:rFonts w:hint="default" w:ascii="Times New Roman" w:hAnsi="Times New Roman" w:cs="Times New Roman"/>
          <w:color w:val="auto"/>
        </w:rPr>
        <w:t>项目主要建设内容见表3.1-3。</w:t>
      </w:r>
    </w:p>
    <w:p>
      <w:pPr>
        <w:spacing w:afterLines="30"/>
        <w:ind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表3.1-3                  项目主要建设内容</w:t>
      </w:r>
    </w:p>
    <w:tbl>
      <w:tblPr>
        <w:tblStyle w:val="25"/>
        <w:tblW w:w="930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061"/>
        <w:gridCol w:w="426"/>
        <w:gridCol w:w="1128"/>
        <w:gridCol w:w="62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8"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项目组成</w:t>
            </w:r>
          </w:p>
        </w:tc>
        <w:tc>
          <w:tcPr>
            <w:tcW w:w="7820" w:type="dxa"/>
            <w:gridSpan w:val="3"/>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61"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主体工程</w:t>
            </w: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怀孕舍</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新建：33舍，规格29.36m×15m，总建筑面积14533.2m</w:t>
            </w:r>
            <w:r>
              <w:rPr>
                <w:rFonts w:hint="default" w:ascii="Times New Roman" w:hAnsi="Times New Roman" w:cs="Times New Roman"/>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哺乳舍</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新建：29舍，规格44.5m×14.2m，总建筑面积18325.1m</w:t>
            </w:r>
            <w:r>
              <w:rPr>
                <w:rFonts w:hint="default" w:ascii="Times New Roman" w:hAnsi="Times New Roman" w:cs="Times New Roman"/>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后备舍</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新建：8舍，规格31.5m×13.2m，总建筑面积3326.4m</w:t>
            </w:r>
            <w:r>
              <w:rPr>
                <w:rFonts w:hint="default" w:ascii="Times New Roman" w:hAnsi="Times New Roman" w:cs="Times New Roman"/>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061"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辅助工程</w:t>
            </w: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综合门卫</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新建：1栋，建筑面积350m</w:t>
            </w:r>
            <w:r>
              <w:rPr>
                <w:rFonts w:hint="default" w:ascii="Times New Roman" w:hAnsi="Times New Roman" w:cs="Times New Roman"/>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427"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生活区</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新建：1栋，建筑面积共612.54m</w:t>
            </w:r>
            <w:r>
              <w:rPr>
                <w:rFonts w:hint="default" w:ascii="Times New Roman" w:hAnsi="Times New Roman" w:cs="Times New Roman"/>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销售区</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新建：1栋，建筑面积共245m</w:t>
            </w:r>
            <w:r>
              <w:rPr>
                <w:rFonts w:hint="default" w:ascii="Times New Roman" w:hAnsi="Times New Roman" w:cs="Times New Roman"/>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饲料</w:t>
            </w:r>
            <w:r>
              <w:rPr>
                <w:rFonts w:hint="default" w:ascii="Times New Roman" w:hAnsi="Times New Roman" w:cs="Times New Roman"/>
                <w:color w:val="auto"/>
                <w:sz w:val="21"/>
                <w:szCs w:val="21"/>
                <w:lang w:eastAsia="zh-CN"/>
              </w:rPr>
              <w:t>中转</w:t>
            </w:r>
            <w:r>
              <w:rPr>
                <w:rFonts w:hint="default" w:ascii="Times New Roman" w:hAnsi="Times New Roman" w:cs="Times New Roman"/>
                <w:color w:val="auto"/>
                <w:sz w:val="21"/>
                <w:szCs w:val="21"/>
              </w:rPr>
              <w:t>站</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新建：1栋1层，建筑面积450m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 xml:space="preserve">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环保值班室</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新建：1栋1层，建筑面积253.4m</w:t>
            </w:r>
            <w:r>
              <w:rPr>
                <w:rFonts w:hint="default" w:ascii="Times New Roman" w:hAnsi="Times New Roman" w:cs="Times New Roman"/>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无害化处理区</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新建：1间，建筑面积200m</w:t>
            </w:r>
            <w:r>
              <w:rPr>
                <w:rFonts w:hint="default" w:ascii="Times New Roman" w:hAnsi="Times New Roman" w:cs="Times New Roman"/>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收集池</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vertAlign w:val="superscript"/>
              </w:rPr>
            </w:pPr>
            <w:r>
              <w:rPr>
                <w:rFonts w:hint="default" w:ascii="Times New Roman" w:hAnsi="Times New Roman" w:cs="Times New Roman"/>
                <w:color w:val="auto"/>
                <w:sz w:val="21"/>
                <w:szCs w:val="21"/>
              </w:rPr>
              <w:t>新建：1个，规格：直径20m，深4m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固粪处理区</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新建，1个；规格：14m×42m，建筑面积588m</w:t>
            </w:r>
            <w:r>
              <w:rPr>
                <w:rFonts w:hint="default" w:ascii="Times New Roman" w:hAnsi="Times New Roman" w:cs="Times New Roman"/>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黑膜沼气池</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新建：1个，容积12293m</w:t>
            </w:r>
            <w:r>
              <w:rPr>
                <w:rFonts w:hint="default" w:ascii="Times New Roman" w:hAnsi="Times New Roman" w:cs="Times New Roman"/>
                <w:color w:val="auto"/>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54"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沼液存储池</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新建：1个，容积41500m</w:t>
            </w:r>
            <w:r>
              <w:rPr>
                <w:rFonts w:hint="default" w:ascii="Times New Roman" w:hAnsi="Times New Roman" w:cs="Times New Roman"/>
                <w:color w:val="auto"/>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061"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公用工程</w:t>
            </w: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给水工程</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本项目用水由自备井供给，出水约为40m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/h，单个水井配置1个蓄水池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排水工程</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本项目排水采用雨污分流，雨水经雨水管道排到厂区外部，养殖废水和生活污水经场区内黑膜沼气池处理后，沼液作为农肥综合利用，不外排。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供电系统</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本项目电源由清丰县韩村镇供电所接入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b/>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b/>
                <w:color w:val="auto"/>
                <w:sz w:val="21"/>
                <w:szCs w:val="21"/>
              </w:rPr>
            </w:pP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供热工程</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项目猪舍冬季取暖主要是通过猪舍墙体保温材料与外部断绝热交换，猪舍内部通风通过全热交换器进行；哺乳舍采用红外线灯加热；人员冬季取暖采用空调制暖；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b/>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b/>
                <w:color w:val="auto"/>
                <w:sz w:val="21"/>
                <w:szCs w:val="21"/>
              </w:rPr>
            </w:pP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沼气综合利用系统</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新建：本项目沼气产生的沼气经配套的沼气净化装置净化后用于食堂</w:t>
            </w:r>
            <w:r>
              <w:rPr>
                <w:rFonts w:hint="default" w:ascii="Times New Roman" w:hAnsi="Times New Roman" w:cs="Times New Roman"/>
                <w:color w:val="auto"/>
                <w:sz w:val="21"/>
                <w:szCs w:val="21"/>
                <w:lang w:eastAsia="zh-CN"/>
              </w:rPr>
              <w:t>、</w:t>
            </w:r>
            <w:r>
              <w:rPr>
                <w:rFonts w:hint="eastAsia" w:cs="Times New Roman"/>
                <w:color w:val="auto"/>
                <w:sz w:val="21"/>
                <w:szCs w:val="21"/>
                <w:lang w:eastAsia="zh-CN"/>
              </w:rPr>
              <w:t>沼气热水炉</w:t>
            </w:r>
            <w:r>
              <w:rPr>
                <w:rFonts w:hint="default" w:ascii="Times New Roman" w:hAnsi="Times New Roman" w:cs="Times New Roman"/>
                <w:color w:val="auto"/>
                <w:sz w:val="21"/>
                <w:szCs w:val="21"/>
              </w:rPr>
              <w:t>。</w:t>
            </w:r>
            <w:r>
              <w:rPr>
                <w:rFonts w:hint="default" w:ascii="Times New Roman" w:hAnsi="Times New Roman" w:cs="Times New Roman"/>
                <w:bCs/>
                <w:color w:val="auto"/>
                <w:sz w:val="21"/>
                <w:szCs w:val="21"/>
              </w:rPr>
              <w:t>配套沼气净化装置包括：1套脱硫装置、1套脱水装置、1套阻火装置。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b/>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b/>
                <w:color w:val="auto"/>
                <w:sz w:val="21"/>
                <w:szCs w:val="21"/>
              </w:rPr>
            </w:pP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沼液利用管网系统</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vertAlign w:val="superscript"/>
              </w:rPr>
            </w:pPr>
            <w:r>
              <w:rPr>
                <w:rFonts w:hint="default" w:ascii="Times New Roman" w:hAnsi="Times New Roman" w:cs="Times New Roman"/>
                <w:color w:val="auto"/>
                <w:sz w:val="21"/>
                <w:szCs w:val="21"/>
                <w:lang w:eastAsia="zh-CN"/>
              </w:rPr>
              <w:t>沼液存储池</w:t>
            </w:r>
            <w:r>
              <w:rPr>
                <w:rFonts w:hint="default" w:ascii="Times New Roman" w:hAnsi="Times New Roman" w:cs="Times New Roman"/>
                <w:color w:val="auto"/>
                <w:sz w:val="21"/>
                <w:szCs w:val="21"/>
              </w:rPr>
              <w:t>1个，容积41500m</w:t>
            </w:r>
            <w:r>
              <w:rPr>
                <w:rFonts w:hint="default" w:ascii="Times New Roman" w:hAnsi="Times New Roman" w:cs="Times New Roman"/>
                <w:color w:val="auto"/>
                <w:sz w:val="21"/>
                <w:szCs w:val="21"/>
                <w:vertAlign w:val="superscript"/>
              </w:rPr>
              <w:t>3</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沼液由</w:t>
            </w:r>
            <w:r>
              <w:rPr>
                <w:rFonts w:hint="default" w:ascii="Times New Roman" w:hAnsi="Times New Roman" w:cs="Times New Roman"/>
                <w:color w:val="auto"/>
                <w:sz w:val="21"/>
                <w:szCs w:val="21"/>
                <w:lang w:eastAsia="zh-CN"/>
              </w:rPr>
              <w:t>沼液存储池</w:t>
            </w:r>
            <w:r>
              <w:rPr>
                <w:rFonts w:hint="default" w:ascii="Times New Roman" w:hAnsi="Times New Roman" w:cs="Times New Roman"/>
                <w:color w:val="auto"/>
                <w:sz w:val="21"/>
                <w:szCs w:val="21"/>
              </w:rPr>
              <w:t>引至施肥农田，主干管长度为1.3km，每米管网左右各辐射75m，项目使用的管材为灰色不透光PVC管，管道挖深在冻土层15cm以下。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061"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环保工程</w:t>
            </w:r>
          </w:p>
        </w:tc>
        <w:tc>
          <w:tcPr>
            <w:tcW w:w="426"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112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废气处理</w:t>
            </w:r>
          </w:p>
        </w:tc>
        <w:tc>
          <w:tcPr>
            <w:tcW w:w="6266" w:type="dxa"/>
            <w:vAlign w:val="center"/>
          </w:tcPr>
          <w:p>
            <w:pPr>
              <w:spacing w:line="240" w:lineRule="auto"/>
              <w:ind w:firstLine="0" w:firstLineChars="0"/>
              <w:jc w:val="center"/>
              <w:rPr>
                <w:rFonts w:hint="default" w:ascii="Times New Roman" w:hAnsi="Times New Roman" w:cs="Times New Roman"/>
                <w:b/>
                <w:color w:val="auto"/>
                <w:sz w:val="21"/>
                <w:szCs w:val="21"/>
                <w:u w:val="single"/>
              </w:rPr>
            </w:pPr>
            <w:r>
              <w:rPr>
                <w:rFonts w:hint="default" w:ascii="Times New Roman" w:hAnsi="Times New Roman" w:cs="Times New Roman"/>
                <w:bCs/>
                <w:color w:val="auto"/>
                <w:sz w:val="21"/>
                <w:szCs w:val="21"/>
              </w:rPr>
              <w:t>猪舍：控制饲养密度、加强通风、定期冲洗、</w:t>
            </w:r>
            <w:r>
              <w:rPr>
                <w:rFonts w:hint="default" w:ascii="Times New Roman" w:hAnsi="Times New Roman" w:cs="Times New Roman"/>
                <w:bCs/>
                <w:color w:val="auto"/>
                <w:sz w:val="21"/>
                <w:szCs w:val="21"/>
                <w:lang w:eastAsia="zh-CN"/>
              </w:rPr>
              <w:t>调整饲料配方，猪舍出风口处安装过滤吸附除臭装置</w:t>
            </w:r>
            <w:r>
              <w:rPr>
                <w:rFonts w:hint="default" w:ascii="Times New Roman" w:hAnsi="Times New Roman" w:cs="Times New Roman"/>
                <w:bCs/>
                <w:color w:val="auto"/>
                <w:sz w:val="21"/>
                <w:szCs w:val="21"/>
              </w:rPr>
              <w:t>；污水处理站：收集池密闭，定期喷洒除臭剂；固粪处理区：UV光解催化氧化装置+水帘除臭装置，定期喷洒除臭剂；加强厂区绿化等；病死猪高温无害化处理机，采用UV光解催化氧化装置处理后无组织排放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426" w:type="dxa"/>
            <w:vMerge w:val="continue"/>
            <w:vAlign w:val="center"/>
          </w:tcPr>
          <w:p>
            <w:pPr>
              <w:tabs>
                <w:tab w:val="left" w:pos="600"/>
              </w:tabs>
              <w:spacing w:line="240" w:lineRule="auto"/>
              <w:ind w:firstLine="0" w:firstLineChars="0"/>
              <w:jc w:val="center"/>
              <w:rPr>
                <w:rFonts w:hint="default" w:ascii="Times New Roman" w:hAnsi="Times New Roman" w:cs="Times New Roman"/>
                <w:color w:val="auto"/>
                <w:sz w:val="21"/>
                <w:szCs w:val="21"/>
              </w:rPr>
            </w:pPr>
          </w:p>
        </w:tc>
        <w:tc>
          <w:tcPr>
            <w:tcW w:w="1128" w:type="dxa"/>
            <w:vAlign w:val="center"/>
          </w:tcPr>
          <w:p>
            <w:pPr>
              <w:tabs>
                <w:tab w:val="left" w:pos="600"/>
              </w:tabs>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沼气燃烧</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脱硫净化装置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b/>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b/>
                <w:color w:val="auto"/>
                <w:sz w:val="21"/>
                <w:szCs w:val="21"/>
              </w:rPr>
            </w:pPr>
          </w:p>
        </w:tc>
        <w:tc>
          <w:tcPr>
            <w:tcW w:w="426"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112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医疗废物</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危险废物暂存间1座，总建筑面积20m</w:t>
            </w:r>
            <w:r>
              <w:rPr>
                <w:rFonts w:hint="default" w:ascii="Times New Roman" w:hAnsi="Times New Roman" w:cs="Times New Roman"/>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b/>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b/>
                <w:color w:val="auto"/>
                <w:sz w:val="21"/>
                <w:szCs w:val="21"/>
              </w:rPr>
            </w:pPr>
          </w:p>
        </w:tc>
        <w:tc>
          <w:tcPr>
            <w:tcW w:w="426"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12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一般废物</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固废暂存间1座，总建筑面积40m</w:t>
            </w:r>
            <w:r>
              <w:rPr>
                <w:rFonts w:hint="default" w:ascii="Times New Roman" w:hAnsi="Times New Roman" w:cs="Times New Roman"/>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b/>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b/>
                <w:color w:val="auto"/>
                <w:sz w:val="21"/>
                <w:szCs w:val="21"/>
              </w:rPr>
            </w:pPr>
          </w:p>
        </w:tc>
        <w:tc>
          <w:tcPr>
            <w:tcW w:w="426"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12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病死猪尸体、母猪胎盘</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rPr>
              <w:t>病死猪暂存间</w:t>
            </w:r>
            <w:r>
              <w:rPr>
                <w:rFonts w:hint="default" w:ascii="Times New Roman" w:hAnsi="Times New Roman" w:eastAsia="Times New Roman" w:cs="Times New Roman"/>
                <w:color w:val="auto"/>
                <w:sz w:val="21"/>
                <w:szCs w:val="21"/>
              </w:rPr>
              <w:t>1</w:t>
            </w:r>
            <w:r>
              <w:rPr>
                <w:rFonts w:hint="default" w:ascii="Times New Roman" w:hAnsi="Times New Roman" w:cs="Times New Roman"/>
                <w:color w:val="auto"/>
                <w:sz w:val="21"/>
                <w:szCs w:val="21"/>
              </w:rPr>
              <w:t>间</w:t>
            </w:r>
            <w:r>
              <w:rPr>
                <w:rFonts w:hint="default" w:ascii="Times New Roman" w:hAnsi="Times New Roman" w:eastAsia="Times New Roman" w:cs="Times New Roman"/>
                <w:color w:val="auto"/>
                <w:sz w:val="21"/>
                <w:szCs w:val="21"/>
              </w:rPr>
              <w:t>30m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，病死猪处理间</w:t>
            </w:r>
            <w:r>
              <w:rPr>
                <w:rFonts w:hint="default" w:ascii="Times New Roman" w:hAnsi="Times New Roman" w:eastAsia="Times New Roman" w:cs="Times New Roman"/>
                <w:color w:val="auto"/>
                <w:sz w:val="21"/>
                <w:szCs w:val="21"/>
              </w:rPr>
              <w:t>1</w:t>
            </w:r>
            <w:r>
              <w:rPr>
                <w:rFonts w:hint="default" w:ascii="Times New Roman" w:hAnsi="Times New Roman" w:cs="Times New Roman"/>
                <w:color w:val="auto"/>
                <w:sz w:val="21"/>
                <w:szCs w:val="21"/>
              </w:rPr>
              <w:t>间</w:t>
            </w:r>
            <w:r>
              <w:rPr>
                <w:rFonts w:hint="default" w:ascii="Times New Roman" w:hAnsi="Times New Roman" w:eastAsia="Times New Roman" w:cs="Times New Roman"/>
                <w:color w:val="auto"/>
                <w:sz w:val="21"/>
                <w:szCs w:val="21"/>
              </w:rPr>
              <w:t>15m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，病死猪高温无害化处理机</w:t>
            </w:r>
            <w:r>
              <w:rPr>
                <w:rFonts w:hint="default" w:ascii="Times New Roman" w:hAnsi="Times New Roman" w:eastAsia="Times New Roman" w:cs="Times New Roman"/>
                <w:color w:val="auto"/>
                <w:sz w:val="21"/>
                <w:szCs w:val="21"/>
              </w:rPr>
              <w:t>1</w:t>
            </w:r>
            <w:r>
              <w:rPr>
                <w:rFonts w:hint="default" w:ascii="Times New Roman" w:hAnsi="Times New Roman" w:cs="Times New Roman"/>
                <w:color w:val="auto"/>
                <w:sz w:val="21"/>
                <w:szCs w:val="21"/>
              </w:rPr>
              <w:t>台</w:t>
            </w:r>
          </w:p>
        </w:tc>
      </w:tr>
      <w:bookmarkEnd w:id="221"/>
      <w:bookmarkEnd w:id="222"/>
      <w:bookmarkEnd w:id="223"/>
    </w:tbl>
    <w:p>
      <w:pPr>
        <w:pStyle w:val="34"/>
        <w:ind w:firstLine="480"/>
        <w:rPr>
          <w:rFonts w:hint="default" w:ascii="Times New Roman" w:hAnsi="Times New Roman" w:cs="Times New Roman"/>
          <w:color w:val="auto"/>
        </w:rPr>
      </w:pPr>
      <w:bookmarkStart w:id="239" w:name="_Toc269400661"/>
      <w:bookmarkStart w:id="240" w:name="_Toc311979913"/>
      <w:bookmarkStart w:id="241" w:name="_Toc407001392"/>
      <w:bookmarkStart w:id="242" w:name="_Toc311979799"/>
      <w:bookmarkStart w:id="243" w:name="_Toc406847399"/>
      <w:bookmarkStart w:id="244" w:name="_Toc311979845"/>
      <w:bookmarkStart w:id="245" w:name="_Toc413166119"/>
      <w:bookmarkStart w:id="246" w:name="_Toc388881900"/>
      <w:bookmarkStart w:id="247" w:name="_Toc468115355"/>
      <w:bookmarkStart w:id="248" w:name="_Toc413166116"/>
      <w:bookmarkStart w:id="249" w:name="_Toc311979795"/>
      <w:bookmarkStart w:id="250" w:name="_Toc406847396"/>
      <w:bookmarkStart w:id="251" w:name="_Toc311979841"/>
      <w:bookmarkStart w:id="252" w:name="_Toc311979909"/>
      <w:bookmarkStart w:id="253" w:name="_Toc388881897"/>
      <w:bookmarkStart w:id="254" w:name="_Toc407001389"/>
      <w:bookmarkStart w:id="255" w:name="_Toc269400657"/>
      <w:r>
        <w:rPr>
          <w:rFonts w:hint="default" w:ascii="Times New Roman" w:hAnsi="Times New Roman" w:cs="Times New Roman"/>
          <w:color w:val="auto"/>
        </w:rPr>
        <w:t>3.1.4 项目主要生产设备</w:t>
      </w:r>
      <w:bookmarkEnd w:id="239"/>
      <w:bookmarkEnd w:id="240"/>
      <w:bookmarkEnd w:id="241"/>
      <w:bookmarkEnd w:id="242"/>
      <w:bookmarkEnd w:id="243"/>
      <w:bookmarkEnd w:id="244"/>
      <w:bookmarkEnd w:id="245"/>
      <w:bookmarkEnd w:id="246"/>
      <w:bookmarkEnd w:id="247"/>
    </w:p>
    <w:p>
      <w:pPr>
        <w:pStyle w:val="35"/>
        <w:ind w:firstLine="480"/>
        <w:rPr>
          <w:rFonts w:hint="default" w:ascii="Times New Roman" w:hAnsi="Times New Roman" w:cs="Times New Roman"/>
          <w:color w:val="auto"/>
        </w:rPr>
      </w:pPr>
      <w:r>
        <w:rPr>
          <w:rFonts w:hint="default" w:ascii="Times New Roman" w:hAnsi="Times New Roman" w:cs="Times New Roman"/>
          <w:color w:val="auto"/>
        </w:rPr>
        <w:t>项目为养殖类型，非工业生产性企业，主要的养殖设备为风机、饮水器等，主要设备见表3.1-4。</w:t>
      </w:r>
    </w:p>
    <w:p>
      <w:pPr>
        <w:spacing w:afterLines="30" w:line="500" w:lineRule="exact"/>
        <w:ind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表3.1-4                        项目主要设备一览表</w:t>
      </w:r>
    </w:p>
    <w:tbl>
      <w:tblPr>
        <w:tblStyle w:val="25"/>
        <w:tblW w:w="889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09"/>
        <w:gridCol w:w="1025"/>
        <w:gridCol w:w="851"/>
        <w:gridCol w:w="2730"/>
        <w:gridCol w:w="1022"/>
        <w:gridCol w:w="86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tblHeader/>
          <w:jc w:val="center"/>
        </w:trPr>
        <w:tc>
          <w:tcPr>
            <w:tcW w:w="3434" w:type="dxa"/>
            <w:gridSpan w:val="2"/>
            <w:tcMar>
              <w:top w:w="57" w:type="dxa"/>
              <w:left w:w="85" w:type="dxa"/>
              <w:bottom w:w="57" w:type="dxa"/>
              <w:right w:w="85" w:type="dxa"/>
            </w:tcMar>
            <w:vAlign w:val="center"/>
          </w:tcPr>
          <w:p>
            <w:pPr>
              <w:widowControl/>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1、养殖场猪舍构筑物</w:t>
            </w:r>
          </w:p>
        </w:tc>
        <w:tc>
          <w:tcPr>
            <w:tcW w:w="5463" w:type="dxa"/>
            <w:gridSpan w:val="4"/>
            <w:tcMar>
              <w:top w:w="57" w:type="dxa"/>
              <w:left w:w="85" w:type="dxa"/>
              <w:bottom w:w="57" w:type="dxa"/>
              <w:right w:w="85" w:type="dxa"/>
            </w:tcMar>
            <w:vAlign w:val="center"/>
          </w:tcPr>
          <w:p>
            <w:pPr>
              <w:widowControl/>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配 套 设 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blHeader/>
          <w:jc w:val="center"/>
        </w:trPr>
        <w:tc>
          <w:tcPr>
            <w:tcW w:w="2409" w:type="dxa"/>
            <w:vMerge w:val="restart"/>
            <w:tcMar>
              <w:top w:w="57" w:type="dxa"/>
              <w:left w:w="85" w:type="dxa"/>
              <w:bottom w:w="57" w:type="dxa"/>
              <w:right w:w="85" w:type="dxa"/>
            </w:tcMar>
            <w:vAlign w:val="center"/>
          </w:tcPr>
          <w:p>
            <w:pPr>
              <w:widowControl/>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名称</w:t>
            </w:r>
          </w:p>
        </w:tc>
        <w:tc>
          <w:tcPr>
            <w:tcW w:w="1025" w:type="dxa"/>
            <w:vMerge w:val="restart"/>
            <w:tcMar>
              <w:top w:w="57" w:type="dxa"/>
              <w:left w:w="85" w:type="dxa"/>
              <w:bottom w:w="57" w:type="dxa"/>
              <w:right w:w="85" w:type="dxa"/>
            </w:tcMar>
            <w:vAlign w:val="center"/>
          </w:tcPr>
          <w:p>
            <w:pPr>
              <w:widowControl/>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数量</w:t>
            </w:r>
          </w:p>
        </w:tc>
        <w:tc>
          <w:tcPr>
            <w:tcW w:w="3581" w:type="dxa"/>
            <w:gridSpan w:val="2"/>
            <w:tcMar>
              <w:top w:w="57" w:type="dxa"/>
              <w:left w:w="85" w:type="dxa"/>
              <w:bottom w:w="57" w:type="dxa"/>
              <w:right w:w="85" w:type="dxa"/>
            </w:tcMar>
            <w:vAlign w:val="center"/>
          </w:tcPr>
          <w:p>
            <w:pPr>
              <w:widowControl/>
              <w:spacing w:line="240" w:lineRule="auto"/>
              <w:ind w:left="-120" w:leftChars="-50" w:right="-120" w:rightChars="-50"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饮水器（个）</w:t>
            </w:r>
          </w:p>
        </w:tc>
        <w:tc>
          <w:tcPr>
            <w:tcW w:w="1882" w:type="dxa"/>
            <w:gridSpan w:val="2"/>
            <w:tcMar>
              <w:top w:w="57" w:type="dxa"/>
              <w:left w:w="85" w:type="dxa"/>
              <w:bottom w:w="57" w:type="dxa"/>
              <w:right w:w="85" w:type="dxa"/>
            </w:tcMar>
            <w:vAlign w:val="center"/>
          </w:tcPr>
          <w:p>
            <w:pPr>
              <w:widowControl/>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风机（套）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 w:hRule="atLeast"/>
          <w:tblHeader/>
          <w:jc w:val="center"/>
        </w:trPr>
        <w:tc>
          <w:tcPr>
            <w:tcW w:w="2409" w:type="dxa"/>
            <w:vMerge w:val="continue"/>
            <w:tcMar>
              <w:top w:w="57" w:type="dxa"/>
              <w:left w:w="85" w:type="dxa"/>
              <w:bottom w:w="57" w:type="dxa"/>
              <w:right w:w="85" w:type="dxa"/>
            </w:tcMar>
            <w:vAlign w:val="center"/>
          </w:tcPr>
          <w:p>
            <w:pPr>
              <w:widowControl/>
              <w:spacing w:line="240" w:lineRule="auto"/>
              <w:ind w:firstLine="0" w:firstLineChars="0"/>
              <w:jc w:val="center"/>
              <w:rPr>
                <w:rFonts w:hint="default" w:ascii="Times New Roman" w:hAnsi="Times New Roman" w:cs="Times New Roman"/>
                <w:b/>
                <w:bCs/>
                <w:color w:val="auto"/>
                <w:kern w:val="0"/>
                <w:sz w:val="21"/>
                <w:szCs w:val="21"/>
                <w:u w:val="single"/>
              </w:rPr>
            </w:pPr>
          </w:p>
        </w:tc>
        <w:tc>
          <w:tcPr>
            <w:tcW w:w="1025" w:type="dxa"/>
            <w:vMerge w:val="continue"/>
            <w:tcMar>
              <w:top w:w="57" w:type="dxa"/>
              <w:left w:w="85" w:type="dxa"/>
              <w:bottom w:w="57" w:type="dxa"/>
              <w:right w:w="85" w:type="dxa"/>
            </w:tcMar>
            <w:vAlign w:val="center"/>
          </w:tcPr>
          <w:p>
            <w:pPr>
              <w:widowControl/>
              <w:spacing w:line="240" w:lineRule="auto"/>
              <w:ind w:firstLine="0" w:firstLineChars="0"/>
              <w:jc w:val="center"/>
              <w:rPr>
                <w:rFonts w:hint="default" w:ascii="Times New Roman" w:hAnsi="Times New Roman" w:cs="Times New Roman"/>
                <w:b/>
                <w:bCs/>
                <w:color w:val="auto"/>
                <w:kern w:val="0"/>
                <w:sz w:val="21"/>
                <w:szCs w:val="21"/>
                <w:u w:val="single"/>
              </w:rPr>
            </w:pPr>
          </w:p>
        </w:tc>
        <w:tc>
          <w:tcPr>
            <w:tcW w:w="851" w:type="dxa"/>
            <w:tcMar>
              <w:top w:w="57" w:type="dxa"/>
              <w:left w:w="85" w:type="dxa"/>
              <w:bottom w:w="57" w:type="dxa"/>
              <w:right w:w="85" w:type="dxa"/>
            </w:tcMar>
            <w:vAlign w:val="center"/>
          </w:tcPr>
          <w:p>
            <w:pPr>
              <w:widowControl/>
              <w:spacing w:line="240" w:lineRule="auto"/>
              <w:ind w:left="-120" w:leftChars="-50" w:right="-120" w:rightChars="-50"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sz w:val="21"/>
                <w:szCs w:val="21"/>
                <w:u w:val="single"/>
              </w:rPr>
              <w:t>个/舍</w:t>
            </w:r>
          </w:p>
        </w:tc>
        <w:tc>
          <w:tcPr>
            <w:tcW w:w="2730" w:type="dxa"/>
            <w:tcMar>
              <w:top w:w="57" w:type="dxa"/>
              <w:left w:w="85" w:type="dxa"/>
              <w:bottom w:w="57" w:type="dxa"/>
              <w:right w:w="85" w:type="dxa"/>
            </w:tcMar>
            <w:vAlign w:val="center"/>
          </w:tcPr>
          <w:p>
            <w:pPr>
              <w:widowControl/>
              <w:spacing w:line="240" w:lineRule="auto"/>
              <w:ind w:left="-120" w:leftChars="-50" w:right="-120" w:rightChars="-50"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总数</w:t>
            </w:r>
          </w:p>
        </w:tc>
        <w:tc>
          <w:tcPr>
            <w:tcW w:w="1022" w:type="dxa"/>
            <w:tcMar>
              <w:top w:w="57" w:type="dxa"/>
              <w:left w:w="85" w:type="dxa"/>
              <w:bottom w:w="57" w:type="dxa"/>
              <w:right w:w="85" w:type="dxa"/>
            </w:tcMar>
            <w:vAlign w:val="center"/>
          </w:tcPr>
          <w:p>
            <w:pPr>
              <w:widowControl/>
              <w:spacing w:line="240" w:lineRule="auto"/>
              <w:ind w:left="-120" w:leftChars="-50" w:right="-120" w:rightChars="-50"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每舍</w:t>
            </w:r>
          </w:p>
        </w:tc>
        <w:tc>
          <w:tcPr>
            <w:tcW w:w="860" w:type="dxa"/>
            <w:tcMar>
              <w:top w:w="57" w:type="dxa"/>
              <w:left w:w="85" w:type="dxa"/>
              <w:bottom w:w="57" w:type="dxa"/>
              <w:right w:w="85" w:type="dxa"/>
            </w:tcMar>
            <w:vAlign w:val="center"/>
          </w:tcPr>
          <w:p>
            <w:pPr>
              <w:widowControl/>
              <w:spacing w:line="240" w:lineRule="auto"/>
              <w:ind w:left="-120" w:leftChars="-50" w:right="-120" w:rightChars="-50"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总数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tblHeader/>
          <w:jc w:val="center"/>
        </w:trPr>
        <w:tc>
          <w:tcPr>
            <w:tcW w:w="2409"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怀孕舍</w:t>
            </w:r>
          </w:p>
        </w:tc>
        <w:tc>
          <w:tcPr>
            <w:tcW w:w="1025"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33</w:t>
            </w:r>
          </w:p>
        </w:tc>
        <w:tc>
          <w:tcPr>
            <w:tcW w:w="851"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0</w:t>
            </w:r>
          </w:p>
        </w:tc>
        <w:tc>
          <w:tcPr>
            <w:tcW w:w="2730"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1排料槽相通，1排料槽内有16个饮水杆</w:t>
            </w:r>
          </w:p>
        </w:tc>
        <w:tc>
          <w:tcPr>
            <w:tcW w:w="1022"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6</w:t>
            </w:r>
          </w:p>
        </w:tc>
        <w:tc>
          <w:tcPr>
            <w:tcW w:w="860"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198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tblHeader/>
          <w:jc w:val="center"/>
        </w:trPr>
        <w:tc>
          <w:tcPr>
            <w:tcW w:w="2409"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哺乳舍</w:t>
            </w:r>
          </w:p>
        </w:tc>
        <w:tc>
          <w:tcPr>
            <w:tcW w:w="1025"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29</w:t>
            </w:r>
          </w:p>
        </w:tc>
        <w:tc>
          <w:tcPr>
            <w:tcW w:w="851"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0</w:t>
            </w:r>
          </w:p>
        </w:tc>
        <w:tc>
          <w:tcPr>
            <w:tcW w:w="2730"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56个料槽，56个饮水杆，饮水杆和料槽共用</w:t>
            </w:r>
          </w:p>
        </w:tc>
        <w:tc>
          <w:tcPr>
            <w:tcW w:w="1022"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6</w:t>
            </w:r>
          </w:p>
        </w:tc>
        <w:tc>
          <w:tcPr>
            <w:tcW w:w="860"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174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tblHeader/>
          <w:jc w:val="center"/>
        </w:trPr>
        <w:tc>
          <w:tcPr>
            <w:tcW w:w="2409"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一体舍</w:t>
            </w:r>
          </w:p>
        </w:tc>
        <w:tc>
          <w:tcPr>
            <w:tcW w:w="1025"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8</w:t>
            </w:r>
          </w:p>
        </w:tc>
        <w:tc>
          <w:tcPr>
            <w:tcW w:w="851"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16</w:t>
            </w:r>
          </w:p>
        </w:tc>
        <w:tc>
          <w:tcPr>
            <w:tcW w:w="2730"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128</w:t>
            </w:r>
          </w:p>
        </w:tc>
        <w:tc>
          <w:tcPr>
            <w:tcW w:w="1022"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6</w:t>
            </w:r>
          </w:p>
        </w:tc>
        <w:tc>
          <w:tcPr>
            <w:tcW w:w="860"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tblHeader/>
          <w:jc w:val="center"/>
        </w:trPr>
        <w:tc>
          <w:tcPr>
            <w:tcW w:w="3434" w:type="dxa"/>
            <w:gridSpan w:val="2"/>
            <w:tcMar>
              <w:top w:w="57" w:type="dxa"/>
              <w:left w:w="85" w:type="dxa"/>
              <w:bottom w:w="57" w:type="dxa"/>
              <w:right w:w="85" w:type="dxa"/>
            </w:tcMar>
            <w:vAlign w:val="center"/>
          </w:tcPr>
          <w:p>
            <w:pPr>
              <w:autoSpaceDN w:val="0"/>
              <w:spacing w:line="240" w:lineRule="auto"/>
              <w:ind w:firstLine="0" w:firstLineChars="0"/>
              <w:jc w:val="center"/>
              <w:textAlignment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2、污水处理构筑物</w:t>
            </w:r>
          </w:p>
        </w:tc>
        <w:tc>
          <w:tcPr>
            <w:tcW w:w="5463" w:type="dxa"/>
            <w:gridSpan w:val="4"/>
            <w:tcMar>
              <w:top w:w="57" w:type="dxa"/>
              <w:left w:w="85" w:type="dxa"/>
              <w:bottom w:w="57" w:type="dxa"/>
              <w:right w:w="85" w:type="dxa"/>
            </w:tcMar>
            <w:vAlign w:val="center"/>
          </w:tcPr>
          <w:p>
            <w:pPr>
              <w:autoSpaceDN w:val="0"/>
              <w:spacing w:line="240" w:lineRule="auto"/>
              <w:ind w:firstLine="0" w:firstLineChars="0"/>
              <w:jc w:val="center"/>
              <w:textAlignment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kern w:val="0"/>
                <w:sz w:val="21"/>
                <w:szCs w:val="21"/>
                <w:u w:val="single"/>
              </w:rPr>
              <w:t>配 套 设 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2409"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收集池、固液分离机</w:t>
            </w:r>
          </w:p>
        </w:tc>
        <w:tc>
          <w:tcPr>
            <w:tcW w:w="1025"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1</w:t>
            </w:r>
          </w:p>
        </w:tc>
        <w:tc>
          <w:tcPr>
            <w:tcW w:w="5463" w:type="dxa"/>
            <w:gridSpan w:val="4"/>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D=10，深3.5米，容积2</w:t>
            </w:r>
            <w:r>
              <w:rPr>
                <w:rFonts w:hint="default" w:ascii="Times New Roman" w:hAnsi="Times New Roman" w:cs="Times New Roman"/>
                <w:b/>
                <w:bCs/>
                <w:color w:val="auto"/>
                <w:sz w:val="21"/>
                <w:szCs w:val="21"/>
                <w:u w:val="single"/>
                <w:lang w:val="en-US" w:eastAsia="zh-CN"/>
              </w:rPr>
              <w:t>00</w:t>
            </w:r>
            <w:r>
              <w:rPr>
                <w:rFonts w:hint="default" w:ascii="Times New Roman" w:hAnsi="Times New Roman" w:cs="Times New Roman"/>
                <w:b/>
                <w:bCs/>
                <w:color w:val="auto"/>
                <w:sz w:val="21"/>
                <w:szCs w:val="21"/>
                <w:u w:val="single"/>
              </w:rPr>
              <w:t>m</w:t>
            </w:r>
            <w:r>
              <w:rPr>
                <w:rFonts w:hint="default" w:ascii="Times New Roman" w:hAnsi="Times New Roman" w:cs="Times New Roman"/>
                <w:b/>
                <w:bCs/>
                <w:color w:val="auto"/>
                <w:sz w:val="21"/>
                <w:szCs w:val="21"/>
                <w:u w:val="single"/>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tblHeader/>
          <w:jc w:val="center"/>
        </w:trPr>
        <w:tc>
          <w:tcPr>
            <w:tcW w:w="2409"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两相流泵</w:t>
            </w:r>
          </w:p>
        </w:tc>
        <w:tc>
          <w:tcPr>
            <w:tcW w:w="1025"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1</w:t>
            </w:r>
          </w:p>
        </w:tc>
        <w:tc>
          <w:tcPr>
            <w:tcW w:w="5463" w:type="dxa"/>
            <w:gridSpan w:val="4"/>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80LXLZ-50-20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tblHeader/>
          <w:jc w:val="center"/>
        </w:trPr>
        <w:tc>
          <w:tcPr>
            <w:tcW w:w="2409"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电机</w:t>
            </w:r>
          </w:p>
        </w:tc>
        <w:tc>
          <w:tcPr>
            <w:tcW w:w="1025"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1</w:t>
            </w:r>
          </w:p>
        </w:tc>
        <w:tc>
          <w:tcPr>
            <w:tcW w:w="5463" w:type="dxa"/>
            <w:gridSpan w:val="4"/>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Y132S-4  5.5kw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tblHeader/>
          <w:jc w:val="center"/>
        </w:trPr>
        <w:tc>
          <w:tcPr>
            <w:tcW w:w="2409"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潜水搅拌</w:t>
            </w:r>
          </w:p>
        </w:tc>
        <w:tc>
          <w:tcPr>
            <w:tcW w:w="1025"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1</w:t>
            </w:r>
          </w:p>
        </w:tc>
        <w:tc>
          <w:tcPr>
            <w:tcW w:w="5463" w:type="dxa"/>
            <w:gridSpan w:val="4"/>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4kw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 w:hRule="atLeast"/>
          <w:tblHeader/>
          <w:jc w:val="center"/>
        </w:trPr>
        <w:tc>
          <w:tcPr>
            <w:tcW w:w="2409"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黑膜沼气池</w:t>
            </w:r>
          </w:p>
        </w:tc>
        <w:tc>
          <w:tcPr>
            <w:tcW w:w="1025"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1</w:t>
            </w:r>
          </w:p>
        </w:tc>
        <w:tc>
          <w:tcPr>
            <w:tcW w:w="5463" w:type="dxa"/>
            <w:gridSpan w:val="4"/>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12293m</w:t>
            </w:r>
            <w:r>
              <w:rPr>
                <w:rFonts w:hint="default" w:ascii="Times New Roman" w:hAnsi="Times New Roman" w:cs="Times New Roman"/>
                <w:b/>
                <w:bCs/>
                <w:color w:val="auto"/>
                <w:sz w:val="21"/>
                <w:szCs w:val="21"/>
                <w:u w:val="single"/>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tblHeader/>
          <w:jc w:val="center"/>
        </w:trPr>
        <w:tc>
          <w:tcPr>
            <w:tcW w:w="2409"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eastAsia="宋体" w:cs="Times New Roman"/>
                <w:b/>
                <w:bCs/>
                <w:color w:val="auto"/>
                <w:sz w:val="21"/>
                <w:szCs w:val="21"/>
                <w:u w:val="single"/>
                <w:lang w:eastAsia="zh-CN"/>
              </w:rPr>
            </w:pPr>
            <w:r>
              <w:rPr>
                <w:rFonts w:hint="default" w:ascii="Times New Roman" w:hAnsi="Times New Roman" w:cs="Times New Roman"/>
                <w:b/>
                <w:bCs/>
                <w:color w:val="auto"/>
                <w:sz w:val="21"/>
                <w:szCs w:val="21"/>
                <w:u w:val="single"/>
                <w:lang w:eastAsia="zh-CN"/>
              </w:rPr>
              <w:t>沼液存储池</w:t>
            </w:r>
          </w:p>
        </w:tc>
        <w:tc>
          <w:tcPr>
            <w:tcW w:w="1025"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1</w:t>
            </w:r>
          </w:p>
        </w:tc>
        <w:tc>
          <w:tcPr>
            <w:tcW w:w="5463" w:type="dxa"/>
            <w:gridSpan w:val="4"/>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容积41500m</w:t>
            </w:r>
            <w:r>
              <w:rPr>
                <w:rFonts w:hint="default" w:ascii="Times New Roman" w:hAnsi="Times New Roman" w:cs="Times New Roman"/>
                <w:b/>
                <w:bCs/>
                <w:color w:val="auto"/>
                <w:sz w:val="21"/>
                <w:szCs w:val="21"/>
                <w:u w:val="single"/>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tblHeader/>
          <w:jc w:val="center"/>
        </w:trPr>
        <w:tc>
          <w:tcPr>
            <w:tcW w:w="2409"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潜污泵</w:t>
            </w:r>
          </w:p>
        </w:tc>
        <w:tc>
          <w:tcPr>
            <w:tcW w:w="1025"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6</w:t>
            </w:r>
          </w:p>
        </w:tc>
        <w:tc>
          <w:tcPr>
            <w:tcW w:w="5463" w:type="dxa"/>
            <w:gridSpan w:val="4"/>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100QW100-30-15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 w:hRule="atLeast"/>
          <w:tblHeader/>
          <w:jc w:val="center"/>
        </w:trPr>
        <w:tc>
          <w:tcPr>
            <w:tcW w:w="2409" w:type="dxa"/>
            <w:tcMar>
              <w:top w:w="57" w:type="dxa"/>
              <w:left w:w="85" w:type="dxa"/>
              <w:bottom w:w="57" w:type="dxa"/>
              <w:right w:w="85" w:type="dxa"/>
            </w:tcMar>
            <w:vAlign w:val="center"/>
          </w:tcPr>
          <w:p>
            <w:pPr>
              <w:widowControl/>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3、沼气工程</w:t>
            </w:r>
          </w:p>
        </w:tc>
        <w:tc>
          <w:tcPr>
            <w:tcW w:w="1025" w:type="dxa"/>
            <w:tcMar>
              <w:top w:w="57" w:type="dxa"/>
              <w:left w:w="85" w:type="dxa"/>
              <w:bottom w:w="57" w:type="dxa"/>
              <w:right w:w="85" w:type="dxa"/>
            </w:tcMar>
            <w:vAlign w:val="center"/>
          </w:tcPr>
          <w:p>
            <w:pPr>
              <w:widowControl/>
              <w:spacing w:line="240" w:lineRule="auto"/>
              <w:ind w:firstLine="0" w:firstLineChars="0"/>
              <w:jc w:val="center"/>
              <w:rPr>
                <w:rFonts w:hint="default" w:ascii="Times New Roman" w:hAnsi="Times New Roman" w:cs="Times New Roman"/>
                <w:b/>
                <w:bCs/>
                <w:color w:val="auto"/>
                <w:kern w:val="0"/>
                <w:sz w:val="21"/>
                <w:szCs w:val="21"/>
                <w:u w:val="single"/>
              </w:rPr>
            </w:pPr>
          </w:p>
        </w:tc>
        <w:tc>
          <w:tcPr>
            <w:tcW w:w="5463" w:type="dxa"/>
            <w:gridSpan w:val="4"/>
            <w:tcMar>
              <w:top w:w="57" w:type="dxa"/>
              <w:left w:w="85" w:type="dxa"/>
              <w:bottom w:w="57" w:type="dxa"/>
              <w:right w:w="85" w:type="dxa"/>
            </w:tcMar>
            <w:vAlign w:val="center"/>
          </w:tcPr>
          <w:p>
            <w:pPr>
              <w:widowControl/>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配 套 设 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 w:hRule="atLeast"/>
          <w:tblHeader/>
          <w:jc w:val="center"/>
        </w:trPr>
        <w:tc>
          <w:tcPr>
            <w:tcW w:w="2409" w:type="dxa"/>
            <w:tcMar>
              <w:top w:w="57" w:type="dxa"/>
              <w:left w:w="85" w:type="dxa"/>
              <w:bottom w:w="57" w:type="dxa"/>
              <w:right w:w="85" w:type="dxa"/>
            </w:tcMar>
          </w:tcPr>
          <w:p>
            <w:pPr>
              <w:widowControl/>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沼气收集器</w:t>
            </w:r>
          </w:p>
        </w:tc>
        <w:tc>
          <w:tcPr>
            <w:tcW w:w="1025" w:type="dxa"/>
            <w:tcMar>
              <w:top w:w="57" w:type="dxa"/>
              <w:left w:w="85" w:type="dxa"/>
              <w:bottom w:w="57" w:type="dxa"/>
              <w:right w:w="85" w:type="dxa"/>
            </w:tcMar>
            <w:vAlign w:val="center"/>
          </w:tcPr>
          <w:p>
            <w:pPr>
              <w:widowControl/>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1</w:t>
            </w:r>
          </w:p>
        </w:tc>
        <w:tc>
          <w:tcPr>
            <w:tcW w:w="5463" w:type="dxa"/>
            <w:gridSpan w:val="4"/>
            <w:tcMar>
              <w:top w:w="57" w:type="dxa"/>
              <w:left w:w="85" w:type="dxa"/>
              <w:bottom w:w="57" w:type="dxa"/>
              <w:right w:w="85" w:type="dxa"/>
            </w:tcMar>
            <w:vAlign w:val="center"/>
          </w:tcPr>
          <w:p>
            <w:pPr>
              <w:widowControl/>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tblHeader/>
          <w:jc w:val="center"/>
        </w:trPr>
        <w:tc>
          <w:tcPr>
            <w:tcW w:w="2409" w:type="dxa"/>
            <w:tcMar>
              <w:top w:w="57" w:type="dxa"/>
              <w:left w:w="85" w:type="dxa"/>
              <w:bottom w:w="57" w:type="dxa"/>
              <w:right w:w="85" w:type="dxa"/>
            </w:tcMar>
          </w:tcPr>
          <w:p>
            <w:pPr>
              <w:widowControl/>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沼气脱硫器</w:t>
            </w:r>
          </w:p>
        </w:tc>
        <w:tc>
          <w:tcPr>
            <w:tcW w:w="1025" w:type="dxa"/>
            <w:tcMar>
              <w:top w:w="57" w:type="dxa"/>
              <w:left w:w="85" w:type="dxa"/>
              <w:bottom w:w="57" w:type="dxa"/>
              <w:right w:w="85" w:type="dxa"/>
            </w:tcMar>
            <w:vAlign w:val="center"/>
          </w:tcPr>
          <w:p>
            <w:pPr>
              <w:widowControl/>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1</w:t>
            </w:r>
          </w:p>
        </w:tc>
        <w:tc>
          <w:tcPr>
            <w:tcW w:w="5463" w:type="dxa"/>
            <w:gridSpan w:val="4"/>
            <w:tcMar>
              <w:top w:w="57" w:type="dxa"/>
              <w:left w:w="85" w:type="dxa"/>
              <w:bottom w:w="57" w:type="dxa"/>
              <w:right w:w="85" w:type="dxa"/>
            </w:tcMar>
            <w:vAlign w:val="center"/>
          </w:tcPr>
          <w:p>
            <w:pPr>
              <w:widowControl/>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tblHeader/>
          <w:jc w:val="center"/>
        </w:trPr>
        <w:tc>
          <w:tcPr>
            <w:tcW w:w="2409" w:type="dxa"/>
            <w:tcMar>
              <w:top w:w="57" w:type="dxa"/>
              <w:left w:w="85" w:type="dxa"/>
              <w:bottom w:w="57" w:type="dxa"/>
              <w:right w:w="85" w:type="dxa"/>
            </w:tcMar>
          </w:tcPr>
          <w:p>
            <w:pPr>
              <w:widowControl/>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沼气除水器</w:t>
            </w:r>
          </w:p>
        </w:tc>
        <w:tc>
          <w:tcPr>
            <w:tcW w:w="1025" w:type="dxa"/>
            <w:tcMar>
              <w:top w:w="57" w:type="dxa"/>
              <w:left w:w="85" w:type="dxa"/>
              <w:bottom w:w="57" w:type="dxa"/>
              <w:right w:w="85" w:type="dxa"/>
            </w:tcMar>
            <w:vAlign w:val="center"/>
          </w:tcPr>
          <w:p>
            <w:pPr>
              <w:widowControl/>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1</w:t>
            </w:r>
          </w:p>
        </w:tc>
        <w:tc>
          <w:tcPr>
            <w:tcW w:w="5463" w:type="dxa"/>
            <w:gridSpan w:val="4"/>
            <w:tcMar>
              <w:top w:w="57" w:type="dxa"/>
              <w:left w:w="85" w:type="dxa"/>
              <w:bottom w:w="57" w:type="dxa"/>
              <w:right w:w="85" w:type="dxa"/>
            </w:tcMar>
            <w:vAlign w:val="center"/>
          </w:tcPr>
          <w:p>
            <w:pPr>
              <w:widowControl/>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tblHeader/>
          <w:jc w:val="center"/>
        </w:trPr>
        <w:tc>
          <w:tcPr>
            <w:tcW w:w="2409" w:type="dxa"/>
            <w:tcMar>
              <w:top w:w="57" w:type="dxa"/>
              <w:left w:w="85" w:type="dxa"/>
              <w:bottom w:w="57" w:type="dxa"/>
              <w:right w:w="85" w:type="dxa"/>
            </w:tcMar>
            <w:vAlign w:val="center"/>
          </w:tcPr>
          <w:p>
            <w:pPr>
              <w:widowControl/>
              <w:spacing w:line="240" w:lineRule="auto"/>
              <w:ind w:firstLine="0" w:firstLineChars="0"/>
              <w:jc w:val="center"/>
              <w:rPr>
                <w:rFonts w:hint="eastAsia" w:ascii="Times New Roman" w:hAnsi="Times New Roman" w:eastAsia="宋体" w:cs="Times New Roman"/>
                <w:b/>
                <w:bCs/>
                <w:color w:val="auto"/>
                <w:kern w:val="0"/>
                <w:sz w:val="21"/>
                <w:szCs w:val="21"/>
                <w:u w:val="single"/>
                <w:lang w:eastAsia="zh-CN"/>
              </w:rPr>
            </w:pPr>
            <w:r>
              <w:rPr>
                <w:rFonts w:hint="eastAsia" w:cs="Times New Roman"/>
                <w:b/>
                <w:bCs/>
                <w:color w:val="auto"/>
                <w:kern w:val="0"/>
                <w:sz w:val="21"/>
                <w:szCs w:val="21"/>
                <w:u w:val="single"/>
                <w:lang w:eastAsia="zh-CN"/>
              </w:rPr>
              <w:t>燃气热水器</w:t>
            </w:r>
          </w:p>
        </w:tc>
        <w:tc>
          <w:tcPr>
            <w:tcW w:w="1025" w:type="dxa"/>
            <w:tcMar>
              <w:top w:w="57" w:type="dxa"/>
              <w:left w:w="85" w:type="dxa"/>
              <w:bottom w:w="57" w:type="dxa"/>
              <w:right w:w="85" w:type="dxa"/>
            </w:tcMar>
            <w:vAlign w:val="center"/>
          </w:tcPr>
          <w:p>
            <w:pPr>
              <w:widowControl/>
              <w:spacing w:line="240" w:lineRule="auto"/>
              <w:ind w:firstLine="0" w:firstLineChars="0"/>
              <w:jc w:val="center"/>
              <w:rPr>
                <w:rFonts w:hint="default" w:ascii="Times New Roman" w:hAnsi="Times New Roman" w:cs="Times New Roman"/>
                <w:b/>
                <w:bCs/>
                <w:color w:val="auto"/>
                <w:kern w:val="0"/>
                <w:sz w:val="21"/>
                <w:szCs w:val="21"/>
                <w:u w:val="single"/>
              </w:rPr>
            </w:pPr>
            <w:r>
              <w:rPr>
                <w:rFonts w:hint="eastAsia" w:cs="Times New Roman"/>
                <w:b/>
                <w:bCs/>
                <w:color w:val="auto"/>
                <w:kern w:val="0"/>
                <w:sz w:val="21"/>
                <w:szCs w:val="21"/>
                <w:u w:val="single"/>
                <w:lang w:val="en-US" w:eastAsia="zh-CN"/>
              </w:rPr>
              <w:t>9</w:t>
            </w:r>
          </w:p>
        </w:tc>
        <w:tc>
          <w:tcPr>
            <w:tcW w:w="5463" w:type="dxa"/>
            <w:gridSpan w:val="4"/>
            <w:tcMar>
              <w:top w:w="57" w:type="dxa"/>
              <w:left w:w="85" w:type="dxa"/>
              <w:bottom w:w="57" w:type="dxa"/>
              <w:right w:w="85" w:type="dxa"/>
            </w:tcMar>
            <w:vAlign w:val="center"/>
          </w:tcPr>
          <w:p>
            <w:pPr>
              <w:widowControl/>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tblHeader/>
          <w:jc w:val="center"/>
        </w:trPr>
        <w:tc>
          <w:tcPr>
            <w:tcW w:w="3434" w:type="dxa"/>
            <w:gridSpan w:val="2"/>
            <w:tcMar>
              <w:top w:w="57" w:type="dxa"/>
              <w:left w:w="85" w:type="dxa"/>
              <w:bottom w:w="57" w:type="dxa"/>
              <w:right w:w="85" w:type="dxa"/>
            </w:tcMar>
            <w:vAlign w:val="center"/>
          </w:tcPr>
          <w:p>
            <w:pPr>
              <w:widowControl/>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4、粪便处理构筑物</w:t>
            </w:r>
          </w:p>
        </w:tc>
        <w:tc>
          <w:tcPr>
            <w:tcW w:w="5463" w:type="dxa"/>
            <w:gridSpan w:val="4"/>
            <w:tcMar>
              <w:top w:w="57" w:type="dxa"/>
              <w:left w:w="85" w:type="dxa"/>
              <w:bottom w:w="57" w:type="dxa"/>
              <w:right w:w="85" w:type="dxa"/>
            </w:tcMar>
            <w:vAlign w:val="center"/>
          </w:tcPr>
          <w:p>
            <w:pPr>
              <w:widowControl/>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配 套 设 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tblHeader/>
          <w:jc w:val="center"/>
        </w:trPr>
        <w:tc>
          <w:tcPr>
            <w:tcW w:w="2409" w:type="dxa"/>
            <w:tcMar>
              <w:top w:w="57" w:type="dxa"/>
              <w:left w:w="85" w:type="dxa"/>
              <w:bottom w:w="57" w:type="dxa"/>
              <w:right w:w="85" w:type="dxa"/>
            </w:tcMar>
            <w:vAlign w:val="center"/>
          </w:tcPr>
          <w:p>
            <w:pPr>
              <w:widowControl/>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固粪处理区</w:t>
            </w:r>
          </w:p>
        </w:tc>
        <w:tc>
          <w:tcPr>
            <w:tcW w:w="1025" w:type="dxa"/>
            <w:tcMar>
              <w:top w:w="57" w:type="dxa"/>
              <w:left w:w="85" w:type="dxa"/>
              <w:bottom w:w="57" w:type="dxa"/>
              <w:right w:w="85" w:type="dxa"/>
            </w:tcMar>
            <w:vAlign w:val="center"/>
          </w:tcPr>
          <w:p>
            <w:pPr>
              <w:widowControl/>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1</w:t>
            </w:r>
          </w:p>
        </w:tc>
        <w:tc>
          <w:tcPr>
            <w:tcW w:w="5463" w:type="dxa"/>
            <w:gridSpan w:val="4"/>
            <w:tcMar>
              <w:top w:w="57" w:type="dxa"/>
              <w:left w:w="85" w:type="dxa"/>
              <w:bottom w:w="57" w:type="dxa"/>
              <w:right w:w="85" w:type="dxa"/>
            </w:tcMar>
            <w:vAlign w:val="center"/>
          </w:tcPr>
          <w:p>
            <w:pPr>
              <w:widowControl/>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长42m、宽14m，半封闭结构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 w:hRule="atLeast"/>
          <w:tblHeader/>
          <w:jc w:val="center"/>
        </w:trPr>
        <w:tc>
          <w:tcPr>
            <w:tcW w:w="2409" w:type="dxa"/>
            <w:tcMar>
              <w:top w:w="57" w:type="dxa"/>
              <w:left w:w="85" w:type="dxa"/>
              <w:bottom w:w="57" w:type="dxa"/>
              <w:right w:w="85" w:type="dxa"/>
            </w:tcMar>
            <w:vAlign w:val="center"/>
          </w:tcPr>
          <w:p>
            <w:pPr>
              <w:widowControl/>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5、无害化处理工程</w:t>
            </w:r>
          </w:p>
        </w:tc>
        <w:tc>
          <w:tcPr>
            <w:tcW w:w="1025" w:type="dxa"/>
            <w:tcMar>
              <w:top w:w="57" w:type="dxa"/>
              <w:left w:w="85" w:type="dxa"/>
              <w:bottom w:w="57" w:type="dxa"/>
              <w:right w:w="85" w:type="dxa"/>
            </w:tcMar>
            <w:vAlign w:val="center"/>
          </w:tcPr>
          <w:p>
            <w:pPr>
              <w:widowControl/>
              <w:spacing w:line="240" w:lineRule="auto"/>
              <w:ind w:firstLine="0" w:firstLineChars="0"/>
              <w:jc w:val="center"/>
              <w:rPr>
                <w:rFonts w:hint="default" w:ascii="Times New Roman" w:hAnsi="Times New Roman" w:cs="Times New Roman"/>
                <w:b/>
                <w:bCs/>
                <w:color w:val="auto"/>
                <w:kern w:val="0"/>
                <w:sz w:val="21"/>
                <w:szCs w:val="21"/>
                <w:u w:val="single"/>
              </w:rPr>
            </w:pPr>
          </w:p>
        </w:tc>
        <w:tc>
          <w:tcPr>
            <w:tcW w:w="5463" w:type="dxa"/>
            <w:gridSpan w:val="4"/>
            <w:tcMar>
              <w:top w:w="57" w:type="dxa"/>
              <w:left w:w="85" w:type="dxa"/>
              <w:bottom w:w="57" w:type="dxa"/>
              <w:right w:w="85" w:type="dxa"/>
            </w:tcMar>
            <w:vAlign w:val="center"/>
          </w:tcPr>
          <w:p>
            <w:pPr>
              <w:widowControl/>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配 套 设 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409" w:type="dxa"/>
            <w:tcMar>
              <w:top w:w="57" w:type="dxa"/>
              <w:left w:w="85" w:type="dxa"/>
              <w:bottom w:w="57" w:type="dxa"/>
              <w:right w:w="85" w:type="dxa"/>
            </w:tcMar>
            <w:vAlign w:val="center"/>
          </w:tcPr>
          <w:p>
            <w:pPr>
              <w:widowControl/>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无害化处理区</w:t>
            </w:r>
          </w:p>
        </w:tc>
        <w:tc>
          <w:tcPr>
            <w:tcW w:w="1025" w:type="dxa"/>
            <w:tcMar>
              <w:top w:w="57" w:type="dxa"/>
              <w:left w:w="85" w:type="dxa"/>
              <w:bottom w:w="57" w:type="dxa"/>
              <w:right w:w="85" w:type="dxa"/>
            </w:tcMar>
            <w:vAlign w:val="center"/>
          </w:tcPr>
          <w:p>
            <w:pPr>
              <w:widowControl/>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1</w:t>
            </w:r>
          </w:p>
        </w:tc>
        <w:tc>
          <w:tcPr>
            <w:tcW w:w="5463" w:type="dxa"/>
            <w:gridSpan w:val="4"/>
            <w:tcMar>
              <w:top w:w="57" w:type="dxa"/>
              <w:left w:w="85" w:type="dxa"/>
              <w:bottom w:w="57" w:type="dxa"/>
              <w:right w:w="85" w:type="dxa"/>
            </w:tcMar>
            <w:vAlign w:val="center"/>
          </w:tcPr>
          <w:p>
            <w:pPr>
              <w:widowControl/>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长10m、宽10m</w:t>
            </w:r>
          </w:p>
        </w:tc>
      </w:tr>
      <w:bookmarkEnd w:id="248"/>
      <w:bookmarkEnd w:id="249"/>
      <w:bookmarkEnd w:id="250"/>
      <w:bookmarkEnd w:id="251"/>
      <w:bookmarkEnd w:id="252"/>
      <w:bookmarkEnd w:id="253"/>
      <w:bookmarkEnd w:id="254"/>
      <w:bookmarkEnd w:id="255"/>
    </w:tbl>
    <w:p>
      <w:pPr>
        <w:pStyle w:val="34"/>
        <w:ind w:firstLine="480"/>
        <w:rPr>
          <w:rFonts w:hint="default" w:ascii="Times New Roman" w:hAnsi="Times New Roman" w:cs="Times New Roman"/>
          <w:color w:val="auto"/>
        </w:rPr>
      </w:pPr>
      <w:bookmarkStart w:id="256" w:name="_Toc468115357"/>
      <w:bookmarkStart w:id="257" w:name="_Toc269400662"/>
      <w:r>
        <w:rPr>
          <w:rFonts w:hint="default" w:ascii="Times New Roman" w:hAnsi="Times New Roman" w:cs="Times New Roman"/>
          <w:color w:val="auto"/>
        </w:rPr>
        <w:t>3.1.5 主要原辅材料及动力消耗</w:t>
      </w:r>
      <w:bookmarkEnd w:id="256"/>
    </w:p>
    <w:p>
      <w:pPr>
        <w:pStyle w:val="35"/>
        <w:ind w:firstLine="480"/>
        <w:rPr>
          <w:rFonts w:hint="default" w:ascii="Times New Roman" w:hAnsi="Times New Roman" w:cs="Times New Roman"/>
          <w:color w:val="auto"/>
        </w:rPr>
      </w:pPr>
      <w:bookmarkStart w:id="258" w:name="_Toc311979801"/>
      <w:bookmarkStart w:id="259" w:name="_Toc311979847"/>
      <w:bookmarkStart w:id="260" w:name="_Toc311979915"/>
      <w:r>
        <w:rPr>
          <w:rFonts w:hint="default" w:ascii="Times New Roman" w:hAnsi="Times New Roman" w:cs="Times New Roman"/>
          <w:color w:val="auto"/>
        </w:rPr>
        <w:t>（1）原料来源</w:t>
      </w:r>
    </w:p>
    <w:p>
      <w:pPr>
        <w:pStyle w:val="35"/>
        <w:ind w:firstLine="480"/>
        <w:rPr>
          <w:rFonts w:hint="default" w:ascii="Times New Roman" w:hAnsi="Times New Roman" w:cs="Times New Roman"/>
          <w:color w:val="auto"/>
        </w:rPr>
      </w:pPr>
      <w:r>
        <w:rPr>
          <w:rFonts w:hint="default" w:ascii="Times New Roman" w:hAnsi="Times New Roman" w:cs="Times New Roman"/>
          <w:color w:val="auto"/>
        </w:rPr>
        <w:t>本项目场区内不设饲料制作车间，根据企业提供的资料，饲料由其他场供给，汽车运输。饲料运送至场区饲料中转站后，采用全自动配送上料系统和限位猪槽，机械化操作，定时定量供应饲料，保证生猪饮食需求。</w:t>
      </w:r>
    </w:p>
    <w:p>
      <w:pPr>
        <w:pStyle w:val="35"/>
        <w:ind w:firstLine="480"/>
        <w:rPr>
          <w:rFonts w:hint="default" w:ascii="Times New Roman" w:hAnsi="Times New Roman" w:cs="Times New Roman"/>
          <w:color w:val="auto"/>
        </w:rPr>
      </w:pPr>
      <w:r>
        <w:rPr>
          <w:rFonts w:hint="default" w:ascii="Times New Roman" w:hAnsi="Times New Roman" w:cs="Times New Roman"/>
          <w:color w:val="auto"/>
        </w:rPr>
        <w:t>项目饲料用量见表3.1-5。</w:t>
      </w:r>
    </w:p>
    <w:p>
      <w:pPr>
        <w:spacing w:afterLines="30" w:line="500" w:lineRule="exact"/>
        <w:ind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表3.1-5                  工程主要饲料消耗量</w:t>
      </w:r>
    </w:p>
    <w:tbl>
      <w:tblPr>
        <w:tblStyle w:val="25"/>
        <w:tblW w:w="894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22"/>
        <w:gridCol w:w="2652"/>
        <w:gridCol w:w="1968"/>
        <w:gridCol w:w="190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2"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生猪种类</w:t>
            </w:r>
          </w:p>
        </w:tc>
        <w:tc>
          <w:tcPr>
            <w:tcW w:w="2652"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饲料定额</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（kg/头·d）</w:t>
            </w:r>
          </w:p>
        </w:tc>
        <w:tc>
          <w:tcPr>
            <w:tcW w:w="3870"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饲料消耗总量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2422"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2652"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96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kg/d</w:t>
            </w:r>
          </w:p>
        </w:tc>
        <w:tc>
          <w:tcPr>
            <w:tcW w:w="190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242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怀孕猪</w:t>
            </w:r>
          </w:p>
        </w:tc>
        <w:tc>
          <w:tcPr>
            <w:tcW w:w="265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w:t>
            </w:r>
          </w:p>
        </w:tc>
        <w:tc>
          <w:tcPr>
            <w:tcW w:w="196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16249</w:t>
            </w:r>
          </w:p>
        </w:tc>
        <w:tc>
          <w:tcPr>
            <w:tcW w:w="190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5931.25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42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哺乳猪</w:t>
            </w:r>
          </w:p>
        </w:tc>
        <w:tc>
          <w:tcPr>
            <w:tcW w:w="265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196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5500</w:t>
            </w:r>
          </w:p>
        </w:tc>
        <w:tc>
          <w:tcPr>
            <w:tcW w:w="190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242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后备舍</w:t>
            </w:r>
          </w:p>
        </w:tc>
        <w:tc>
          <w:tcPr>
            <w:tcW w:w="265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w:t>
            </w:r>
          </w:p>
        </w:tc>
        <w:tc>
          <w:tcPr>
            <w:tcW w:w="196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3500</w:t>
            </w:r>
          </w:p>
        </w:tc>
        <w:tc>
          <w:tcPr>
            <w:tcW w:w="190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 xml:space="preserve">1277.50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 w:hRule="atLeast"/>
          <w:jc w:val="center"/>
        </w:trPr>
        <w:tc>
          <w:tcPr>
            <w:tcW w:w="507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196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25249</w:t>
            </w:r>
          </w:p>
        </w:tc>
        <w:tc>
          <w:tcPr>
            <w:tcW w:w="190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9216.25</w:t>
            </w:r>
          </w:p>
        </w:tc>
      </w:tr>
    </w:tbl>
    <w:p>
      <w:pPr>
        <w:pStyle w:val="36"/>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（2）辅助材料消耗</w:t>
      </w:r>
    </w:p>
    <w:p>
      <w:pPr>
        <w:pStyle w:val="36"/>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项目辅助材料主要包括消毒药品、植物除臭剂、脱硫剂及防疫药品。其中植物型除臭剂为喷洒在猪舍、固粪处理区、污水处理站等区域，用来抑制恶臭的产生。植物除臭剂1kg可喷洒500m</w:t>
      </w:r>
      <w:r>
        <w:rPr>
          <w:rFonts w:hint="default" w:ascii="Times New Roman" w:hAnsi="Times New Roman" w:cs="Times New Roman"/>
          <w:color w:val="auto"/>
          <w:vertAlign w:val="superscript"/>
        </w:rPr>
        <w:t>2</w:t>
      </w:r>
      <w:r>
        <w:rPr>
          <w:rFonts w:hint="default" w:ascii="Times New Roman" w:hAnsi="Times New Roman" w:cs="Times New Roman"/>
          <w:color w:val="auto"/>
        </w:rPr>
        <w:t>，项目植物除臭剂总用量约为0.182t/a。脱硫剂为氧化铁，用来对沼气净化脱硫，项目脱硫剂总用量为0.016t/a。消毒剂（过氧乙酸溶液消毒剂等）主要用于公司日常对人员，猪舍及进出厂区的车辆进行消毒，总用量为0.2t/a。项目防疫药品的种类为伪狂犬疫苗、猪瘟疫苗、口蹄疫疫苗、蓝耳病疫苗4种，出栏的商品猪每头各需1份，年共需防疫药品0.12t/a。益生菌，用于病死猪无害化处理添加到高温处理机中，一般一次添加1kg。每天处理一次，年用量为0.365t。</w:t>
      </w:r>
    </w:p>
    <w:p>
      <w:pPr>
        <w:pStyle w:val="36"/>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（3）资源能源消耗汇总</w:t>
      </w:r>
    </w:p>
    <w:p>
      <w:pPr>
        <w:pStyle w:val="35"/>
        <w:ind w:firstLine="480"/>
        <w:rPr>
          <w:rFonts w:hint="default" w:ascii="Times New Roman" w:hAnsi="Times New Roman" w:cs="Times New Roman"/>
          <w:color w:val="auto"/>
        </w:rPr>
      </w:pPr>
      <w:r>
        <w:rPr>
          <w:rFonts w:hint="default" w:ascii="Times New Roman" w:hAnsi="Times New Roman" w:cs="Times New Roman"/>
          <w:color w:val="auto"/>
        </w:rPr>
        <w:t>项目建成后主要原辅材料及资源能源消耗汇总见下表3.1-6。</w:t>
      </w:r>
    </w:p>
    <w:p>
      <w:pPr>
        <w:tabs>
          <w:tab w:val="left" w:pos="822"/>
        </w:tabs>
        <w:spacing w:afterLines="30"/>
        <w:ind w:firstLine="482"/>
        <w:jc w:val="left"/>
        <w:rPr>
          <w:rFonts w:hint="default" w:ascii="Times New Roman" w:hAnsi="Times New Roman" w:cs="Times New Roman"/>
          <w:b/>
          <w:bCs w:val="0"/>
          <w:color w:val="auto"/>
          <w:szCs w:val="21"/>
          <w:u w:val="single"/>
        </w:rPr>
      </w:pPr>
      <w:r>
        <w:rPr>
          <w:rFonts w:hint="default" w:ascii="Times New Roman" w:hAnsi="Times New Roman" w:cs="Times New Roman"/>
          <w:b/>
          <w:bCs w:val="0"/>
          <w:color w:val="auto"/>
          <w:szCs w:val="21"/>
          <w:u w:val="single"/>
        </w:rPr>
        <w:t>表3.1-6             工程主要原辅材料及能源资源消耗一览表</w:t>
      </w:r>
    </w:p>
    <w:tbl>
      <w:tblPr>
        <w:tblStyle w:val="25"/>
        <w:tblW w:w="894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4"/>
        <w:gridCol w:w="1353"/>
        <w:gridCol w:w="1163"/>
        <w:gridCol w:w="1822"/>
        <w:gridCol w:w="306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544" w:type="dxa"/>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单元</w:t>
            </w:r>
          </w:p>
        </w:tc>
        <w:tc>
          <w:tcPr>
            <w:tcW w:w="1353" w:type="dxa"/>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项目名称</w:t>
            </w:r>
          </w:p>
        </w:tc>
        <w:tc>
          <w:tcPr>
            <w:tcW w:w="1163" w:type="dxa"/>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单位</w:t>
            </w:r>
          </w:p>
        </w:tc>
        <w:tc>
          <w:tcPr>
            <w:tcW w:w="1822" w:type="dxa"/>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年消耗量</w:t>
            </w:r>
          </w:p>
        </w:tc>
        <w:tc>
          <w:tcPr>
            <w:tcW w:w="3061" w:type="dxa"/>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储存方式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544" w:type="dxa"/>
            <w:vMerge w:val="restart"/>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养殖生产</w:t>
            </w:r>
          </w:p>
        </w:tc>
        <w:tc>
          <w:tcPr>
            <w:tcW w:w="1353" w:type="dxa"/>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饲料</w:t>
            </w:r>
          </w:p>
        </w:tc>
        <w:tc>
          <w:tcPr>
            <w:tcW w:w="1163" w:type="dxa"/>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t</w:t>
            </w:r>
          </w:p>
        </w:tc>
        <w:tc>
          <w:tcPr>
            <w:tcW w:w="1822" w:type="dxa"/>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7938.5</w:t>
            </w:r>
          </w:p>
        </w:tc>
        <w:tc>
          <w:tcPr>
            <w:tcW w:w="3061" w:type="dxa"/>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饲料罐储存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544" w:type="dxa"/>
            <w:vMerge w:val="continue"/>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p>
        </w:tc>
        <w:tc>
          <w:tcPr>
            <w:tcW w:w="1353" w:type="dxa"/>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脱硫剂</w:t>
            </w:r>
          </w:p>
        </w:tc>
        <w:tc>
          <w:tcPr>
            <w:tcW w:w="1163" w:type="dxa"/>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t</w:t>
            </w:r>
          </w:p>
        </w:tc>
        <w:tc>
          <w:tcPr>
            <w:tcW w:w="1822" w:type="dxa"/>
            <w:vAlign w:val="center"/>
          </w:tcPr>
          <w:p>
            <w:pPr>
              <w:spacing w:line="240" w:lineRule="auto"/>
              <w:ind w:firstLine="0" w:firstLineChars="0"/>
              <w:jc w:val="center"/>
              <w:rPr>
                <w:rFonts w:hint="default" w:ascii="Times New Roman" w:hAnsi="Times New Roman" w:cs="Times New Roman"/>
                <w:b/>
                <w:bCs w:val="0"/>
                <w:iCs/>
                <w:color w:val="auto"/>
                <w:sz w:val="21"/>
                <w:szCs w:val="21"/>
                <w:u w:val="single"/>
              </w:rPr>
            </w:pPr>
            <w:r>
              <w:rPr>
                <w:rFonts w:hint="default" w:ascii="Times New Roman" w:hAnsi="Times New Roman" w:cs="Times New Roman"/>
                <w:b/>
                <w:bCs w:val="0"/>
                <w:iCs/>
                <w:color w:val="auto"/>
                <w:sz w:val="21"/>
                <w:szCs w:val="21"/>
                <w:u w:val="single"/>
              </w:rPr>
              <w:t>0.016</w:t>
            </w:r>
          </w:p>
        </w:tc>
        <w:tc>
          <w:tcPr>
            <w:tcW w:w="3061" w:type="dxa"/>
            <w:vAlign w:val="center"/>
          </w:tcPr>
          <w:p>
            <w:pPr>
              <w:spacing w:line="240" w:lineRule="auto"/>
              <w:ind w:firstLine="0" w:firstLineChars="0"/>
              <w:jc w:val="center"/>
              <w:rPr>
                <w:rFonts w:hint="default" w:ascii="Times New Roman" w:hAnsi="Times New Roman" w:cs="Times New Roman"/>
                <w:b/>
                <w:bCs w:val="0"/>
                <w:iCs/>
                <w:color w:val="auto"/>
                <w:sz w:val="21"/>
                <w:szCs w:val="21"/>
                <w:u w:val="single"/>
              </w:rPr>
            </w:pPr>
            <w:r>
              <w:rPr>
                <w:rFonts w:hint="default" w:ascii="Times New Roman" w:hAnsi="Times New Roman" w:cs="Times New Roman"/>
                <w:b/>
                <w:bCs w:val="0"/>
                <w:iCs/>
                <w:color w:val="auto"/>
                <w:sz w:val="21"/>
                <w:szCs w:val="21"/>
                <w:u w:val="singl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544" w:type="dxa"/>
            <w:vMerge w:val="continue"/>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p>
        </w:tc>
        <w:tc>
          <w:tcPr>
            <w:tcW w:w="1353" w:type="dxa"/>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消毒剂</w:t>
            </w:r>
          </w:p>
        </w:tc>
        <w:tc>
          <w:tcPr>
            <w:tcW w:w="1163" w:type="dxa"/>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t</w:t>
            </w:r>
          </w:p>
        </w:tc>
        <w:tc>
          <w:tcPr>
            <w:tcW w:w="1822" w:type="dxa"/>
            <w:vAlign w:val="center"/>
          </w:tcPr>
          <w:p>
            <w:pPr>
              <w:spacing w:line="240" w:lineRule="auto"/>
              <w:ind w:firstLine="0" w:firstLineChars="0"/>
              <w:jc w:val="center"/>
              <w:rPr>
                <w:rFonts w:hint="default" w:ascii="Times New Roman" w:hAnsi="Times New Roman" w:cs="Times New Roman"/>
                <w:b/>
                <w:bCs w:val="0"/>
                <w:iCs/>
                <w:color w:val="auto"/>
                <w:sz w:val="21"/>
                <w:szCs w:val="21"/>
                <w:u w:val="single"/>
              </w:rPr>
            </w:pPr>
            <w:r>
              <w:rPr>
                <w:rFonts w:hint="default" w:ascii="Times New Roman" w:hAnsi="Times New Roman" w:cs="Times New Roman"/>
                <w:b/>
                <w:bCs w:val="0"/>
                <w:iCs/>
                <w:color w:val="auto"/>
                <w:sz w:val="21"/>
                <w:szCs w:val="21"/>
                <w:u w:val="single"/>
              </w:rPr>
              <w:t>0.2</w:t>
            </w:r>
          </w:p>
        </w:tc>
        <w:tc>
          <w:tcPr>
            <w:tcW w:w="3061" w:type="dxa"/>
            <w:vAlign w:val="center"/>
          </w:tcPr>
          <w:p>
            <w:pPr>
              <w:spacing w:line="240" w:lineRule="auto"/>
              <w:ind w:firstLine="0" w:firstLineChars="0"/>
              <w:jc w:val="center"/>
              <w:rPr>
                <w:rFonts w:hint="default" w:ascii="Times New Roman" w:hAnsi="Times New Roman" w:cs="Times New Roman"/>
                <w:b/>
                <w:bCs w:val="0"/>
                <w:iCs/>
                <w:color w:val="auto"/>
                <w:sz w:val="21"/>
                <w:szCs w:val="21"/>
                <w:u w:val="single"/>
              </w:rPr>
            </w:pPr>
            <w:r>
              <w:rPr>
                <w:rFonts w:hint="default" w:ascii="Times New Roman" w:hAnsi="Times New Roman" w:cs="Times New Roman"/>
                <w:b/>
                <w:bCs w:val="0"/>
                <w:iCs/>
                <w:color w:val="auto"/>
                <w:sz w:val="21"/>
                <w:szCs w:val="21"/>
                <w:u w:val="single"/>
              </w:rPr>
              <w:t>储存于项目仓库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544" w:type="dxa"/>
            <w:vMerge w:val="continue"/>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p>
        </w:tc>
        <w:tc>
          <w:tcPr>
            <w:tcW w:w="1353" w:type="dxa"/>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防疫药品</w:t>
            </w:r>
          </w:p>
        </w:tc>
        <w:tc>
          <w:tcPr>
            <w:tcW w:w="1163" w:type="dxa"/>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t</w:t>
            </w:r>
          </w:p>
        </w:tc>
        <w:tc>
          <w:tcPr>
            <w:tcW w:w="1822" w:type="dxa"/>
            <w:vAlign w:val="center"/>
          </w:tcPr>
          <w:p>
            <w:pPr>
              <w:spacing w:line="240" w:lineRule="auto"/>
              <w:ind w:firstLine="0" w:firstLineChars="0"/>
              <w:jc w:val="center"/>
              <w:rPr>
                <w:rFonts w:hint="default" w:ascii="Times New Roman" w:hAnsi="Times New Roman" w:cs="Times New Roman"/>
                <w:b/>
                <w:bCs w:val="0"/>
                <w:iCs/>
                <w:color w:val="auto"/>
                <w:sz w:val="21"/>
                <w:szCs w:val="21"/>
                <w:u w:val="single"/>
              </w:rPr>
            </w:pPr>
            <w:r>
              <w:rPr>
                <w:rFonts w:hint="default" w:ascii="Times New Roman" w:hAnsi="Times New Roman" w:cs="Times New Roman"/>
                <w:b/>
                <w:bCs w:val="0"/>
                <w:iCs/>
                <w:color w:val="auto"/>
                <w:sz w:val="21"/>
                <w:szCs w:val="21"/>
                <w:u w:val="single"/>
              </w:rPr>
              <w:t>0.12</w:t>
            </w:r>
          </w:p>
        </w:tc>
        <w:tc>
          <w:tcPr>
            <w:tcW w:w="3061" w:type="dxa"/>
            <w:vAlign w:val="center"/>
          </w:tcPr>
          <w:p>
            <w:pPr>
              <w:spacing w:line="240" w:lineRule="auto"/>
              <w:ind w:firstLine="0" w:firstLineChars="0"/>
              <w:jc w:val="center"/>
              <w:rPr>
                <w:rFonts w:hint="default" w:ascii="Times New Roman" w:hAnsi="Times New Roman" w:cs="Times New Roman"/>
                <w:b/>
                <w:bCs w:val="0"/>
                <w:iCs/>
                <w:color w:val="auto"/>
                <w:sz w:val="21"/>
                <w:szCs w:val="21"/>
                <w:u w:val="single"/>
              </w:rPr>
            </w:pPr>
            <w:r>
              <w:rPr>
                <w:rFonts w:hint="default" w:ascii="Times New Roman" w:hAnsi="Times New Roman" w:cs="Times New Roman"/>
                <w:b/>
                <w:bCs w:val="0"/>
                <w:iCs/>
                <w:color w:val="auto"/>
                <w:sz w:val="21"/>
                <w:szCs w:val="21"/>
                <w:u w:val="single"/>
              </w:rPr>
              <w:t>仓库内疫苗专用冰柜冷藏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544" w:type="dxa"/>
            <w:vMerge w:val="continue"/>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p>
        </w:tc>
        <w:tc>
          <w:tcPr>
            <w:tcW w:w="1353" w:type="dxa"/>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植物除臭剂</w:t>
            </w:r>
          </w:p>
        </w:tc>
        <w:tc>
          <w:tcPr>
            <w:tcW w:w="1163" w:type="dxa"/>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t</w:t>
            </w:r>
          </w:p>
        </w:tc>
        <w:tc>
          <w:tcPr>
            <w:tcW w:w="1822" w:type="dxa"/>
            <w:vAlign w:val="center"/>
          </w:tcPr>
          <w:p>
            <w:pPr>
              <w:spacing w:line="240" w:lineRule="auto"/>
              <w:ind w:firstLine="0" w:firstLineChars="0"/>
              <w:jc w:val="center"/>
              <w:rPr>
                <w:rFonts w:hint="default" w:ascii="Times New Roman" w:hAnsi="Times New Roman" w:cs="Times New Roman"/>
                <w:b/>
                <w:bCs w:val="0"/>
                <w:iCs/>
                <w:color w:val="auto"/>
                <w:sz w:val="21"/>
                <w:szCs w:val="21"/>
                <w:u w:val="single"/>
              </w:rPr>
            </w:pPr>
            <w:r>
              <w:rPr>
                <w:rFonts w:hint="default" w:ascii="Times New Roman" w:hAnsi="Times New Roman" w:cs="Times New Roman"/>
                <w:b/>
                <w:bCs w:val="0"/>
                <w:iCs/>
                <w:color w:val="auto"/>
                <w:sz w:val="21"/>
                <w:szCs w:val="21"/>
                <w:u w:val="single"/>
              </w:rPr>
              <w:t>0.182</w:t>
            </w:r>
          </w:p>
        </w:tc>
        <w:tc>
          <w:tcPr>
            <w:tcW w:w="3061" w:type="dxa"/>
            <w:vAlign w:val="center"/>
          </w:tcPr>
          <w:p>
            <w:pPr>
              <w:spacing w:line="240" w:lineRule="auto"/>
              <w:ind w:firstLine="0" w:firstLineChars="0"/>
              <w:jc w:val="center"/>
              <w:rPr>
                <w:rFonts w:hint="default" w:ascii="Times New Roman" w:hAnsi="Times New Roman" w:cs="Times New Roman"/>
                <w:b/>
                <w:bCs w:val="0"/>
                <w:iCs/>
                <w:color w:val="auto"/>
                <w:sz w:val="21"/>
                <w:szCs w:val="21"/>
                <w:u w:val="single"/>
              </w:rPr>
            </w:pPr>
            <w:r>
              <w:rPr>
                <w:rFonts w:hint="default" w:ascii="Times New Roman" w:hAnsi="Times New Roman" w:cs="Times New Roman"/>
                <w:b/>
                <w:bCs w:val="0"/>
                <w:iCs/>
                <w:color w:val="auto"/>
                <w:sz w:val="21"/>
                <w:szCs w:val="21"/>
                <w:u w:val="single"/>
              </w:rPr>
              <w:t>仓库内罐装密闭储存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544" w:type="dxa"/>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无害化处理机</w:t>
            </w:r>
          </w:p>
        </w:tc>
        <w:tc>
          <w:tcPr>
            <w:tcW w:w="1353" w:type="dxa"/>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益生菌</w:t>
            </w:r>
          </w:p>
        </w:tc>
        <w:tc>
          <w:tcPr>
            <w:tcW w:w="1163" w:type="dxa"/>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t</w:t>
            </w:r>
          </w:p>
        </w:tc>
        <w:tc>
          <w:tcPr>
            <w:tcW w:w="1822" w:type="dxa"/>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0.365</w:t>
            </w:r>
          </w:p>
        </w:tc>
        <w:tc>
          <w:tcPr>
            <w:tcW w:w="3061" w:type="dxa"/>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544" w:type="dxa"/>
            <w:vMerge w:val="restart"/>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其他</w:t>
            </w:r>
          </w:p>
        </w:tc>
        <w:tc>
          <w:tcPr>
            <w:tcW w:w="1353" w:type="dxa"/>
            <w:vAlign w:val="center"/>
          </w:tcPr>
          <w:p>
            <w:pPr>
              <w:spacing w:line="240" w:lineRule="auto"/>
              <w:ind w:firstLine="0" w:firstLineChars="0"/>
              <w:jc w:val="center"/>
              <w:rPr>
                <w:rFonts w:hint="default" w:ascii="Times New Roman" w:hAnsi="Times New Roman" w:cs="Times New Roman"/>
                <w:b/>
                <w:bCs w:val="0"/>
                <w:color w:val="auto"/>
                <w:sz w:val="21"/>
                <w:szCs w:val="21"/>
                <w:highlight w:val="yellow"/>
                <w:u w:val="single"/>
              </w:rPr>
            </w:pPr>
            <w:r>
              <w:rPr>
                <w:rFonts w:hint="default" w:ascii="Times New Roman" w:hAnsi="Times New Roman" w:cs="Times New Roman"/>
                <w:b/>
                <w:bCs w:val="0"/>
                <w:color w:val="auto"/>
                <w:sz w:val="21"/>
                <w:szCs w:val="21"/>
                <w:u w:val="single"/>
              </w:rPr>
              <w:t>电</w:t>
            </w:r>
          </w:p>
        </w:tc>
        <w:tc>
          <w:tcPr>
            <w:tcW w:w="1163" w:type="dxa"/>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万度</w:t>
            </w:r>
          </w:p>
        </w:tc>
        <w:tc>
          <w:tcPr>
            <w:tcW w:w="1822" w:type="dxa"/>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100</w:t>
            </w:r>
          </w:p>
        </w:tc>
        <w:tc>
          <w:tcPr>
            <w:tcW w:w="3061" w:type="dxa"/>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来自清丰县韩村镇供电所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544" w:type="dxa"/>
            <w:vMerge w:val="continue"/>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p>
        </w:tc>
        <w:tc>
          <w:tcPr>
            <w:tcW w:w="1353" w:type="dxa"/>
            <w:vAlign w:val="center"/>
          </w:tcPr>
          <w:p>
            <w:pPr>
              <w:spacing w:line="240" w:lineRule="auto"/>
              <w:ind w:firstLine="0" w:firstLineChars="0"/>
              <w:jc w:val="center"/>
              <w:rPr>
                <w:rFonts w:hint="default" w:ascii="Times New Roman" w:hAnsi="Times New Roman" w:cs="Times New Roman"/>
                <w:b/>
                <w:bCs w:val="0"/>
                <w:color w:val="auto"/>
                <w:sz w:val="21"/>
                <w:szCs w:val="21"/>
                <w:highlight w:val="yellow"/>
                <w:u w:val="single"/>
              </w:rPr>
            </w:pPr>
            <w:r>
              <w:rPr>
                <w:rFonts w:hint="default" w:ascii="Times New Roman" w:hAnsi="Times New Roman" w:cs="Times New Roman"/>
                <w:b/>
                <w:bCs w:val="0"/>
                <w:color w:val="auto"/>
                <w:sz w:val="21"/>
                <w:szCs w:val="21"/>
                <w:u w:val="single"/>
              </w:rPr>
              <w:t>水</w:t>
            </w:r>
          </w:p>
        </w:tc>
        <w:tc>
          <w:tcPr>
            <w:tcW w:w="1163" w:type="dxa"/>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m</w:t>
            </w:r>
            <w:r>
              <w:rPr>
                <w:rFonts w:hint="default" w:ascii="Times New Roman" w:hAnsi="Times New Roman" w:cs="Times New Roman"/>
                <w:b/>
                <w:bCs w:val="0"/>
                <w:color w:val="auto"/>
                <w:sz w:val="21"/>
                <w:szCs w:val="21"/>
                <w:u w:val="single"/>
                <w:vertAlign w:val="superscript"/>
              </w:rPr>
              <w:t>3</w:t>
            </w:r>
          </w:p>
        </w:tc>
        <w:tc>
          <w:tcPr>
            <w:tcW w:w="1822" w:type="dxa"/>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70000</w:t>
            </w:r>
          </w:p>
        </w:tc>
        <w:tc>
          <w:tcPr>
            <w:tcW w:w="3061" w:type="dxa"/>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厂区水井</w:t>
            </w:r>
          </w:p>
        </w:tc>
      </w:tr>
    </w:tbl>
    <w:p>
      <w:pPr>
        <w:pStyle w:val="34"/>
        <w:ind w:firstLine="480"/>
        <w:rPr>
          <w:rFonts w:hint="default" w:ascii="Times New Roman" w:hAnsi="Times New Roman" w:cs="Times New Roman"/>
          <w:color w:val="auto"/>
        </w:rPr>
      </w:pPr>
      <w:bookmarkStart w:id="261" w:name="_Toc468115358"/>
      <w:r>
        <w:rPr>
          <w:rFonts w:hint="default" w:ascii="Times New Roman" w:hAnsi="Times New Roman" w:cs="Times New Roman"/>
          <w:color w:val="auto"/>
        </w:rPr>
        <w:t>3.1.6 工用工程</w:t>
      </w:r>
      <w:bookmarkEnd w:id="261"/>
    </w:p>
    <w:p>
      <w:pPr>
        <w:pStyle w:val="37"/>
        <w:ind w:firstLine="480"/>
        <w:rPr>
          <w:rFonts w:hint="default" w:ascii="Times New Roman" w:hAnsi="Times New Roman" w:cs="Times New Roman"/>
          <w:color w:val="auto"/>
        </w:rPr>
      </w:pPr>
      <w:r>
        <w:rPr>
          <w:rFonts w:hint="default" w:ascii="Times New Roman" w:hAnsi="Times New Roman" w:cs="Times New Roman"/>
          <w:color w:val="auto"/>
        </w:rPr>
        <w:t>3.1.6.1项目用水情况</w:t>
      </w:r>
    </w:p>
    <w:p>
      <w:pPr>
        <w:ind w:firstLine="480"/>
        <w:rPr>
          <w:rFonts w:hint="default" w:ascii="Times New Roman" w:hAnsi="Times New Roman" w:cs="Times New Roman"/>
          <w:color w:val="auto"/>
        </w:rPr>
      </w:pPr>
      <w:r>
        <w:rPr>
          <w:rFonts w:hint="default" w:ascii="Times New Roman" w:hAnsi="Times New Roman" w:cs="Times New Roman"/>
          <w:color w:val="auto"/>
        </w:rPr>
        <w:t>项目完成后全场新鲜水总用水量为68968.575m</w:t>
      </w:r>
      <w:r>
        <w:rPr>
          <w:rFonts w:hint="default" w:ascii="Times New Roman" w:hAnsi="Times New Roman" w:cs="Times New Roman"/>
          <w:color w:val="auto"/>
          <w:vertAlign w:val="superscript"/>
        </w:rPr>
        <w:t>3</w:t>
      </w:r>
      <w:r>
        <w:rPr>
          <w:rFonts w:hint="default" w:ascii="Times New Roman" w:hAnsi="Times New Roman" w:cs="Times New Roman"/>
          <w:color w:val="auto"/>
        </w:rPr>
        <w:t>/a，用水方向主要为生活用水、猪只饮用水、猪舍冲洗水、降温用水等。项目用水全部由场区自备井供应。</w:t>
      </w:r>
    </w:p>
    <w:p>
      <w:pPr>
        <w:ind w:firstLine="480"/>
        <w:rPr>
          <w:rFonts w:hint="default" w:ascii="Times New Roman" w:hAnsi="Times New Roman" w:cs="Times New Roman"/>
          <w:color w:val="auto"/>
        </w:rPr>
      </w:pPr>
      <w:r>
        <w:rPr>
          <w:rFonts w:hint="default" w:ascii="Times New Roman" w:hAnsi="Times New Roman" w:cs="Times New Roman"/>
          <w:color w:val="auto"/>
        </w:rPr>
        <w:t>（1）猪只饮用及猪舍冲洗水</w:t>
      </w:r>
    </w:p>
    <w:p>
      <w:pPr>
        <w:ind w:firstLine="480"/>
        <w:rPr>
          <w:rFonts w:hint="default" w:ascii="Times New Roman" w:hAnsi="Times New Roman" w:cs="Times New Roman"/>
          <w:color w:val="auto"/>
        </w:rPr>
      </w:pPr>
      <w:r>
        <w:rPr>
          <w:rFonts w:hint="default" w:ascii="Times New Roman" w:hAnsi="Times New Roman" w:cs="Times New Roman"/>
          <w:color w:val="auto"/>
        </w:rPr>
        <w:t>本项目猪的饮水量根据牧原公司其他已投入运营的干清粪养殖工艺养猪场的实际运营情况确定，用水参数见表3.1-7，猪舍冲洗水用水情况见表3.1-8。</w:t>
      </w:r>
    </w:p>
    <w:p>
      <w:pPr>
        <w:spacing w:afterLines="30"/>
        <w:ind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表3.1-7                    猪只饮用水情况一览表</w:t>
      </w:r>
    </w:p>
    <w:tbl>
      <w:tblPr>
        <w:tblStyle w:val="25"/>
        <w:tblW w:w="894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2550"/>
        <w:gridCol w:w="1500"/>
        <w:gridCol w:w="1888"/>
        <w:gridCol w:w="19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3602" w:type="dxa"/>
            <w:gridSpan w:val="2"/>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种类</w:t>
            </w:r>
          </w:p>
        </w:tc>
        <w:tc>
          <w:tcPr>
            <w:tcW w:w="1500"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怀孕舍</w:t>
            </w:r>
          </w:p>
        </w:tc>
        <w:tc>
          <w:tcPr>
            <w:tcW w:w="1888"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哺乳舍</w:t>
            </w:r>
          </w:p>
        </w:tc>
        <w:tc>
          <w:tcPr>
            <w:tcW w:w="1951"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后备舍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602" w:type="dxa"/>
            <w:gridSpan w:val="2"/>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存栏数（头）</w:t>
            </w:r>
          </w:p>
        </w:tc>
        <w:tc>
          <w:tcPr>
            <w:tcW w:w="1500"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6500</w:t>
            </w:r>
          </w:p>
        </w:tc>
        <w:tc>
          <w:tcPr>
            <w:tcW w:w="1888"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1000</w:t>
            </w:r>
          </w:p>
        </w:tc>
        <w:tc>
          <w:tcPr>
            <w:tcW w:w="1951"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1400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052" w:type="dxa"/>
            <w:vMerge w:val="restart"/>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饮用水</w:t>
            </w:r>
          </w:p>
        </w:tc>
        <w:tc>
          <w:tcPr>
            <w:tcW w:w="2550"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夏季（L/ d·头）</w:t>
            </w:r>
          </w:p>
        </w:tc>
        <w:tc>
          <w:tcPr>
            <w:tcW w:w="1500"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20</w:t>
            </w:r>
          </w:p>
        </w:tc>
        <w:tc>
          <w:tcPr>
            <w:tcW w:w="1888"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55</w:t>
            </w:r>
          </w:p>
        </w:tc>
        <w:tc>
          <w:tcPr>
            <w:tcW w:w="1951"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052" w:type="dxa"/>
            <w:vMerge w:val="continue"/>
            <w:vAlign w:val="center"/>
          </w:tcPr>
          <w:p>
            <w:pPr>
              <w:spacing w:line="240" w:lineRule="auto"/>
              <w:ind w:firstLine="0" w:firstLineChars="0"/>
              <w:jc w:val="center"/>
              <w:rPr>
                <w:rFonts w:hint="default" w:ascii="Times New Roman" w:hAnsi="Times New Roman" w:cs="Times New Roman"/>
                <w:iCs/>
                <w:color w:val="auto"/>
                <w:sz w:val="21"/>
                <w:szCs w:val="21"/>
              </w:rPr>
            </w:pPr>
          </w:p>
        </w:tc>
        <w:tc>
          <w:tcPr>
            <w:tcW w:w="2550"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其他季节（L/d·头）</w:t>
            </w:r>
          </w:p>
        </w:tc>
        <w:tc>
          <w:tcPr>
            <w:tcW w:w="1500"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13</w:t>
            </w:r>
          </w:p>
        </w:tc>
        <w:tc>
          <w:tcPr>
            <w:tcW w:w="1888"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30</w:t>
            </w:r>
          </w:p>
        </w:tc>
        <w:tc>
          <w:tcPr>
            <w:tcW w:w="1951"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1052" w:type="dxa"/>
            <w:vMerge w:val="continue"/>
            <w:vAlign w:val="center"/>
          </w:tcPr>
          <w:p>
            <w:pPr>
              <w:spacing w:line="240" w:lineRule="auto"/>
              <w:ind w:firstLine="0" w:firstLineChars="0"/>
              <w:jc w:val="center"/>
              <w:rPr>
                <w:rFonts w:hint="default" w:ascii="Times New Roman" w:hAnsi="Times New Roman" w:cs="Times New Roman"/>
                <w:iCs/>
                <w:color w:val="auto"/>
                <w:sz w:val="21"/>
                <w:szCs w:val="21"/>
              </w:rPr>
            </w:pPr>
          </w:p>
        </w:tc>
        <w:tc>
          <w:tcPr>
            <w:tcW w:w="2550"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总用水量（m</w:t>
            </w:r>
            <w:r>
              <w:rPr>
                <w:rFonts w:hint="default" w:ascii="Times New Roman" w:hAnsi="Times New Roman" w:cs="Times New Roman"/>
                <w:iCs/>
                <w:color w:val="auto"/>
                <w:sz w:val="21"/>
                <w:szCs w:val="21"/>
                <w:vertAlign w:val="superscript"/>
              </w:rPr>
              <w:t>3</w:t>
            </w:r>
            <w:r>
              <w:rPr>
                <w:rFonts w:hint="default" w:ascii="Times New Roman" w:hAnsi="Times New Roman" w:cs="Times New Roman"/>
                <w:iCs/>
                <w:color w:val="auto"/>
                <w:sz w:val="21"/>
                <w:szCs w:val="21"/>
              </w:rPr>
              <w:t>/a）</w:t>
            </w:r>
          </w:p>
        </w:tc>
        <w:tc>
          <w:tcPr>
            <w:tcW w:w="1500"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 xml:space="preserve">36394 </w:t>
            </w:r>
          </w:p>
        </w:tc>
        <w:tc>
          <w:tcPr>
            <w:tcW w:w="1888"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 xml:space="preserve">14000 </w:t>
            </w:r>
          </w:p>
        </w:tc>
        <w:tc>
          <w:tcPr>
            <w:tcW w:w="1951"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 xml:space="preserve">7839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941" w:type="dxa"/>
            <w:gridSpan w:val="5"/>
            <w:vAlign w:val="center"/>
          </w:tcPr>
          <w:p>
            <w:pPr>
              <w:spacing w:line="240" w:lineRule="auto"/>
              <w:ind w:firstLine="0" w:firstLineChars="0"/>
              <w:rPr>
                <w:rFonts w:hint="default" w:ascii="Times New Roman" w:hAnsi="Times New Roman" w:eastAsia="宋体" w:cs="Times New Roman"/>
                <w:bCs/>
                <w:iCs/>
                <w:color w:val="auto"/>
                <w:sz w:val="21"/>
                <w:szCs w:val="21"/>
                <w:lang w:eastAsia="zh-CN"/>
              </w:rPr>
            </w:pPr>
            <w:r>
              <w:rPr>
                <w:rFonts w:hint="default" w:ascii="Times New Roman" w:hAnsi="Times New Roman" w:cs="Times New Roman"/>
                <w:bCs/>
                <w:iCs/>
                <w:color w:val="auto"/>
                <w:sz w:val="21"/>
                <w:szCs w:val="21"/>
              </w:rPr>
              <w:t>夏季按122d计算，其他季节为243d。</w:t>
            </w:r>
            <w:r>
              <w:rPr>
                <w:rFonts w:hint="default" w:ascii="Times New Roman" w:hAnsi="Times New Roman" w:cs="Times New Roman"/>
                <w:bCs/>
                <w:iCs/>
                <w:color w:val="auto"/>
                <w:sz w:val="21"/>
                <w:szCs w:val="21"/>
                <w:lang w:eastAsia="zh-CN"/>
              </w:rPr>
              <w:t>注：哺乳母猪水量包括母猪及其仔猪用水量</w:t>
            </w:r>
          </w:p>
        </w:tc>
      </w:tr>
    </w:tbl>
    <w:p>
      <w:pPr>
        <w:spacing w:afterLines="30" w:line="500" w:lineRule="exact"/>
        <w:ind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表3.1-8                    猪舍冲洗水用水一览表</w:t>
      </w:r>
    </w:p>
    <w:tbl>
      <w:tblPr>
        <w:tblStyle w:val="25"/>
        <w:tblW w:w="883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005"/>
        <w:gridCol w:w="1089"/>
        <w:gridCol w:w="1275"/>
        <w:gridCol w:w="1167"/>
        <w:gridCol w:w="1478"/>
        <w:gridCol w:w="100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tblHeader/>
          <w:jc w:val="center"/>
        </w:trPr>
        <w:tc>
          <w:tcPr>
            <w:tcW w:w="3910" w:type="dxa"/>
            <w:gridSpan w:val="3"/>
            <w:tcMar>
              <w:left w:w="0" w:type="dxa"/>
              <w:right w:w="0" w:type="dxa"/>
            </w:tcMar>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种类</w:t>
            </w:r>
          </w:p>
        </w:tc>
        <w:tc>
          <w:tcPr>
            <w:tcW w:w="1275"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怀孕舍</w:t>
            </w:r>
          </w:p>
        </w:tc>
        <w:tc>
          <w:tcPr>
            <w:tcW w:w="1167"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哺乳舍</w:t>
            </w:r>
          </w:p>
        </w:tc>
        <w:tc>
          <w:tcPr>
            <w:tcW w:w="1478"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后备舍</w:t>
            </w:r>
          </w:p>
        </w:tc>
        <w:tc>
          <w:tcPr>
            <w:tcW w:w="1006"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合计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910" w:type="dxa"/>
            <w:gridSpan w:val="3"/>
            <w:tcMar>
              <w:left w:w="0" w:type="dxa"/>
              <w:right w:w="0" w:type="dxa"/>
            </w:tcMar>
            <w:vAlign w:val="center"/>
          </w:tcPr>
          <w:p>
            <w:pPr>
              <w:spacing w:line="240" w:lineRule="auto"/>
              <w:ind w:firstLine="0" w:firstLineChars="0"/>
              <w:jc w:val="center"/>
              <w:rPr>
                <w:rFonts w:hint="default" w:ascii="Times New Roman" w:hAnsi="Times New Roman" w:cs="Times New Roman"/>
                <w:bCs/>
                <w:iCs/>
                <w:color w:val="auto"/>
                <w:sz w:val="21"/>
                <w:szCs w:val="21"/>
              </w:rPr>
            </w:pPr>
            <w:r>
              <w:rPr>
                <w:rFonts w:hint="default" w:ascii="Times New Roman" w:hAnsi="Times New Roman" w:cs="Times New Roman"/>
                <w:bCs/>
                <w:iCs/>
                <w:color w:val="auto"/>
                <w:sz w:val="21"/>
                <w:szCs w:val="21"/>
              </w:rPr>
              <w:t>单元个数</w:t>
            </w:r>
          </w:p>
        </w:tc>
        <w:tc>
          <w:tcPr>
            <w:tcW w:w="1275"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33</w:t>
            </w:r>
          </w:p>
        </w:tc>
        <w:tc>
          <w:tcPr>
            <w:tcW w:w="1167"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w:t>
            </w:r>
          </w:p>
        </w:tc>
        <w:tc>
          <w:tcPr>
            <w:tcW w:w="147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1006"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3910" w:type="dxa"/>
            <w:gridSpan w:val="3"/>
            <w:tcMar>
              <w:left w:w="0" w:type="dxa"/>
              <w:right w:w="0" w:type="dxa"/>
            </w:tcMar>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清圈周期（d）</w:t>
            </w:r>
          </w:p>
        </w:tc>
        <w:tc>
          <w:tcPr>
            <w:tcW w:w="1275" w:type="dxa"/>
            <w:tcMar>
              <w:left w:w="0" w:type="dxa"/>
              <w:right w:w="0" w:type="dxa"/>
            </w:tcMar>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114</w:t>
            </w:r>
          </w:p>
        </w:tc>
        <w:tc>
          <w:tcPr>
            <w:tcW w:w="1167" w:type="dxa"/>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147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114</w:t>
            </w:r>
          </w:p>
        </w:tc>
        <w:tc>
          <w:tcPr>
            <w:tcW w:w="1006"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3910" w:type="dxa"/>
            <w:gridSpan w:val="3"/>
            <w:tcMar>
              <w:left w:w="0" w:type="dxa"/>
              <w:right w:w="0" w:type="dxa"/>
            </w:tcMar>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清圈次数（次/a）</w:t>
            </w:r>
          </w:p>
        </w:tc>
        <w:tc>
          <w:tcPr>
            <w:tcW w:w="1275"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167"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147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006"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816" w:type="dxa"/>
            <w:vMerge w:val="restart"/>
            <w:tcMar>
              <w:left w:w="0" w:type="dxa"/>
              <w:right w:w="0" w:type="dxa"/>
            </w:tcMar>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猪舍冲洗水</w:t>
            </w:r>
          </w:p>
        </w:tc>
        <w:tc>
          <w:tcPr>
            <w:tcW w:w="2005" w:type="dxa"/>
            <w:tcMar>
              <w:left w:w="0" w:type="dxa"/>
              <w:right w:w="0" w:type="dxa"/>
            </w:tcMar>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定额（m</w:t>
            </w:r>
            <w:r>
              <w:rPr>
                <w:rFonts w:hint="default" w:ascii="Times New Roman" w:hAnsi="Times New Roman" w:cs="Times New Roman"/>
                <w:iCs/>
                <w:color w:val="auto"/>
                <w:sz w:val="21"/>
                <w:szCs w:val="21"/>
                <w:vertAlign w:val="superscript"/>
              </w:rPr>
              <w:t>3</w:t>
            </w:r>
            <w:r>
              <w:rPr>
                <w:rFonts w:hint="default" w:ascii="Times New Roman" w:hAnsi="Times New Roman" w:cs="Times New Roman"/>
                <w:iCs/>
                <w:color w:val="auto"/>
                <w:sz w:val="21"/>
                <w:szCs w:val="21"/>
              </w:rPr>
              <w:t>/单元·次）</w:t>
            </w:r>
          </w:p>
        </w:tc>
        <w:tc>
          <w:tcPr>
            <w:tcW w:w="1089" w:type="dxa"/>
            <w:tcMar>
              <w:left w:w="0" w:type="dxa"/>
              <w:right w:w="0" w:type="dxa"/>
            </w:tcMar>
            <w:vAlign w:val="center"/>
          </w:tcPr>
          <w:p>
            <w:pPr>
              <w:tabs>
                <w:tab w:val="left" w:pos="557"/>
              </w:tabs>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清水用量</w:t>
            </w:r>
          </w:p>
        </w:tc>
        <w:tc>
          <w:tcPr>
            <w:tcW w:w="1275"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1167"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147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1006"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iCs/>
                <w:color w:val="auto"/>
                <w:sz w:val="21"/>
                <w:szCs w:val="21"/>
              </w:rPr>
            </w:pPr>
          </w:p>
        </w:tc>
        <w:tc>
          <w:tcPr>
            <w:tcW w:w="2005"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总用水量（m</w:t>
            </w:r>
            <w:r>
              <w:rPr>
                <w:rFonts w:hint="default" w:ascii="Times New Roman" w:hAnsi="Times New Roman" w:cs="Times New Roman"/>
                <w:iCs/>
                <w:color w:val="auto"/>
                <w:sz w:val="21"/>
                <w:szCs w:val="21"/>
                <w:vertAlign w:val="superscript"/>
              </w:rPr>
              <w:t>3</w:t>
            </w:r>
            <w:r>
              <w:rPr>
                <w:rFonts w:hint="default" w:ascii="Times New Roman" w:hAnsi="Times New Roman" w:cs="Times New Roman"/>
                <w:iCs/>
                <w:color w:val="auto"/>
                <w:sz w:val="21"/>
                <w:szCs w:val="21"/>
              </w:rPr>
              <w:t>/a）</w:t>
            </w:r>
          </w:p>
        </w:tc>
        <w:tc>
          <w:tcPr>
            <w:tcW w:w="1089"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清水用量</w:t>
            </w:r>
          </w:p>
        </w:tc>
        <w:tc>
          <w:tcPr>
            <w:tcW w:w="1275"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2970</w:t>
            </w:r>
          </w:p>
        </w:tc>
        <w:tc>
          <w:tcPr>
            <w:tcW w:w="1167"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4176</w:t>
            </w:r>
          </w:p>
        </w:tc>
        <w:tc>
          <w:tcPr>
            <w:tcW w:w="147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288</w:t>
            </w:r>
          </w:p>
        </w:tc>
        <w:tc>
          <w:tcPr>
            <w:tcW w:w="1006"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7434</w:t>
            </w:r>
          </w:p>
        </w:tc>
      </w:tr>
    </w:tbl>
    <w:p>
      <w:pPr>
        <w:ind w:firstLine="480"/>
        <w:rPr>
          <w:rFonts w:hint="default" w:ascii="Times New Roman" w:hAnsi="Times New Roman" w:cs="Times New Roman"/>
          <w:color w:val="auto"/>
        </w:rPr>
      </w:pPr>
      <w:r>
        <w:rPr>
          <w:rFonts w:hint="default" w:ascii="Times New Roman" w:hAnsi="Times New Roman" w:cs="Times New Roman"/>
          <w:color w:val="auto"/>
        </w:rPr>
        <w:t>（2）降温喷淋用水</w:t>
      </w:r>
    </w:p>
    <w:p>
      <w:pPr>
        <w:ind w:firstLine="480"/>
        <w:rPr>
          <w:rFonts w:hint="default" w:ascii="Times New Roman" w:hAnsi="Times New Roman" w:cs="Times New Roman"/>
          <w:color w:val="auto"/>
        </w:rPr>
      </w:pPr>
      <w:r>
        <w:rPr>
          <w:rFonts w:hint="default" w:ascii="Times New Roman" w:hAnsi="Times New Roman" w:cs="Times New Roman"/>
          <w:color w:val="auto"/>
        </w:rPr>
        <w:t>根据建设单位提供的资料，怀孕舍需要水喷淋降温，降温水由电脑控制喷雾时间，喷雾不形成径流，降温过程不产生废水。本项目一般在夏季最热的两个月，除去温度较低的状况，本项目降温喷淋时间按30天计，喷淋情况为：60L/（单元·min），每次喷淋3min，每天喷淋11次，项目全场需要降温的单元共计33个，则降温喷淋用水量为65.34m</w:t>
      </w:r>
      <w:r>
        <w:rPr>
          <w:rFonts w:hint="default" w:ascii="Times New Roman" w:hAnsi="Times New Roman" w:cs="Times New Roman"/>
          <w:color w:val="auto"/>
          <w:vertAlign w:val="superscript"/>
        </w:rPr>
        <w:t>3</w:t>
      </w:r>
      <w:r>
        <w:rPr>
          <w:rFonts w:hint="default" w:ascii="Times New Roman" w:hAnsi="Times New Roman" w:cs="Times New Roman"/>
          <w:color w:val="auto"/>
        </w:rPr>
        <w:t>/d、1960.2m</w:t>
      </w:r>
      <w:r>
        <w:rPr>
          <w:rFonts w:hint="default" w:ascii="Times New Roman" w:hAnsi="Times New Roman" w:cs="Times New Roman"/>
          <w:color w:val="auto"/>
          <w:vertAlign w:val="superscript"/>
        </w:rPr>
        <w:t>3</w:t>
      </w:r>
      <w:r>
        <w:rPr>
          <w:rFonts w:hint="default" w:ascii="Times New Roman" w:hAnsi="Times New Roman" w:cs="Times New Roman"/>
          <w:color w:val="auto"/>
        </w:rPr>
        <w:t>/30天、16.07m</w:t>
      </w:r>
      <w:r>
        <w:rPr>
          <w:rFonts w:hint="default" w:ascii="Times New Roman" w:hAnsi="Times New Roman" w:cs="Times New Roman"/>
          <w:color w:val="auto"/>
          <w:vertAlign w:val="superscript"/>
        </w:rPr>
        <w:t>3</w:t>
      </w:r>
      <w:r>
        <w:rPr>
          <w:rFonts w:hint="default" w:ascii="Times New Roman" w:hAnsi="Times New Roman" w:cs="Times New Roman"/>
          <w:color w:val="auto"/>
        </w:rPr>
        <w:t>/夏季平均每天，降温水全部蒸发耗散，不排放。</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rPr>
        <w:t>（3）</w:t>
      </w:r>
      <w:r>
        <w:rPr>
          <w:rFonts w:hint="default" w:ascii="Times New Roman" w:hAnsi="Times New Roman" w:cs="Times New Roman"/>
          <w:color w:val="auto"/>
          <w:kern w:val="0"/>
        </w:rPr>
        <w:t>病死猪高温无害化处理机用、排水</w:t>
      </w:r>
    </w:p>
    <w:p>
      <w:pPr>
        <w:ind w:firstLine="480"/>
        <w:rPr>
          <w:rFonts w:hint="default" w:ascii="Times New Roman" w:hAnsi="Times New Roman" w:cs="Times New Roman"/>
          <w:color w:val="auto"/>
        </w:rPr>
      </w:pPr>
      <w:r>
        <w:rPr>
          <w:rFonts w:hint="default" w:ascii="Times New Roman" w:hAnsi="Times New Roman" w:cs="Times New Roman"/>
          <w:color w:val="auto"/>
        </w:rPr>
        <w:t>病死猪高温无害化处理机处理病死猪时需要添加益生菌，益生菌需要同水按照1:5的比例混合后添加的设备中。根据养殖场需要，病死猪高温无害化处理机需要每天运行处理一次。处理一次病死猪需要益生菌1kg，故水的添加量为5kg/d（1.825t/a）。根据厂家提供的经验数据，病死猪高温无害化处理机运行一次冷凝水产生量约为0.075t，故废水产生量为0.075m</w:t>
      </w:r>
      <w:r>
        <w:rPr>
          <w:rFonts w:hint="default" w:ascii="Times New Roman" w:hAnsi="Times New Roman" w:cs="Times New Roman"/>
          <w:color w:val="auto"/>
          <w:vertAlign w:val="superscript"/>
        </w:rPr>
        <w:t>3</w:t>
      </w:r>
      <w:r>
        <w:rPr>
          <w:rFonts w:hint="default" w:ascii="Times New Roman" w:hAnsi="Times New Roman" w:cs="Times New Roman"/>
          <w:color w:val="auto"/>
        </w:rPr>
        <w:t>/d（27.375t/a）。</w:t>
      </w:r>
    </w:p>
    <w:p>
      <w:pPr>
        <w:ind w:firstLine="480"/>
        <w:rPr>
          <w:rFonts w:hint="default" w:ascii="Times New Roman" w:hAnsi="Times New Roman" w:cs="Times New Roman"/>
          <w:color w:val="auto"/>
        </w:rPr>
      </w:pPr>
      <w:r>
        <w:rPr>
          <w:rFonts w:hint="default" w:ascii="Times New Roman" w:hAnsi="Times New Roman" w:cs="Times New Roman"/>
          <w:color w:val="auto"/>
        </w:rPr>
        <w:t>（4）员工生活用水</w:t>
      </w:r>
    </w:p>
    <w:p>
      <w:pPr>
        <w:ind w:firstLine="480"/>
        <w:rPr>
          <w:rFonts w:hint="default" w:ascii="Times New Roman" w:hAnsi="Times New Roman" w:cs="Times New Roman"/>
          <w:color w:val="auto"/>
        </w:rPr>
      </w:pPr>
      <w:r>
        <w:rPr>
          <w:rFonts w:hint="default" w:ascii="Times New Roman" w:hAnsi="Times New Roman" w:cs="Times New Roman"/>
          <w:color w:val="auto"/>
        </w:rPr>
        <w:t>项目设有员工食堂和宿舍，员工生活污水经管道引至沼气工程处理，废水主要污染物为COD、BOD</w:t>
      </w:r>
      <w:r>
        <w:rPr>
          <w:rFonts w:hint="default" w:ascii="Times New Roman" w:hAnsi="Times New Roman" w:cs="Times New Roman"/>
          <w:color w:val="auto"/>
          <w:vertAlign w:val="subscript"/>
        </w:rPr>
        <w:t>5</w:t>
      </w:r>
      <w:r>
        <w:rPr>
          <w:rFonts w:hint="default" w:ascii="Times New Roman" w:hAnsi="Times New Roman" w:cs="Times New Roman"/>
          <w:color w:val="auto"/>
        </w:rPr>
        <w:t>、氨氮、动植物油等。项目全场劳动定员30人，用水量按120L/人·d，年工作365天，则生活用水量为3.6m</w:t>
      </w:r>
      <w:r>
        <w:rPr>
          <w:rFonts w:hint="default" w:ascii="Times New Roman" w:hAnsi="Times New Roman" w:cs="Times New Roman"/>
          <w:color w:val="auto"/>
          <w:vertAlign w:val="superscript"/>
        </w:rPr>
        <w:t>3</w:t>
      </w:r>
      <w:r>
        <w:rPr>
          <w:rFonts w:hint="default" w:ascii="Times New Roman" w:hAnsi="Times New Roman" w:cs="Times New Roman"/>
          <w:color w:val="auto"/>
        </w:rPr>
        <w:t>/d、1314m</w:t>
      </w:r>
      <w:r>
        <w:rPr>
          <w:rFonts w:hint="default" w:ascii="Times New Roman" w:hAnsi="Times New Roman" w:cs="Times New Roman"/>
          <w:color w:val="auto"/>
          <w:vertAlign w:val="superscript"/>
        </w:rPr>
        <w:t>3</w:t>
      </w:r>
      <w:r>
        <w:rPr>
          <w:rFonts w:hint="default" w:ascii="Times New Roman" w:hAnsi="Times New Roman" w:cs="Times New Roman"/>
          <w:color w:val="auto"/>
        </w:rPr>
        <w:t>/a。</w:t>
      </w:r>
      <w:bookmarkStart w:id="262" w:name="_Ref377413095"/>
      <w:r>
        <w:rPr>
          <w:rFonts w:hint="default" w:ascii="Times New Roman" w:hAnsi="Times New Roman" w:cs="Times New Roman"/>
          <w:color w:val="auto"/>
        </w:rPr>
        <w:t>生活污水产生量按用水量的80%计算，则生活污水产生量为2.88m</w:t>
      </w:r>
      <w:r>
        <w:rPr>
          <w:rFonts w:hint="default" w:ascii="Times New Roman" w:hAnsi="Times New Roman" w:cs="Times New Roman"/>
          <w:color w:val="auto"/>
          <w:vertAlign w:val="superscript"/>
        </w:rPr>
        <w:t>3</w:t>
      </w:r>
      <w:r>
        <w:rPr>
          <w:rFonts w:hint="default" w:ascii="Times New Roman" w:hAnsi="Times New Roman" w:cs="Times New Roman"/>
          <w:color w:val="auto"/>
        </w:rPr>
        <w:t>/d、1051.2m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bookmarkEnd w:id="258"/>
    <w:bookmarkEnd w:id="259"/>
    <w:bookmarkEnd w:id="260"/>
    <w:bookmarkEnd w:id="262"/>
    <w:p>
      <w:pPr>
        <w:ind w:firstLine="480"/>
        <w:rPr>
          <w:rFonts w:hint="default" w:ascii="Times New Roman" w:hAnsi="Times New Roman" w:cs="Times New Roman"/>
          <w:color w:val="auto"/>
        </w:rPr>
      </w:pPr>
      <w:bookmarkStart w:id="263" w:name="_Toc406847402"/>
      <w:bookmarkStart w:id="264" w:name="_Toc413166122"/>
      <w:bookmarkStart w:id="265" w:name="_Toc311979849"/>
      <w:bookmarkStart w:id="266" w:name="_Toc311979803"/>
      <w:bookmarkStart w:id="267" w:name="_Toc388881903"/>
      <w:bookmarkStart w:id="268" w:name="_Toc311979917"/>
      <w:bookmarkStart w:id="269" w:name="_Toc407001395"/>
      <w:r>
        <w:rPr>
          <w:rFonts w:hint="default" w:ascii="Times New Roman" w:hAnsi="Times New Roman" w:cs="Times New Roman"/>
          <w:color w:val="auto"/>
        </w:rPr>
        <w:t>（</w:t>
      </w:r>
      <w:r>
        <w:rPr>
          <w:rFonts w:hint="default" w:ascii="Times New Roman" w:hAnsi="Times New Roman" w:cs="Times New Roman"/>
          <w:color w:val="auto"/>
          <w:lang w:val="en-US" w:eastAsia="zh-CN"/>
        </w:rPr>
        <w:t>5</w:t>
      </w:r>
      <w:r>
        <w:rPr>
          <w:rFonts w:hint="default" w:ascii="Times New Roman" w:hAnsi="Times New Roman" w:cs="Times New Roman"/>
          <w:color w:val="auto"/>
        </w:rPr>
        <w:t>）固粪处理区水帘用水</w:t>
      </w:r>
    </w:p>
    <w:p>
      <w:pPr>
        <w:ind w:firstLine="480"/>
        <w:rPr>
          <w:rFonts w:hint="default" w:ascii="Times New Roman" w:hAnsi="Times New Roman" w:cs="Times New Roman"/>
          <w:color w:val="auto"/>
        </w:rPr>
      </w:pPr>
      <w:r>
        <w:rPr>
          <w:rFonts w:hint="default" w:ascii="Times New Roman" w:hAnsi="Times New Roman" w:cs="Times New Roman"/>
          <w:color w:val="auto"/>
        </w:rPr>
        <w:t>项目固粪处理区采用水帘除臭，水帘除臭装置水池容积为为0.5m</w:t>
      </w:r>
      <w:r>
        <w:rPr>
          <w:rFonts w:hint="default" w:ascii="Times New Roman" w:hAnsi="Times New Roman" w:cs="Times New Roman"/>
          <w:color w:val="auto"/>
          <w:vertAlign w:val="superscript"/>
        </w:rPr>
        <w:t>3</w:t>
      </w:r>
      <w:r>
        <w:rPr>
          <w:rFonts w:hint="default" w:ascii="Times New Roman" w:hAnsi="Times New Roman" w:cs="Times New Roman"/>
          <w:color w:val="auto"/>
        </w:rPr>
        <w:t>，正常情况水帘泵流量为10m</w:t>
      </w:r>
      <w:r>
        <w:rPr>
          <w:rFonts w:hint="default" w:ascii="Times New Roman" w:hAnsi="Times New Roman" w:cs="Times New Roman"/>
          <w:color w:val="auto"/>
          <w:vertAlign w:val="superscript"/>
        </w:rPr>
        <w:t>3</w:t>
      </w:r>
      <w:r>
        <w:rPr>
          <w:rFonts w:hint="default" w:ascii="Times New Roman" w:hAnsi="Times New Roman" w:cs="Times New Roman"/>
          <w:color w:val="auto"/>
        </w:rPr>
        <w:t>/h，损耗水量按1%计，即0.1m</w:t>
      </w:r>
      <w:r>
        <w:rPr>
          <w:rFonts w:hint="default" w:ascii="Times New Roman" w:hAnsi="Times New Roman" w:cs="Times New Roman"/>
          <w:color w:val="auto"/>
          <w:vertAlign w:val="superscript"/>
        </w:rPr>
        <w:t>3</w:t>
      </w:r>
      <w:r>
        <w:rPr>
          <w:rFonts w:hint="default" w:ascii="Times New Roman" w:hAnsi="Times New Roman" w:cs="Times New Roman"/>
          <w:color w:val="auto"/>
        </w:rPr>
        <w:t>/h，2.4m</w:t>
      </w:r>
      <w:r>
        <w:rPr>
          <w:rFonts w:hint="default" w:ascii="Times New Roman" w:hAnsi="Times New Roman" w:cs="Times New Roman"/>
          <w:color w:val="auto"/>
          <w:vertAlign w:val="superscript"/>
        </w:rPr>
        <w:t>3</w:t>
      </w:r>
      <w:r>
        <w:rPr>
          <w:rFonts w:hint="default" w:ascii="Times New Roman" w:hAnsi="Times New Roman" w:cs="Times New Roman"/>
          <w:color w:val="auto"/>
        </w:rPr>
        <w:t>/d。水帘用水循环使用，每10天更换一回，一次更换量为0.5m</w:t>
      </w:r>
      <w:r>
        <w:rPr>
          <w:rFonts w:hint="default" w:ascii="Times New Roman" w:hAnsi="Times New Roman" w:cs="Times New Roman"/>
          <w:color w:val="auto"/>
          <w:vertAlign w:val="superscript"/>
        </w:rPr>
        <w:t>3</w:t>
      </w:r>
      <w:r>
        <w:rPr>
          <w:rFonts w:hint="default" w:ascii="Times New Roman" w:hAnsi="Times New Roman" w:cs="Times New Roman"/>
          <w:color w:val="auto"/>
        </w:rPr>
        <w:t>，更换水排放进入污水处理系统。</w:t>
      </w:r>
    </w:p>
    <w:p>
      <w:pPr>
        <w:pStyle w:val="37"/>
        <w:ind w:firstLine="480"/>
        <w:rPr>
          <w:rFonts w:hint="default" w:ascii="Times New Roman" w:hAnsi="Times New Roman" w:cs="Times New Roman"/>
          <w:color w:val="auto"/>
        </w:rPr>
      </w:pPr>
      <w:r>
        <w:rPr>
          <w:rFonts w:hint="default" w:ascii="Times New Roman" w:hAnsi="Times New Roman" w:cs="Times New Roman"/>
          <w:color w:val="auto"/>
        </w:rPr>
        <w:t>3.1.6.2项目排水情况</w:t>
      </w:r>
      <w:bookmarkEnd w:id="263"/>
      <w:bookmarkEnd w:id="264"/>
      <w:bookmarkEnd w:id="265"/>
      <w:bookmarkEnd w:id="266"/>
      <w:bookmarkEnd w:id="267"/>
      <w:bookmarkEnd w:id="268"/>
      <w:bookmarkEnd w:id="269"/>
    </w:p>
    <w:p>
      <w:pPr>
        <w:ind w:firstLine="480"/>
        <w:rPr>
          <w:rFonts w:hint="default" w:ascii="Times New Roman" w:hAnsi="Times New Roman" w:cs="Times New Roman"/>
          <w:color w:val="auto"/>
        </w:rPr>
      </w:pPr>
      <w:r>
        <w:rPr>
          <w:rFonts w:hint="default" w:ascii="Times New Roman" w:hAnsi="Times New Roman" w:cs="Times New Roman"/>
          <w:color w:val="auto"/>
        </w:rPr>
        <w:t>项目排水采用雨污分流制，雨水经雨水管道排出场外。</w:t>
      </w:r>
    </w:p>
    <w:p>
      <w:pPr>
        <w:tabs>
          <w:tab w:val="left" w:pos="624"/>
        </w:tabs>
        <w:ind w:firstLine="480"/>
        <w:rPr>
          <w:rFonts w:hint="default" w:ascii="Times New Roman" w:hAnsi="Times New Roman" w:cs="Times New Roman"/>
          <w:color w:val="auto"/>
        </w:rPr>
      </w:pPr>
      <w:r>
        <w:rPr>
          <w:rFonts w:hint="default" w:ascii="Times New Roman" w:hAnsi="Times New Roman" w:cs="Times New Roman"/>
          <w:color w:val="auto"/>
        </w:rPr>
        <w:t>猪舍采用干清粪工艺，生猪饲养猪舍采用漏缝地板饲养，漏缝地板下设储存池，粪尿在储存池中贮存后到治污区，通过固液分离机对粪污进行干湿分离，猪粪用于生产有机肥，废水进入污水处理区处理。</w:t>
      </w:r>
    </w:p>
    <w:p>
      <w:pPr>
        <w:ind w:firstLine="480"/>
        <w:rPr>
          <w:rFonts w:hint="default" w:ascii="Times New Roman" w:hAnsi="Times New Roman" w:cs="Times New Roman"/>
          <w:color w:val="auto"/>
        </w:rPr>
      </w:pPr>
      <w:r>
        <w:rPr>
          <w:rFonts w:hint="default" w:ascii="Times New Roman" w:hAnsi="Times New Roman" w:cs="Times New Roman"/>
          <w:color w:val="auto"/>
        </w:rPr>
        <w:t>本项目投入运营后全场存栏75</w:t>
      </w:r>
      <w:r>
        <w:rPr>
          <w:rFonts w:hint="default" w:ascii="Times New Roman" w:hAnsi="Times New Roman" w:cs="Times New Roman"/>
          <w:bCs/>
          <w:color w:val="auto"/>
        </w:rPr>
        <w:t>00</w:t>
      </w:r>
      <w:r>
        <w:rPr>
          <w:rFonts w:hint="default" w:ascii="Times New Roman" w:hAnsi="Times New Roman" w:cs="Times New Roman"/>
          <w:color w:val="auto"/>
        </w:rPr>
        <w:t>头，不含后备舍存栏1400头，猪的尿液产生量根据《畜禽养殖污染防治最佳可行技术指南》</w:t>
      </w:r>
      <w:r>
        <w:rPr>
          <w:rFonts w:hint="default" w:ascii="Times New Roman" w:hAnsi="Times New Roman" w:cs="Times New Roman"/>
          <w:color w:val="auto"/>
          <w:lang w:eastAsia="zh-CN"/>
        </w:rPr>
        <w:t>（试行）编制说明</w:t>
      </w:r>
      <w:r>
        <w:rPr>
          <w:rFonts w:hint="default" w:ascii="Times New Roman" w:hAnsi="Times New Roman" w:cs="Times New Roman"/>
          <w:color w:val="auto"/>
        </w:rPr>
        <w:t>（征求意见稿），猪尿的排泄量计算公式为：</w:t>
      </w:r>
    </w:p>
    <w:p>
      <w:pPr>
        <w:ind w:firstLine="3360" w:firstLineChars="1400"/>
        <w:rPr>
          <w:rFonts w:hint="default" w:ascii="Times New Roman" w:hAnsi="Times New Roman" w:cs="Times New Roman"/>
          <w:color w:val="auto"/>
        </w:rPr>
      </w:pPr>
      <w:r>
        <w:rPr>
          <w:rFonts w:hint="default" w:ascii="Times New Roman" w:hAnsi="Times New Roman" w:cs="Times New Roman"/>
          <w:color w:val="auto"/>
        </w:rPr>
        <w:t>Yu=0.205+0.438W</w:t>
      </w:r>
    </w:p>
    <w:p>
      <w:pPr>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rPr>
        <w:t>式中：Yu为猪尿排泄量</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kg</w:t>
      </w:r>
    </w:p>
    <w:p>
      <w:pPr>
        <w:ind w:firstLine="480"/>
        <w:rPr>
          <w:rFonts w:hint="default" w:ascii="Times New Roman" w:hAnsi="Times New Roman" w:cs="Times New Roman"/>
          <w:color w:val="auto"/>
          <w:lang w:val="en-US"/>
        </w:rPr>
      </w:pPr>
      <w:r>
        <w:rPr>
          <w:rFonts w:hint="default" w:ascii="Times New Roman" w:hAnsi="Times New Roman" w:cs="Times New Roman"/>
          <w:color w:val="auto"/>
        </w:rPr>
        <w:t xml:space="preserve">   W为猪只饮用水量</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kg</w:t>
      </w:r>
    </w:p>
    <w:p>
      <w:pPr>
        <w:pStyle w:val="35"/>
        <w:ind w:firstLine="480"/>
        <w:rPr>
          <w:rFonts w:hint="default" w:ascii="Times New Roman" w:hAnsi="Times New Roman" w:cs="Times New Roman"/>
          <w:color w:val="auto"/>
        </w:rPr>
      </w:pPr>
      <w:r>
        <w:rPr>
          <w:rFonts w:hint="default" w:ascii="Times New Roman" w:hAnsi="Times New Roman" w:cs="Times New Roman"/>
          <w:color w:val="auto"/>
        </w:rPr>
        <w:t>猪尿排放情况见表3.1-9。</w:t>
      </w:r>
    </w:p>
    <w:p>
      <w:pPr>
        <w:spacing w:afterLines="30"/>
        <w:ind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表3.1-9                     猪尿排放情况一览表</w:t>
      </w:r>
    </w:p>
    <w:tbl>
      <w:tblPr>
        <w:tblStyle w:val="25"/>
        <w:tblW w:w="894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970"/>
        <w:gridCol w:w="1105"/>
        <w:gridCol w:w="1179"/>
        <w:gridCol w:w="1320"/>
        <w:gridCol w:w="1658"/>
        <w:gridCol w:w="156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3" w:type="dxa"/>
            <w:vMerge w:val="restart"/>
            <w:vAlign w:val="center"/>
          </w:tcPr>
          <w:p>
            <w:pPr>
              <w:widowControl/>
              <w:spacing w:line="240" w:lineRule="auto"/>
              <w:ind w:left="-122" w:leftChars="-51" w:right="-125" w:rightChars="-52"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用水</w:t>
            </w:r>
          </w:p>
          <w:p>
            <w:pPr>
              <w:widowControl/>
              <w:spacing w:line="240" w:lineRule="auto"/>
              <w:ind w:left="-122" w:leftChars="-51" w:right="-125" w:rightChars="-52"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性质</w:t>
            </w:r>
          </w:p>
        </w:tc>
        <w:tc>
          <w:tcPr>
            <w:tcW w:w="2075" w:type="dxa"/>
            <w:gridSpan w:val="2"/>
            <w:vAlign w:val="center"/>
          </w:tcPr>
          <w:p>
            <w:pPr>
              <w:spacing w:line="240" w:lineRule="auto"/>
              <w:ind w:left="-122" w:leftChars="-51" w:right="-125" w:rightChars="-52"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排尿量（L/头·d）</w:t>
            </w:r>
          </w:p>
        </w:tc>
        <w:tc>
          <w:tcPr>
            <w:tcW w:w="1179" w:type="dxa"/>
            <w:vMerge w:val="restart"/>
            <w:vAlign w:val="center"/>
          </w:tcPr>
          <w:p>
            <w:pPr>
              <w:widowControl/>
              <w:spacing w:line="240" w:lineRule="auto"/>
              <w:ind w:left="-122" w:leftChars="-51" w:right="-125" w:rightChars="-52"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用水单位</w:t>
            </w:r>
          </w:p>
          <w:p>
            <w:pPr>
              <w:widowControl/>
              <w:spacing w:line="240" w:lineRule="auto"/>
              <w:ind w:right="-125" w:rightChars="-52"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（头）</w:t>
            </w:r>
          </w:p>
        </w:tc>
        <w:tc>
          <w:tcPr>
            <w:tcW w:w="4547" w:type="dxa"/>
            <w:gridSpan w:val="3"/>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iCs/>
                <w:color w:val="auto"/>
                <w:sz w:val="21"/>
                <w:szCs w:val="21"/>
              </w:rPr>
              <w:t>排尿总量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3" w:type="dxa"/>
            <w:vMerge w:val="continue"/>
            <w:vAlign w:val="center"/>
          </w:tcPr>
          <w:p>
            <w:pPr>
              <w:widowControl/>
              <w:spacing w:line="240" w:lineRule="auto"/>
              <w:ind w:left="-122" w:leftChars="-51" w:right="-125" w:rightChars="-52" w:firstLine="0" w:firstLineChars="0"/>
              <w:jc w:val="center"/>
              <w:rPr>
                <w:rFonts w:hint="default" w:ascii="Times New Roman" w:hAnsi="Times New Roman" w:cs="Times New Roman"/>
                <w:iCs/>
                <w:color w:val="auto"/>
                <w:sz w:val="21"/>
                <w:szCs w:val="21"/>
              </w:rPr>
            </w:pPr>
          </w:p>
        </w:tc>
        <w:tc>
          <w:tcPr>
            <w:tcW w:w="970" w:type="dxa"/>
            <w:vAlign w:val="center"/>
          </w:tcPr>
          <w:p>
            <w:pPr>
              <w:widowControl/>
              <w:spacing w:line="240" w:lineRule="auto"/>
              <w:ind w:left="-122" w:leftChars="-51" w:right="-125" w:rightChars="-52"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夏季</w:t>
            </w:r>
          </w:p>
        </w:tc>
        <w:tc>
          <w:tcPr>
            <w:tcW w:w="1105" w:type="dxa"/>
            <w:vAlign w:val="center"/>
          </w:tcPr>
          <w:p>
            <w:pPr>
              <w:widowControl/>
              <w:spacing w:line="240" w:lineRule="auto"/>
              <w:ind w:left="-122" w:leftChars="-51" w:right="-125" w:rightChars="-52"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其他季节</w:t>
            </w:r>
          </w:p>
        </w:tc>
        <w:tc>
          <w:tcPr>
            <w:tcW w:w="1179" w:type="dxa"/>
            <w:vMerge w:val="continue"/>
            <w:vAlign w:val="center"/>
          </w:tcPr>
          <w:p>
            <w:pPr>
              <w:widowControl/>
              <w:spacing w:line="240" w:lineRule="auto"/>
              <w:ind w:left="-122" w:leftChars="-51" w:right="-125" w:rightChars="-52" w:firstLine="0" w:firstLineChars="0"/>
              <w:jc w:val="center"/>
              <w:rPr>
                <w:rFonts w:hint="default" w:ascii="Times New Roman" w:hAnsi="Times New Roman" w:cs="Times New Roman"/>
                <w:iCs/>
                <w:color w:val="auto"/>
                <w:sz w:val="21"/>
                <w:szCs w:val="21"/>
              </w:rPr>
            </w:pPr>
          </w:p>
        </w:tc>
        <w:tc>
          <w:tcPr>
            <w:tcW w:w="1320" w:type="dxa"/>
            <w:vAlign w:val="center"/>
          </w:tcPr>
          <w:p>
            <w:pPr>
              <w:spacing w:line="240" w:lineRule="auto"/>
              <w:ind w:left="-122" w:leftChars="-51" w:right="-125" w:rightChars="-52"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夏季（m</w:t>
            </w:r>
            <w:r>
              <w:rPr>
                <w:rFonts w:hint="default" w:ascii="Times New Roman" w:hAnsi="Times New Roman" w:cs="Times New Roman"/>
                <w:iCs/>
                <w:color w:val="auto"/>
                <w:sz w:val="21"/>
                <w:szCs w:val="21"/>
                <w:vertAlign w:val="superscript"/>
              </w:rPr>
              <w:t>3</w:t>
            </w:r>
            <w:r>
              <w:rPr>
                <w:rFonts w:hint="default" w:ascii="Times New Roman" w:hAnsi="Times New Roman" w:cs="Times New Roman"/>
                <w:iCs/>
                <w:color w:val="auto"/>
                <w:sz w:val="21"/>
                <w:szCs w:val="21"/>
              </w:rPr>
              <w:t>/d）</w:t>
            </w:r>
          </w:p>
        </w:tc>
        <w:tc>
          <w:tcPr>
            <w:tcW w:w="1658" w:type="dxa"/>
            <w:vAlign w:val="center"/>
          </w:tcPr>
          <w:p>
            <w:pPr>
              <w:spacing w:line="240" w:lineRule="auto"/>
              <w:ind w:left="-122" w:leftChars="-51" w:right="-125" w:rightChars="-52"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其他季节（m</w:t>
            </w:r>
            <w:r>
              <w:rPr>
                <w:rFonts w:hint="default" w:ascii="Times New Roman" w:hAnsi="Times New Roman" w:cs="Times New Roman"/>
                <w:iCs/>
                <w:color w:val="auto"/>
                <w:sz w:val="21"/>
                <w:szCs w:val="21"/>
                <w:vertAlign w:val="superscript"/>
              </w:rPr>
              <w:t>3</w:t>
            </w:r>
            <w:r>
              <w:rPr>
                <w:rFonts w:hint="default" w:ascii="Times New Roman" w:hAnsi="Times New Roman" w:cs="Times New Roman"/>
                <w:iCs/>
                <w:color w:val="auto"/>
                <w:sz w:val="21"/>
                <w:szCs w:val="21"/>
              </w:rPr>
              <w:t>/d）</w:t>
            </w:r>
          </w:p>
        </w:tc>
        <w:tc>
          <w:tcPr>
            <w:tcW w:w="1569" w:type="dxa"/>
            <w:vAlign w:val="center"/>
          </w:tcPr>
          <w:p>
            <w:pPr>
              <w:widowControl/>
              <w:spacing w:line="240" w:lineRule="auto"/>
              <w:ind w:right="-125" w:rightChars="-52"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全年（m</w:t>
            </w:r>
            <w:r>
              <w:rPr>
                <w:rFonts w:hint="default" w:ascii="Times New Roman" w:hAnsi="Times New Roman" w:cs="Times New Roman"/>
                <w:iCs/>
                <w:color w:val="auto"/>
                <w:sz w:val="21"/>
                <w:szCs w:val="21"/>
                <w:vertAlign w:val="superscript"/>
              </w:rPr>
              <w:t>3</w:t>
            </w:r>
            <w:r>
              <w:rPr>
                <w:rFonts w:hint="default" w:ascii="Times New Roman" w:hAnsi="Times New Roman" w:cs="Times New Roman"/>
                <w:iCs/>
                <w:color w:val="auto"/>
                <w:sz w:val="21"/>
                <w:szCs w:val="21"/>
              </w:rPr>
              <w: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3"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怀孕猪</w:t>
            </w:r>
          </w:p>
        </w:tc>
        <w:tc>
          <w:tcPr>
            <w:tcW w:w="970"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8.97</w:t>
            </w:r>
          </w:p>
        </w:tc>
        <w:tc>
          <w:tcPr>
            <w:tcW w:w="110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5.90</w:t>
            </w:r>
          </w:p>
        </w:tc>
        <w:tc>
          <w:tcPr>
            <w:tcW w:w="1179"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6500</w:t>
            </w:r>
          </w:p>
        </w:tc>
        <w:tc>
          <w:tcPr>
            <w:tcW w:w="1320"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58.3</w:t>
            </w:r>
          </w:p>
        </w:tc>
        <w:tc>
          <w:tcPr>
            <w:tcW w:w="165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38.35</w:t>
            </w:r>
          </w:p>
        </w:tc>
        <w:tc>
          <w:tcPr>
            <w:tcW w:w="1569"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16431.65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143"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哺乳猪</w:t>
            </w:r>
          </w:p>
        </w:tc>
        <w:tc>
          <w:tcPr>
            <w:tcW w:w="970"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24.30</w:t>
            </w:r>
          </w:p>
        </w:tc>
        <w:tc>
          <w:tcPr>
            <w:tcW w:w="110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13.35</w:t>
            </w:r>
          </w:p>
        </w:tc>
        <w:tc>
          <w:tcPr>
            <w:tcW w:w="1179"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1000</w:t>
            </w:r>
          </w:p>
        </w:tc>
        <w:tc>
          <w:tcPr>
            <w:tcW w:w="1320"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24.3</w:t>
            </w:r>
          </w:p>
        </w:tc>
        <w:tc>
          <w:tcPr>
            <w:tcW w:w="165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13.35</w:t>
            </w:r>
          </w:p>
        </w:tc>
        <w:tc>
          <w:tcPr>
            <w:tcW w:w="1569"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6208.65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1143"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后备舍</w:t>
            </w:r>
          </w:p>
        </w:tc>
        <w:tc>
          <w:tcPr>
            <w:tcW w:w="970"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8.97</w:t>
            </w:r>
          </w:p>
        </w:tc>
        <w:tc>
          <w:tcPr>
            <w:tcW w:w="110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5.90</w:t>
            </w:r>
          </w:p>
        </w:tc>
        <w:tc>
          <w:tcPr>
            <w:tcW w:w="1179"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1400</w:t>
            </w:r>
          </w:p>
        </w:tc>
        <w:tc>
          <w:tcPr>
            <w:tcW w:w="1320"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12.558</w:t>
            </w:r>
          </w:p>
        </w:tc>
        <w:tc>
          <w:tcPr>
            <w:tcW w:w="165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5.9</w:t>
            </w:r>
          </w:p>
        </w:tc>
        <w:tc>
          <w:tcPr>
            <w:tcW w:w="1569"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1573.676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4397" w:type="dxa"/>
            <w:gridSpan w:val="4"/>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小计</w:t>
            </w:r>
          </w:p>
        </w:tc>
        <w:tc>
          <w:tcPr>
            <w:tcW w:w="1320"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95.158</w:t>
            </w:r>
          </w:p>
        </w:tc>
        <w:tc>
          <w:tcPr>
            <w:tcW w:w="165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57.6</w:t>
            </w:r>
          </w:p>
        </w:tc>
        <w:tc>
          <w:tcPr>
            <w:tcW w:w="1569"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24213.976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4" w:type="dxa"/>
            <w:gridSpan w:val="7"/>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bCs/>
                <w:iCs/>
                <w:color w:val="auto"/>
                <w:sz w:val="21"/>
                <w:szCs w:val="21"/>
              </w:rPr>
              <w:t>备注：夏季按122d计算，其他季节为243d。</w:t>
            </w:r>
          </w:p>
        </w:tc>
      </w:tr>
    </w:tbl>
    <w:p>
      <w:pPr>
        <w:pStyle w:val="35"/>
        <w:spacing w:line="500" w:lineRule="exact"/>
        <w:ind w:firstLine="199" w:firstLineChars="83"/>
        <w:rPr>
          <w:rFonts w:hint="default" w:ascii="Times New Roman" w:hAnsi="Times New Roman" w:cs="Times New Roman"/>
          <w:color w:val="auto"/>
        </w:rPr>
      </w:pPr>
      <w:r>
        <w:rPr>
          <w:rFonts w:hint="default" w:ascii="Times New Roman" w:hAnsi="Times New Roman" w:cs="Times New Roman"/>
          <w:color w:val="auto"/>
        </w:rPr>
        <w:t>经计算，本项目用排水状况见表3.1-10。</w:t>
      </w:r>
    </w:p>
    <w:p>
      <w:pPr>
        <w:spacing w:afterLines="30" w:line="500" w:lineRule="exact"/>
        <w:ind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表3.1-10                      项目用排水情况一览表</w:t>
      </w:r>
    </w:p>
    <w:tbl>
      <w:tblPr>
        <w:tblStyle w:val="25"/>
        <w:tblW w:w="8943"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984"/>
        <w:gridCol w:w="3209"/>
        <w:gridCol w:w="2038"/>
        <w:gridCol w:w="271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67" w:hRule="atLeast"/>
          <w:tblHeader/>
        </w:trPr>
        <w:tc>
          <w:tcPr>
            <w:tcW w:w="4193"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203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夏季m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/122d</w:t>
            </w:r>
          </w:p>
        </w:tc>
        <w:tc>
          <w:tcPr>
            <w:tcW w:w="271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其他季节m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/243d</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90" w:hRule="atLeast"/>
        </w:trPr>
        <w:tc>
          <w:tcPr>
            <w:tcW w:w="984"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用水</w:t>
            </w:r>
          </w:p>
        </w:tc>
        <w:tc>
          <w:tcPr>
            <w:tcW w:w="3209" w:type="dxa"/>
            <w:vAlign w:val="center"/>
          </w:tcPr>
          <w:p>
            <w:pPr>
              <w:spacing w:line="240" w:lineRule="auto"/>
              <w:ind w:firstLine="0" w:firstLineChars="0"/>
              <w:jc w:val="center"/>
              <w:rPr>
                <w:rFonts w:hint="default" w:ascii="Times New Roman" w:hAnsi="Times New Roman" w:cs="Times New Roman"/>
                <w:color w:val="auto"/>
                <w:sz w:val="21"/>
                <w:szCs w:val="21"/>
              </w:rPr>
            </w:pPr>
            <w:bookmarkStart w:id="270" w:name="_Hlk376119699"/>
            <w:r>
              <w:rPr>
                <w:rFonts w:hint="default" w:ascii="Times New Roman" w:hAnsi="Times New Roman" w:cs="Times New Roman"/>
                <w:bCs/>
                <w:color w:val="auto"/>
                <w:sz w:val="21"/>
                <w:szCs w:val="21"/>
              </w:rPr>
              <w:t>猪饮用水</w:t>
            </w:r>
          </w:p>
        </w:tc>
        <w:tc>
          <w:tcPr>
            <w:tcW w:w="203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25986</w:t>
            </w:r>
          </w:p>
        </w:tc>
        <w:tc>
          <w:tcPr>
            <w:tcW w:w="271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32246.1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84" w:hRule="atLeast"/>
        </w:trPr>
        <w:tc>
          <w:tcPr>
            <w:tcW w:w="984"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bookmarkEnd w:id="270"/>
        </w:tc>
        <w:tc>
          <w:tcPr>
            <w:tcW w:w="3209"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猪舍冲洗水</w:t>
            </w:r>
          </w:p>
        </w:tc>
        <w:tc>
          <w:tcPr>
            <w:tcW w:w="203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2485.14</w:t>
            </w:r>
          </w:p>
        </w:tc>
        <w:tc>
          <w:tcPr>
            <w:tcW w:w="271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4949.91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1" w:hRule="atLeast"/>
        </w:trPr>
        <w:tc>
          <w:tcPr>
            <w:tcW w:w="984"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3209"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猪舍降温喷淋用水</w:t>
            </w:r>
          </w:p>
        </w:tc>
        <w:tc>
          <w:tcPr>
            <w:tcW w:w="203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482.1</w:t>
            </w:r>
          </w:p>
        </w:tc>
        <w:tc>
          <w:tcPr>
            <w:tcW w:w="271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90" w:hRule="atLeast"/>
        </w:trPr>
        <w:tc>
          <w:tcPr>
            <w:tcW w:w="984"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3209"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病死猪高温无害化处理机用水</w:t>
            </w:r>
          </w:p>
        </w:tc>
        <w:tc>
          <w:tcPr>
            <w:tcW w:w="203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0.61</w:t>
            </w:r>
          </w:p>
        </w:tc>
        <w:tc>
          <w:tcPr>
            <w:tcW w:w="271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46" w:hRule="atLeast"/>
        </w:trPr>
        <w:tc>
          <w:tcPr>
            <w:tcW w:w="984"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3209"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职工生活用水</w:t>
            </w:r>
          </w:p>
        </w:tc>
        <w:tc>
          <w:tcPr>
            <w:tcW w:w="203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439.20 </w:t>
            </w:r>
          </w:p>
        </w:tc>
        <w:tc>
          <w:tcPr>
            <w:tcW w:w="271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874.80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150" w:hRule="atLeast"/>
        </w:trPr>
        <w:tc>
          <w:tcPr>
            <w:tcW w:w="984"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3209"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固粪处理区水帘用水</w:t>
            </w:r>
          </w:p>
        </w:tc>
        <w:tc>
          <w:tcPr>
            <w:tcW w:w="203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298.9</w:t>
            </w:r>
          </w:p>
        </w:tc>
        <w:tc>
          <w:tcPr>
            <w:tcW w:w="271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595.35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131" w:hRule="atLeast"/>
        </w:trPr>
        <w:tc>
          <w:tcPr>
            <w:tcW w:w="984"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3209"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2038" w:type="dxa"/>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29691.95</w:t>
            </w:r>
          </w:p>
        </w:tc>
        <w:tc>
          <w:tcPr>
            <w:tcW w:w="2712" w:type="dxa"/>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38667.375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8" w:hRule="atLeast"/>
        </w:trPr>
        <w:tc>
          <w:tcPr>
            <w:tcW w:w="984"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排水</w:t>
            </w:r>
          </w:p>
        </w:tc>
        <w:tc>
          <w:tcPr>
            <w:tcW w:w="3209"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猪尿</w:t>
            </w:r>
          </w:p>
        </w:tc>
        <w:tc>
          <w:tcPr>
            <w:tcW w:w="2038" w:type="dxa"/>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11609.276</w:t>
            </w:r>
          </w:p>
        </w:tc>
        <w:tc>
          <w:tcPr>
            <w:tcW w:w="2712" w:type="dxa"/>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13996.8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8" w:hRule="atLeast"/>
        </w:trPr>
        <w:tc>
          <w:tcPr>
            <w:tcW w:w="984"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3209"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猪舍冲洗水</w:t>
            </w:r>
          </w:p>
        </w:tc>
        <w:tc>
          <w:tcPr>
            <w:tcW w:w="2038" w:type="dxa"/>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2236.26</w:t>
            </w:r>
          </w:p>
        </w:tc>
        <w:tc>
          <w:tcPr>
            <w:tcW w:w="271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4454.19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8" w:hRule="atLeast"/>
        </w:trPr>
        <w:tc>
          <w:tcPr>
            <w:tcW w:w="984"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3209"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病死猪高温无害化处理机</w:t>
            </w:r>
            <w:r>
              <w:rPr>
                <w:rFonts w:hint="default" w:ascii="Times New Roman" w:hAnsi="Times New Roman" w:cs="Times New Roman"/>
                <w:color w:val="auto"/>
                <w:sz w:val="21"/>
                <w:szCs w:val="21"/>
              </w:rPr>
              <w:t>废水</w:t>
            </w:r>
          </w:p>
        </w:tc>
        <w:tc>
          <w:tcPr>
            <w:tcW w:w="203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9.15</w:t>
            </w:r>
          </w:p>
        </w:tc>
        <w:tc>
          <w:tcPr>
            <w:tcW w:w="271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18.225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136" w:hRule="atLeast"/>
        </w:trPr>
        <w:tc>
          <w:tcPr>
            <w:tcW w:w="984"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3209"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w:t>
            </w:r>
          </w:p>
        </w:tc>
        <w:tc>
          <w:tcPr>
            <w:tcW w:w="203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351.36 </w:t>
            </w:r>
          </w:p>
        </w:tc>
        <w:tc>
          <w:tcPr>
            <w:tcW w:w="271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699.84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60" w:hRule="atLeast"/>
        </w:trPr>
        <w:tc>
          <w:tcPr>
            <w:tcW w:w="984"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3209"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猪粪含水</w:t>
            </w:r>
          </w:p>
        </w:tc>
        <w:tc>
          <w:tcPr>
            <w:tcW w:w="2038" w:type="dxa"/>
            <w:vAlign w:val="center"/>
          </w:tcPr>
          <w:p>
            <w:pPr>
              <w:spacing w:line="240" w:lineRule="auto"/>
              <w:ind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967.094</w:t>
            </w:r>
          </w:p>
        </w:tc>
        <w:tc>
          <w:tcPr>
            <w:tcW w:w="2712" w:type="dxa"/>
            <w:vAlign w:val="center"/>
          </w:tcPr>
          <w:p>
            <w:pPr>
              <w:spacing w:line="240" w:lineRule="auto"/>
              <w:ind w:firstLine="0" w:firstLineChars="0"/>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1926.261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8" w:hRule="atLeast"/>
        </w:trPr>
        <w:tc>
          <w:tcPr>
            <w:tcW w:w="984"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3209"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固粪处理区水帘</w:t>
            </w:r>
            <w:r>
              <w:rPr>
                <w:rFonts w:hint="default" w:ascii="Times New Roman" w:hAnsi="Times New Roman" w:cs="Times New Roman"/>
                <w:bCs/>
                <w:color w:val="auto"/>
                <w:sz w:val="21"/>
                <w:szCs w:val="21"/>
                <w:lang w:eastAsia="zh-CN"/>
              </w:rPr>
              <w:t>排</w:t>
            </w:r>
            <w:r>
              <w:rPr>
                <w:rFonts w:hint="default" w:ascii="Times New Roman" w:hAnsi="Times New Roman" w:cs="Times New Roman"/>
                <w:bCs/>
                <w:color w:val="auto"/>
                <w:sz w:val="21"/>
                <w:szCs w:val="21"/>
              </w:rPr>
              <w:t>水</w:t>
            </w:r>
          </w:p>
        </w:tc>
        <w:tc>
          <w:tcPr>
            <w:tcW w:w="203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6.1</w:t>
            </w:r>
          </w:p>
        </w:tc>
        <w:tc>
          <w:tcPr>
            <w:tcW w:w="271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12.15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8" w:hRule="atLeast"/>
        </w:trPr>
        <w:tc>
          <w:tcPr>
            <w:tcW w:w="984" w:type="dxa"/>
            <w:vAlign w:val="center"/>
          </w:tcPr>
          <w:p>
            <w:pPr>
              <w:spacing w:line="240" w:lineRule="auto"/>
              <w:ind w:firstLine="0" w:firstLineChars="0"/>
              <w:jc w:val="center"/>
              <w:rPr>
                <w:rFonts w:hint="default" w:ascii="Times New Roman" w:hAnsi="Times New Roman" w:cs="Times New Roman"/>
                <w:color w:val="auto"/>
                <w:sz w:val="21"/>
                <w:szCs w:val="21"/>
              </w:rPr>
            </w:pPr>
          </w:p>
        </w:tc>
        <w:tc>
          <w:tcPr>
            <w:tcW w:w="3209"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2038" w:type="dxa"/>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15179.24</w:t>
            </w:r>
          </w:p>
        </w:tc>
        <w:tc>
          <w:tcPr>
            <w:tcW w:w="2712" w:type="dxa"/>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21107.466</w:t>
            </w:r>
          </w:p>
        </w:tc>
      </w:tr>
    </w:tbl>
    <w:p>
      <w:pPr>
        <w:pStyle w:val="37"/>
        <w:ind w:firstLine="480"/>
        <w:rPr>
          <w:rFonts w:hint="default" w:ascii="Times New Roman" w:hAnsi="Times New Roman" w:cs="Times New Roman"/>
          <w:color w:val="auto"/>
        </w:rPr>
      </w:pPr>
      <w:r>
        <w:rPr>
          <w:rFonts w:hint="default" w:ascii="Times New Roman" w:hAnsi="Times New Roman" w:cs="Times New Roman"/>
          <w:color w:val="auto"/>
        </w:rPr>
        <w:t>3.1.6.3本项目水平衡图</w:t>
      </w:r>
    </w:p>
    <w:p>
      <w:pPr>
        <w:ind w:firstLine="480"/>
        <w:rPr>
          <w:rFonts w:hint="default" w:ascii="Times New Roman" w:hAnsi="Times New Roman" w:cs="Times New Roman"/>
          <w:color w:val="auto"/>
        </w:rPr>
        <w:sectPr>
          <w:headerReference r:id="rId8" w:type="default"/>
          <w:pgSz w:w="11906" w:h="16838"/>
          <w:pgMar w:top="1587" w:right="1587" w:bottom="1587" w:left="1587" w:header="851" w:footer="992"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cs="Times New Roman"/>
          <w:color w:val="auto"/>
        </w:rPr>
        <w:t>本项目夏季、其他季节水平衡情况见图3-1、3-2。</w:t>
      </w:r>
    </w:p>
    <w:p>
      <w:pPr>
        <w:ind w:firstLine="480"/>
        <w:rPr>
          <w:rFonts w:hint="default" w:ascii="Times New Roman" w:hAnsi="Times New Roman" w:cs="Times New Roman"/>
          <w:color w:val="auto"/>
        </w:rPr>
      </w:pPr>
    </w:p>
    <w:p>
      <w:pPr>
        <w:ind w:firstLine="0" w:firstLineChars="0"/>
        <w:rPr>
          <w:rFonts w:hint="default" w:ascii="Times New Roman" w:hAnsi="Times New Roman" w:cs="Times New Roman"/>
          <w:b/>
          <w:color w:val="auto"/>
        </w:rPr>
      </w:pPr>
      <w:r>
        <w:rPr>
          <w:rFonts w:hint="default" w:ascii="Times New Roman" w:hAnsi="Times New Roman" w:cs="Times New Roman"/>
          <w:color w:val="auto"/>
        </w:rPr>
        <w:drawing>
          <wp:inline distT="0" distB="0" distL="114300" distR="114300">
            <wp:extent cx="8670290" cy="5194935"/>
            <wp:effectExtent l="0" t="0" r="16510" b="571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32"/>
                    <a:stretch>
                      <a:fillRect/>
                    </a:stretch>
                  </pic:blipFill>
                  <pic:spPr>
                    <a:xfrm>
                      <a:off x="0" y="0"/>
                      <a:ext cx="8670290" cy="5194935"/>
                    </a:xfrm>
                    <a:prstGeom prst="rect">
                      <a:avLst/>
                    </a:prstGeom>
                    <a:noFill/>
                    <a:ln>
                      <a:noFill/>
                    </a:ln>
                  </pic:spPr>
                </pic:pic>
              </a:graphicData>
            </a:graphic>
          </wp:inline>
        </w:drawing>
      </w:r>
    </w:p>
    <w:p>
      <w:pPr>
        <w:ind w:firstLine="0" w:firstLineChars="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8675370" cy="5243195"/>
            <wp:effectExtent l="0" t="0" r="11430" b="146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3"/>
                    <a:stretch>
                      <a:fillRect/>
                    </a:stretch>
                  </pic:blipFill>
                  <pic:spPr>
                    <a:xfrm>
                      <a:off x="0" y="0"/>
                      <a:ext cx="8675370" cy="5243195"/>
                    </a:xfrm>
                    <a:prstGeom prst="rect">
                      <a:avLst/>
                    </a:prstGeom>
                    <a:noFill/>
                    <a:ln>
                      <a:noFill/>
                    </a:ln>
                  </pic:spPr>
                </pic:pic>
              </a:graphicData>
            </a:graphic>
          </wp:inline>
        </w:drawing>
      </w:r>
    </w:p>
    <w:p>
      <w:pPr>
        <w:kinsoku w:val="0"/>
        <w:overflowPunct w:val="0"/>
        <w:spacing w:line="500" w:lineRule="exact"/>
        <w:ind w:firstLine="482"/>
        <w:jc w:val="center"/>
        <w:rPr>
          <w:rFonts w:hint="default" w:ascii="Times New Roman" w:hAnsi="Times New Roman" w:eastAsia="黑体" w:cs="Times New Roman"/>
          <w:b/>
          <w:bCs/>
          <w:color w:val="auto"/>
          <w:u w:val="single"/>
        </w:rPr>
        <w:sectPr>
          <w:headerReference r:id="rId9" w:type="default"/>
          <w:pgSz w:w="16838" w:h="11906" w:orient="landscape"/>
          <w:pgMar w:top="1587" w:right="1587" w:bottom="1587" w:left="1587" w:header="851" w:footer="992" w:gutter="0"/>
          <w:pgBorders>
            <w:top w:val="none" w:sz="0" w:space="0"/>
            <w:left w:val="none" w:sz="0" w:space="0"/>
            <w:bottom w:val="none" w:sz="0" w:space="0"/>
            <w:right w:val="none" w:sz="0" w:space="0"/>
          </w:pgBorders>
          <w:cols w:space="720" w:num="1"/>
          <w:docGrid w:linePitch="312" w:charSpace="0"/>
        </w:sectPr>
      </w:pPr>
    </w:p>
    <w:p>
      <w:pPr>
        <w:pStyle w:val="37"/>
        <w:ind w:firstLine="480"/>
        <w:rPr>
          <w:rFonts w:hint="default" w:ascii="Times New Roman" w:hAnsi="Times New Roman" w:cs="Times New Roman"/>
          <w:color w:val="auto"/>
        </w:rPr>
      </w:pPr>
      <w:r>
        <w:rPr>
          <w:rFonts w:hint="default" w:ascii="Times New Roman" w:hAnsi="Times New Roman" w:cs="Times New Roman"/>
          <w:color w:val="auto"/>
        </w:rPr>
        <w:t>3.1.6.4供配电情况</w:t>
      </w:r>
    </w:p>
    <w:p>
      <w:pPr>
        <w:ind w:firstLine="480"/>
        <w:rPr>
          <w:rFonts w:hint="default" w:ascii="Times New Roman" w:hAnsi="Times New Roman" w:cs="Times New Roman"/>
          <w:color w:val="auto"/>
        </w:rPr>
      </w:pPr>
      <w:r>
        <w:rPr>
          <w:rFonts w:hint="default" w:ascii="Times New Roman" w:hAnsi="Times New Roman" w:cs="Times New Roman"/>
          <w:color w:val="auto"/>
        </w:rPr>
        <w:t>根据建设单位提供的资料，项目年用电量为100万kWh。项目用电由清丰县韩村镇供电所供应。</w:t>
      </w:r>
    </w:p>
    <w:p>
      <w:pPr>
        <w:ind w:firstLine="480"/>
        <w:outlineLvl w:val="3"/>
        <w:rPr>
          <w:rFonts w:hint="default" w:ascii="Times New Roman" w:hAnsi="Times New Roman" w:cs="Times New Roman"/>
          <w:color w:val="auto"/>
        </w:rPr>
      </w:pPr>
      <w:r>
        <w:rPr>
          <w:rFonts w:hint="default" w:ascii="Times New Roman" w:hAnsi="Times New Roman" w:cs="Times New Roman"/>
          <w:color w:val="auto"/>
        </w:rPr>
        <w:t>3.1.6.5项目取暖情况</w:t>
      </w:r>
    </w:p>
    <w:bookmarkEnd w:id="257"/>
    <w:p>
      <w:pPr>
        <w:spacing w:line="360" w:lineRule="auto"/>
        <w:ind w:firstLine="480" w:firstLineChars="200"/>
        <w:rPr>
          <w:rFonts w:hint="default" w:ascii="Times New Roman" w:hAnsi="Times New Roman" w:cs="Times New Roman"/>
          <w:color w:val="auto"/>
          <w:sz w:val="24"/>
          <w:szCs w:val="24"/>
        </w:rPr>
      </w:pPr>
      <w:bookmarkStart w:id="271" w:name="_Toc253231259"/>
      <w:bookmarkStart w:id="272" w:name="_Toc252554300"/>
      <w:bookmarkStart w:id="273" w:name="_Toc238894178"/>
      <w:bookmarkStart w:id="274" w:name="_Toc269400670"/>
      <w:bookmarkStart w:id="275" w:name="_Toc237749129"/>
      <w:bookmarkStart w:id="276" w:name="_Toc311979807"/>
      <w:bookmarkStart w:id="277" w:name="_Toc241388312"/>
      <w:bookmarkStart w:id="278" w:name="_Toc238488157"/>
      <w:bookmarkStart w:id="279" w:name="_Toc252554427"/>
      <w:bookmarkStart w:id="280" w:name="_Toc252632548"/>
      <w:bookmarkStart w:id="281" w:name="_Toc311979853"/>
      <w:bookmarkStart w:id="282" w:name="_Toc239913682"/>
      <w:bookmarkStart w:id="283" w:name="_Toc311979921"/>
      <w:r>
        <w:rPr>
          <w:rFonts w:hint="default" w:ascii="Times New Roman" w:hAnsi="Times New Roman" w:cs="Times New Roman"/>
          <w:color w:val="auto"/>
          <w:sz w:val="24"/>
          <w:szCs w:val="24"/>
        </w:rPr>
        <w:t>（1）猪舍外墙保温</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墙体由挤塑式聚苯乙烯隔热保温板（简称“挤塑板”）来切断单元内外热传递，该材料具有高热阻、低线性、膨胀比低的特点，其结构的闭孔率达到了99%以上，形成真空层，避免空气流动散热，确保其保温性能的持久和稳定。</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（2）通风热交换系统</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热交换系统主要原理：热交换通风系统主要包括进风管、布风管、排风道、变速风机等。其中布风管和进风管相联通安装于猪舍上部，中间为猪群生活的漏缝板，猪舍下部为封闭的排风道，变速风机位于猪舍另一侧排风道中间。当变速风机启动时，从封闭通道抽出猪舍内部污浊高温的空气，室外清新的冷空气经由进风道进入猪舍内。因进风管采用导热性能较好的材料制成，在冷空气进入猪舍内的过程中，可通过进风管壁与猪舍内空气进行充分的热交换，使进入猪舍的新鲜空气温度大大提高，避免了猪群在生长过程中的冷应激作用。</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在对猪舍内外空气进行交换的同时，也进行热量交换，猪舍在热交换的过程中，实施最小通风量，防止过度通风带来不必要的热量损失。运行时，新风从排风获得热量，温度升高，通过换热芯体的全热换热过程，让新风从排风中回收能量，保证在通风时也保持猪舍内部温度，既保证了猪群对新鲜空气的需要，又保证单元内有害气体不超标，同时满足了通风和稳定猪舍温度的需求，节约了能源消耗，降低了饲养成本。</w:t>
      </w:r>
    </w:p>
    <w:p>
      <w:pPr>
        <w:spacing w:line="360" w:lineRule="auto"/>
        <w:ind w:firstLine="482" w:firstLineChars="200"/>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（3）红外线灯取暖</w:t>
      </w:r>
    </w:p>
    <w:p>
      <w:pPr>
        <w:spacing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u w:val="single"/>
        </w:rPr>
        <w:t>在哺乳舍，由于仔猪对温度的需求较高，要结合红外线灯对仔猪进行供暖</w:t>
      </w:r>
      <w:r>
        <w:rPr>
          <w:rFonts w:hint="default" w:ascii="Times New Roman" w:hAnsi="Times New Roman" w:cs="Times New Roman"/>
          <w:color w:val="auto"/>
          <w:sz w:val="24"/>
          <w:szCs w:val="24"/>
        </w:rPr>
        <w:t>。</w:t>
      </w:r>
    </w:p>
    <w:p>
      <w:pPr>
        <w:ind w:firstLine="480"/>
        <w:outlineLvl w:val="3"/>
        <w:rPr>
          <w:rFonts w:hint="default" w:ascii="Times New Roman" w:hAnsi="Times New Roman" w:cs="Times New Roman"/>
          <w:color w:val="auto"/>
        </w:rPr>
      </w:pPr>
      <w:r>
        <w:rPr>
          <w:rFonts w:hint="default" w:ascii="Times New Roman" w:hAnsi="Times New Roman" w:cs="Times New Roman"/>
          <w:color w:val="auto"/>
        </w:rPr>
        <w:t>3.1.6.6降温</w:t>
      </w:r>
    </w:p>
    <w:p>
      <w:pPr>
        <w:pStyle w:val="35"/>
        <w:ind w:firstLine="480"/>
        <w:rPr>
          <w:rFonts w:hint="default" w:ascii="Times New Roman" w:hAnsi="Times New Roman" w:cs="Times New Roman"/>
          <w:color w:val="auto"/>
        </w:rPr>
      </w:pPr>
      <w:r>
        <w:rPr>
          <w:rFonts w:hint="default" w:ascii="Times New Roman" w:hAnsi="Times New Roman" w:cs="Times New Roman"/>
          <w:color w:val="auto"/>
        </w:rPr>
        <w:t>为了降低能耗，提高效率，项目怀孕猪舍除采用风机外，还采用喷淋降温，在专门的降温水管上装有喷头，水雾喷到猪群身上，通过猪舍内的风机作用，促进蒸发降温。降温通过电脑控制，室温高于30℃时，对怀孕猪舍进行喷淋降温。</w:t>
      </w:r>
    </w:p>
    <w:p>
      <w:pPr>
        <w:ind w:firstLine="480"/>
        <w:outlineLvl w:val="3"/>
        <w:rPr>
          <w:rFonts w:hint="default" w:ascii="Times New Roman" w:hAnsi="Times New Roman" w:cs="Times New Roman"/>
          <w:color w:val="auto"/>
        </w:rPr>
      </w:pPr>
      <w:r>
        <w:rPr>
          <w:rFonts w:hint="default" w:ascii="Times New Roman" w:hAnsi="Times New Roman" w:cs="Times New Roman"/>
          <w:color w:val="auto"/>
        </w:rPr>
        <w:t>3.1.6.7通排风情况</w:t>
      </w:r>
    </w:p>
    <w:p>
      <w:pPr>
        <w:pStyle w:val="35"/>
        <w:ind w:firstLine="480"/>
        <w:rPr>
          <w:rFonts w:hint="default" w:ascii="Times New Roman" w:hAnsi="Times New Roman" w:cs="Times New Roman"/>
          <w:color w:val="auto"/>
        </w:rPr>
      </w:pPr>
      <w:r>
        <w:rPr>
          <w:rFonts w:hint="default" w:ascii="Times New Roman" w:hAnsi="Times New Roman" w:cs="Times New Roman"/>
          <w:color w:val="auto"/>
        </w:rPr>
        <w:t>猪舍通风系统在猪舍屋顶中间部位设排空气口，排空气口上部具有可产生虹吸作用的出风管道，猪舍的两侧设有进风窗。在出风管道的自然虹吸下，猪舍内的热空气被抽吸出去，无需增加抽风装置，降低了运行成本，通风效果好，通过进风窗可控制对流的大小，操作方便。敞开的通风管可正常保持猪舍内的通风，圆形的排空气口设有排气扇，在夏天外界温度较高时，打开排风扇，可向外界抽风，从而保证猪舍内的通风。上进风窗位于猪床上部的墙壁上，从而保证猪床上部猪舍内的空气的对流，下进风窗设在猪床下部墙壁上，从而保证猪床下部猪舍内的空气的对流，及时将猪粪道内的有害气体排出。与现有技术相比，具有结构简单，通风效果好，运行成本低，操作方便的优点。</w:t>
      </w:r>
    </w:p>
    <w:p>
      <w:pPr>
        <w:pStyle w:val="34"/>
        <w:ind w:firstLine="480"/>
        <w:rPr>
          <w:rFonts w:hint="default" w:ascii="Times New Roman" w:hAnsi="Times New Roman" w:cs="Times New Roman"/>
          <w:color w:val="auto"/>
        </w:rPr>
      </w:pPr>
      <w:bookmarkStart w:id="284" w:name="_Toc468115359"/>
      <w:r>
        <w:rPr>
          <w:rFonts w:hint="default" w:ascii="Times New Roman" w:hAnsi="Times New Roman" w:cs="Times New Roman"/>
          <w:color w:val="auto"/>
        </w:rPr>
        <w:t>3.1.7 平面布置分析</w:t>
      </w:r>
      <w:bookmarkEnd w:id="284"/>
    </w:p>
    <w:bookmarkEnd w:id="271"/>
    <w:bookmarkEnd w:id="272"/>
    <w:bookmarkEnd w:id="273"/>
    <w:bookmarkEnd w:id="274"/>
    <w:bookmarkEnd w:id="275"/>
    <w:bookmarkEnd w:id="276"/>
    <w:bookmarkEnd w:id="277"/>
    <w:bookmarkEnd w:id="278"/>
    <w:bookmarkEnd w:id="279"/>
    <w:bookmarkEnd w:id="280"/>
    <w:bookmarkEnd w:id="281"/>
    <w:bookmarkEnd w:id="282"/>
    <w:bookmarkEnd w:id="283"/>
    <w:p>
      <w:pPr>
        <w:ind w:firstLine="480"/>
        <w:rPr>
          <w:rFonts w:hint="default" w:ascii="Times New Roman" w:hAnsi="Times New Roman" w:cs="Times New Roman"/>
          <w:b/>
          <w:bCs/>
          <w:color w:val="auto"/>
          <w:u w:val="single"/>
        </w:rPr>
      </w:pPr>
      <w:r>
        <w:rPr>
          <w:rFonts w:hint="default" w:ascii="Times New Roman" w:hAnsi="Times New Roman" w:cs="Times New Roman"/>
          <w:color w:val="auto"/>
        </w:rPr>
        <w:t>项目总占地167亩（约合111333.89m</w:t>
      </w:r>
      <w:r>
        <w:rPr>
          <w:rFonts w:hint="default" w:ascii="Times New Roman" w:hAnsi="Times New Roman" w:cs="Times New Roman"/>
          <w:color w:val="auto"/>
          <w:vertAlign w:val="superscript"/>
        </w:rPr>
        <w:t>2</w:t>
      </w:r>
      <w:r>
        <w:rPr>
          <w:rFonts w:hint="default" w:ascii="Times New Roman" w:hAnsi="Times New Roman" w:cs="Times New Roman"/>
          <w:color w:val="auto"/>
        </w:rPr>
        <w:t>），主要建设内容分为猪舍、治污区及办公生活区，场区地形较为平坦。</w:t>
      </w:r>
    </w:p>
    <w:p>
      <w:pPr>
        <w:ind w:firstLine="480"/>
        <w:rPr>
          <w:rFonts w:hint="default" w:ascii="Times New Roman" w:hAnsi="Times New Roman" w:cs="Times New Roman"/>
          <w:color w:val="auto"/>
        </w:rPr>
      </w:pPr>
      <w:r>
        <w:rPr>
          <w:rFonts w:hint="default" w:ascii="Times New Roman" w:hAnsi="Times New Roman" w:cs="Times New Roman"/>
          <w:color w:val="auto"/>
        </w:rPr>
        <w:t>根据企业设计，考虑到周边地形、进出场区道路问题，各区污染治理区道路单独设计，与生产生活区道路分开；为了防疫安全，进出污染治理区、生活区道路要尽可能避开生产区，场区实行养殖区、办公区和沼气工程之间通过绿化带进行分离，办公区位于常年主导风向的侧风向。具体分布如下：</w:t>
      </w:r>
    </w:p>
    <w:p>
      <w:pPr>
        <w:ind w:firstLine="480"/>
        <w:rPr>
          <w:rFonts w:hint="default" w:ascii="Times New Roman" w:hAnsi="Times New Roman" w:cs="Times New Roman"/>
          <w:color w:val="auto"/>
        </w:rPr>
      </w:pPr>
      <w:r>
        <w:rPr>
          <w:rFonts w:hint="default" w:ascii="Times New Roman" w:hAnsi="Times New Roman" w:cs="Times New Roman"/>
          <w:color w:val="auto"/>
        </w:rPr>
        <w:t>（1）养殖区：根据养殖工艺需要，养殖区共布置怀孕舍33栋、哺乳舍29栋，后备舍8栋。</w:t>
      </w:r>
    </w:p>
    <w:p>
      <w:pPr>
        <w:ind w:firstLine="480"/>
        <w:rPr>
          <w:rFonts w:hint="default" w:ascii="Times New Roman" w:hAnsi="Times New Roman" w:cs="Times New Roman"/>
          <w:color w:val="auto"/>
        </w:rPr>
      </w:pPr>
      <w:r>
        <w:rPr>
          <w:rFonts w:hint="default" w:ascii="Times New Roman" w:hAnsi="Times New Roman" w:cs="Times New Roman"/>
          <w:color w:val="auto"/>
        </w:rPr>
        <w:t>（2）污水治理区：考虑到进出场区道路及地势问题，为便于管理，黑膜沼气池位于养殖区东北侧，各区的污水分别通过收集池收集后进入黑膜沼气池生产沼气，黑膜沼气池通过绿化带与养殖区隔开；沼气工程为</w:t>
      </w:r>
      <w:r>
        <w:rPr>
          <w:rFonts w:hint="default" w:ascii="Times New Roman" w:hAnsi="Times New Roman" w:cs="Times New Roman"/>
          <w:color w:val="auto"/>
          <w:lang w:eastAsia="zh-CN"/>
        </w:rPr>
        <w:t>沼液存储池</w:t>
      </w:r>
      <w:r>
        <w:rPr>
          <w:rFonts w:hint="default" w:ascii="Times New Roman" w:hAnsi="Times New Roman" w:cs="Times New Roman"/>
          <w:color w:val="auto"/>
        </w:rPr>
        <w:t>、黑膜沼气池。</w:t>
      </w:r>
    </w:p>
    <w:p>
      <w:pPr>
        <w:numPr>
          <w:ilvl w:val="0"/>
          <w:numId w:val="7"/>
        </w:numPr>
        <w:ind w:firstLine="352" w:firstLineChars="147"/>
        <w:rPr>
          <w:rFonts w:hint="default" w:ascii="Times New Roman" w:hAnsi="Times New Roman" w:cs="Times New Roman"/>
          <w:color w:val="auto"/>
        </w:rPr>
      </w:pPr>
      <w:r>
        <w:rPr>
          <w:rFonts w:hint="default" w:ascii="Times New Roman" w:hAnsi="Times New Roman" w:cs="Times New Roman"/>
          <w:color w:val="auto"/>
        </w:rPr>
        <w:t>办公生活区：占地较小，布置在厂区南侧，与养殖区保持一定距离并通过绿化带隔开。</w:t>
      </w:r>
    </w:p>
    <w:p>
      <w:pPr>
        <w:numPr>
          <w:ilvl w:val="0"/>
          <w:numId w:val="7"/>
        </w:numPr>
        <w:ind w:firstLine="352" w:firstLineChars="147"/>
        <w:rPr>
          <w:rFonts w:hint="default" w:ascii="Times New Roman" w:hAnsi="Times New Roman" w:cs="Times New Roman"/>
          <w:color w:val="auto"/>
        </w:rPr>
      </w:pPr>
      <w:r>
        <w:rPr>
          <w:rFonts w:hint="default" w:ascii="Times New Roman" w:hAnsi="Times New Roman" w:cs="Times New Roman"/>
          <w:color w:val="auto"/>
        </w:rPr>
        <w:t>场区内道路规划：根据工艺需要，场区内各功能区均设置物料运输道路，基本满足车间内人员流和货物流需要。为避免交叉影响，考虑到人员进出及物料输送方便，项目在各区养殖区以及办公生活区各设置进出口1个。</w:t>
      </w:r>
    </w:p>
    <w:p>
      <w:pPr>
        <w:pStyle w:val="35"/>
        <w:ind w:firstLine="480"/>
        <w:rPr>
          <w:rFonts w:hint="default" w:ascii="Times New Roman" w:hAnsi="Times New Roman" w:cs="Times New Roman"/>
          <w:snapToGrid w:val="0"/>
          <w:color w:val="auto"/>
          <w:kern w:val="0"/>
        </w:rPr>
      </w:pPr>
      <w:r>
        <w:rPr>
          <w:rFonts w:hint="default" w:ascii="Times New Roman" w:hAnsi="Times New Roman" w:cs="Times New Roman"/>
          <w:color w:val="auto"/>
        </w:rPr>
        <w:t>同时，场区排水采用雨污分流制，雨水顺着场区内雨水暗地沟明渠流至场区外的农田；污水经管道排入沼气工程进行无害化处理。项目平面布置能满足</w:t>
      </w:r>
      <w:r>
        <w:rPr>
          <w:rFonts w:hint="default" w:ascii="Times New Roman" w:hAnsi="Times New Roman" w:cs="Times New Roman"/>
          <w:snapToGrid w:val="0"/>
          <w:color w:val="auto"/>
          <w:kern w:val="0"/>
        </w:rPr>
        <w:t>《</w:t>
      </w:r>
      <w:r>
        <w:rPr>
          <w:rFonts w:hint="default" w:ascii="Times New Roman" w:hAnsi="Times New Roman" w:cs="Times New Roman"/>
          <w:color w:val="auto"/>
          <w:kern w:val="0"/>
        </w:rPr>
        <w:t>畜禽养殖业污染防治技术规范</w:t>
      </w:r>
      <w:r>
        <w:rPr>
          <w:rFonts w:hint="default" w:ascii="Times New Roman" w:hAnsi="Times New Roman" w:cs="Times New Roman"/>
          <w:snapToGrid w:val="0"/>
          <w:color w:val="auto"/>
          <w:kern w:val="0"/>
        </w:rPr>
        <w:t>》（</w:t>
      </w:r>
      <w:r>
        <w:rPr>
          <w:rFonts w:hint="default" w:ascii="Times New Roman" w:hAnsi="Times New Roman" w:cs="Times New Roman"/>
          <w:color w:val="auto"/>
        </w:rPr>
        <w:t>HJ/T81-2001</w:t>
      </w:r>
      <w:r>
        <w:rPr>
          <w:rFonts w:hint="default" w:ascii="Times New Roman" w:hAnsi="Times New Roman" w:cs="Times New Roman"/>
          <w:snapToGrid w:val="0"/>
          <w:color w:val="auto"/>
          <w:kern w:val="0"/>
        </w:rPr>
        <w:t>）中的要求。</w:t>
      </w:r>
    </w:p>
    <w:p>
      <w:pPr>
        <w:pStyle w:val="34"/>
        <w:ind w:firstLine="0" w:firstLineChars="0"/>
        <w:rPr>
          <w:rFonts w:hint="default" w:ascii="Times New Roman" w:hAnsi="Times New Roman" w:cs="Times New Roman"/>
          <w:color w:val="auto"/>
        </w:rPr>
      </w:pPr>
      <w:r>
        <w:rPr>
          <w:rFonts w:hint="default" w:ascii="Times New Roman" w:hAnsi="Times New Roman" w:cs="Times New Roman"/>
          <w:color w:val="auto"/>
        </w:rPr>
        <w:t>3.1.8清洁生产水平分析</w:t>
      </w:r>
    </w:p>
    <w:p>
      <w:pPr>
        <w:pStyle w:val="35"/>
        <w:ind w:firstLine="0" w:firstLineChars="0"/>
        <w:rPr>
          <w:rFonts w:hint="default" w:ascii="Times New Roman" w:hAnsi="Times New Roman" w:cs="Times New Roman"/>
          <w:bCs/>
          <w:color w:val="auto"/>
        </w:rPr>
      </w:pPr>
      <w:bookmarkStart w:id="285" w:name="_Toc468115439"/>
      <w:bookmarkStart w:id="286" w:name="_Toc30624"/>
      <w:bookmarkStart w:id="287" w:name="_Toc413677390"/>
      <w:r>
        <w:rPr>
          <w:rFonts w:hint="default" w:ascii="Times New Roman" w:hAnsi="Times New Roman" w:cs="Times New Roman"/>
          <w:bCs/>
          <w:color w:val="auto"/>
        </w:rPr>
        <w:t>3.1.8.1清洁生产过程分析</w:t>
      </w:r>
      <w:bookmarkEnd w:id="285"/>
      <w:bookmarkEnd w:id="286"/>
      <w:bookmarkEnd w:id="287"/>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本项目清洁生产从生产工艺与装备要求、资源能源利用指标、产品指标、污染物产生指标、废物回收利用指标，以及环境管理六个方面着手分析，结合本项目特点，评价针对这几个方面对本工程清洁生产过程进行分析。</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（1）生产工艺与装备要求</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本项目猪舍采用干清粪工艺，喂料目前采用全自动配送上料系统和限位猪槽，饮水系统采用先进的限位饮水器，猪舍通过优化猪舍结构设计、墙体做隔热保温层来切断猪舍内外热传递。</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牧原公司自主研发了多项养殖设备，并取得了专项技术专利。饲养设备包括各类喂料、饮水、猪舍环境控制、电视监控系统等一系列配套的全自动专业设备等，详见表3.1-11。</w:t>
      </w:r>
    </w:p>
    <w:p>
      <w:pPr>
        <w:spacing w:afterLines="30" w:line="500" w:lineRule="exact"/>
        <w:ind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表3.1-11                   牧原公司实用新型专利</w:t>
      </w:r>
    </w:p>
    <w:tbl>
      <w:tblPr>
        <w:tblStyle w:val="25"/>
        <w:tblW w:w="883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547"/>
        <w:gridCol w:w="2490"/>
        <w:gridCol w:w="1546"/>
        <w:gridCol w:w="2393"/>
        <w:gridCol w:w="185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6" w:hRule="atLeast"/>
          <w:tblHeader/>
          <w:jc w:val="center"/>
        </w:trPr>
        <w:tc>
          <w:tcPr>
            <w:tcW w:w="547"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编号</w:t>
            </w:r>
          </w:p>
        </w:tc>
        <w:tc>
          <w:tcPr>
            <w:tcW w:w="2490"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名称</w:t>
            </w:r>
          </w:p>
        </w:tc>
        <w:tc>
          <w:tcPr>
            <w:tcW w:w="1546"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证书号</w:t>
            </w:r>
          </w:p>
        </w:tc>
        <w:tc>
          <w:tcPr>
            <w:tcW w:w="2393"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专利号</w:t>
            </w:r>
          </w:p>
        </w:tc>
        <w:tc>
          <w:tcPr>
            <w:tcW w:w="1854"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授权公告日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71" w:hRule="atLeast"/>
          <w:jc w:val="center"/>
        </w:trPr>
        <w:tc>
          <w:tcPr>
            <w:tcW w:w="547"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w:t>
            </w:r>
          </w:p>
        </w:tc>
        <w:tc>
          <w:tcPr>
            <w:tcW w:w="2490"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保育猪舍</w:t>
            </w:r>
          </w:p>
        </w:tc>
        <w:tc>
          <w:tcPr>
            <w:tcW w:w="1546"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第1280383号</w:t>
            </w:r>
          </w:p>
        </w:tc>
        <w:tc>
          <w:tcPr>
            <w:tcW w:w="2393"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ZL2008 2 0221080.3</w:t>
            </w:r>
          </w:p>
        </w:tc>
        <w:tc>
          <w:tcPr>
            <w:tcW w:w="1854"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2009年9月16日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75" w:hRule="atLeast"/>
          <w:jc w:val="center"/>
        </w:trPr>
        <w:tc>
          <w:tcPr>
            <w:tcW w:w="547"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w:t>
            </w:r>
          </w:p>
        </w:tc>
        <w:tc>
          <w:tcPr>
            <w:tcW w:w="2490"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猪舍通风系统</w:t>
            </w:r>
          </w:p>
        </w:tc>
        <w:tc>
          <w:tcPr>
            <w:tcW w:w="1546"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第1280384号</w:t>
            </w:r>
          </w:p>
        </w:tc>
        <w:tc>
          <w:tcPr>
            <w:tcW w:w="2393"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ZL2008 2 0221077.1</w:t>
            </w:r>
          </w:p>
        </w:tc>
        <w:tc>
          <w:tcPr>
            <w:tcW w:w="1854"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2009年9月16日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81" w:hRule="atLeast"/>
          <w:jc w:val="center"/>
        </w:trPr>
        <w:tc>
          <w:tcPr>
            <w:tcW w:w="547"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w:t>
            </w:r>
          </w:p>
        </w:tc>
        <w:tc>
          <w:tcPr>
            <w:tcW w:w="2490"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猪舍采暖保温装置</w:t>
            </w:r>
          </w:p>
        </w:tc>
        <w:tc>
          <w:tcPr>
            <w:tcW w:w="1546"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第1280385号</w:t>
            </w:r>
          </w:p>
        </w:tc>
        <w:tc>
          <w:tcPr>
            <w:tcW w:w="2393"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ZL2008 2 0221155.8</w:t>
            </w:r>
          </w:p>
        </w:tc>
        <w:tc>
          <w:tcPr>
            <w:tcW w:w="1854"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2009年9月16日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54" w:hRule="atLeast"/>
          <w:jc w:val="center"/>
        </w:trPr>
        <w:tc>
          <w:tcPr>
            <w:tcW w:w="547"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4</w:t>
            </w:r>
          </w:p>
        </w:tc>
        <w:tc>
          <w:tcPr>
            <w:tcW w:w="2490"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猪用干湿饲喂器</w:t>
            </w:r>
          </w:p>
        </w:tc>
        <w:tc>
          <w:tcPr>
            <w:tcW w:w="1546"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第1280386号</w:t>
            </w:r>
          </w:p>
        </w:tc>
        <w:tc>
          <w:tcPr>
            <w:tcW w:w="2393"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ZL2008 2 0221157.7</w:t>
            </w:r>
          </w:p>
        </w:tc>
        <w:tc>
          <w:tcPr>
            <w:tcW w:w="1854"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2009年9月16日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26" w:hRule="atLeast"/>
          <w:jc w:val="center"/>
        </w:trPr>
        <w:tc>
          <w:tcPr>
            <w:tcW w:w="547"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w:t>
            </w:r>
          </w:p>
        </w:tc>
        <w:tc>
          <w:tcPr>
            <w:tcW w:w="2490"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猪舍送料系统</w:t>
            </w:r>
          </w:p>
        </w:tc>
        <w:tc>
          <w:tcPr>
            <w:tcW w:w="1546"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第1280931号</w:t>
            </w:r>
          </w:p>
        </w:tc>
        <w:tc>
          <w:tcPr>
            <w:tcW w:w="2393"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ZL2008 2 0221158.1</w:t>
            </w:r>
          </w:p>
        </w:tc>
        <w:tc>
          <w:tcPr>
            <w:tcW w:w="1854"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2009年9月16日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32" w:hRule="atLeast"/>
          <w:jc w:val="center"/>
        </w:trPr>
        <w:tc>
          <w:tcPr>
            <w:tcW w:w="547"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w:t>
            </w:r>
          </w:p>
        </w:tc>
        <w:tc>
          <w:tcPr>
            <w:tcW w:w="2490"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母猪产房</w:t>
            </w:r>
          </w:p>
        </w:tc>
        <w:tc>
          <w:tcPr>
            <w:tcW w:w="1546"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第1291481号</w:t>
            </w:r>
          </w:p>
        </w:tc>
        <w:tc>
          <w:tcPr>
            <w:tcW w:w="2393"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ZL2008 2 0221079.0</w:t>
            </w:r>
          </w:p>
        </w:tc>
        <w:tc>
          <w:tcPr>
            <w:tcW w:w="1854"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2009年10月7日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36" w:hRule="atLeast"/>
          <w:jc w:val="center"/>
        </w:trPr>
        <w:tc>
          <w:tcPr>
            <w:tcW w:w="547"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w:t>
            </w:r>
          </w:p>
        </w:tc>
        <w:tc>
          <w:tcPr>
            <w:tcW w:w="2490"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育肥猪舍</w:t>
            </w:r>
          </w:p>
        </w:tc>
        <w:tc>
          <w:tcPr>
            <w:tcW w:w="1546"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第1286109号</w:t>
            </w:r>
          </w:p>
        </w:tc>
        <w:tc>
          <w:tcPr>
            <w:tcW w:w="2393"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ZL2008 2 0221078.6</w:t>
            </w:r>
          </w:p>
        </w:tc>
        <w:tc>
          <w:tcPr>
            <w:tcW w:w="1854"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2009年9月23日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24" w:hRule="atLeast"/>
          <w:jc w:val="center"/>
        </w:trPr>
        <w:tc>
          <w:tcPr>
            <w:tcW w:w="547"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8</w:t>
            </w:r>
          </w:p>
        </w:tc>
        <w:tc>
          <w:tcPr>
            <w:tcW w:w="2490"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猪舍液态饲喂装置</w:t>
            </w:r>
          </w:p>
        </w:tc>
        <w:tc>
          <w:tcPr>
            <w:tcW w:w="1546"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第1519130号</w:t>
            </w:r>
          </w:p>
        </w:tc>
        <w:tc>
          <w:tcPr>
            <w:tcW w:w="2393"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ZL2009 2 0167839.6</w:t>
            </w:r>
          </w:p>
        </w:tc>
        <w:tc>
          <w:tcPr>
            <w:tcW w:w="1854"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2010年9月1日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30" w:hRule="atLeast"/>
          <w:jc w:val="center"/>
        </w:trPr>
        <w:tc>
          <w:tcPr>
            <w:tcW w:w="547"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9</w:t>
            </w:r>
          </w:p>
        </w:tc>
        <w:tc>
          <w:tcPr>
            <w:tcW w:w="2490"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猪舍的通风窗口</w:t>
            </w:r>
          </w:p>
        </w:tc>
        <w:tc>
          <w:tcPr>
            <w:tcW w:w="1546"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第1503015号</w:t>
            </w:r>
          </w:p>
        </w:tc>
        <w:tc>
          <w:tcPr>
            <w:tcW w:w="2393"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ZL2009 2 0224159.6</w:t>
            </w:r>
          </w:p>
        </w:tc>
        <w:tc>
          <w:tcPr>
            <w:tcW w:w="1854"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2010年8月11日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50" w:hRule="atLeast"/>
          <w:jc w:val="center"/>
        </w:trPr>
        <w:tc>
          <w:tcPr>
            <w:tcW w:w="547"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10</w:t>
            </w:r>
          </w:p>
        </w:tc>
        <w:tc>
          <w:tcPr>
            <w:tcW w:w="2490"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高架网床式猪舍</w:t>
            </w:r>
          </w:p>
        </w:tc>
        <w:tc>
          <w:tcPr>
            <w:tcW w:w="1546"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第1494996号</w:t>
            </w:r>
          </w:p>
        </w:tc>
        <w:tc>
          <w:tcPr>
            <w:tcW w:w="2393"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ZL2009 2 0224051.7</w:t>
            </w:r>
          </w:p>
        </w:tc>
        <w:tc>
          <w:tcPr>
            <w:tcW w:w="1854"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2010年8月4日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21" w:hRule="atLeast"/>
          <w:jc w:val="center"/>
        </w:trPr>
        <w:tc>
          <w:tcPr>
            <w:tcW w:w="547"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11</w:t>
            </w:r>
          </w:p>
        </w:tc>
        <w:tc>
          <w:tcPr>
            <w:tcW w:w="2490"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限位猪槽</w:t>
            </w:r>
          </w:p>
        </w:tc>
        <w:tc>
          <w:tcPr>
            <w:tcW w:w="1546"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第1496857号</w:t>
            </w:r>
          </w:p>
        </w:tc>
        <w:tc>
          <w:tcPr>
            <w:tcW w:w="2393"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ZL2009 2 0167840.9</w:t>
            </w:r>
          </w:p>
        </w:tc>
        <w:tc>
          <w:tcPr>
            <w:tcW w:w="1854"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2010年8月4日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28" w:hRule="atLeast"/>
          <w:jc w:val="center"/>
        </w:trPr>
        <w:tc>
          <w:tcPr>
            <w:tcW w:w="547"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12</w:t>
            </w:r>
          </w:p>
        </w:tc>
        <w:tc>
          <w:tcPr>
            <w:tcW w:w="2490"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猪舍液态饲喂系统</w:t>
            </w:r>
          </w:p>
        </w:tc>
        <w:tc>
          <w:tcPr>
            <w:tcW w:w="1546"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第1503014号</w:t>
            </w:r>
          </w:p>
        </w:tc>
        <w:tc>
          <w:tcPr>
            <w:tcW w:w="2393"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ZL2009 2 0224158.1</w:t>
            </w:r>
          </w:p>
        </w:tc>
        <w:tc>
          <w:tcPr>
            <w:tcW w:w="1854"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2010年8月11日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4" w:hRule="atLeast"/>
          <w:jc w:val="center"/>
        </w:trPr>
        <w:tc>
          <w:tcPr>
            <w:tcW w:w="547"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13</w:t>
            </w:r>
          </w:p>
        </w:tc>
        <w:tc>
          <w:tcPr>
            <w:tcW w:w="2490"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猪舍用漏缝地板</w:t>
            </w:r>
          </w:p>
        </w:tc>
        <w:tc>
          <w:tcPr>
            <w:tcW w:w="1546"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第1503011号</w:t>
            </w:r>
          </w:p>
        </w:tc>
        <w:tc>
          <w:tcPr>
            <w:tcW w:w="2393"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ZL2009 2 0167841.3</w:t>
            </w:r>
          </w:p>
        </w:tc>
        <w:tc>
          <w:tcPr>
            <w:tcW w:w="1854"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2010年8月11日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20" w:hRule="atLeast"/>
          <w:jc w:val="center"/>
        </w:trPr>
        <w:tc>
          <w:tcPr>
            <w:tcW w:w="547"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14</w:t>
            </w:r>
          </w:p>
        </w:tc>
        <w:tc>
          <w:tcPr>
            <w:tcW w:w="2490"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自动编制蛇形钢筋网床</w:t>
            </w:r>
          </w:p>
        </w:tc>
        <w:tc>
          <w:tcPr>
            <w:tcW w:w="1546"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第1499874号</w:t>
            </w:r>
          </w:p>
        </w:tc>
        <w:tc>
          <w:tcPr>
            <w:tcW w:w="2393"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ZL2009 2 0224050.2</w:t>
            </w:r>
          </w:p>
        </w:tc>
        <w:tc>
          <w:tcPr>
            <w:tcW w:w="1854"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2010年8月11日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06" w:hRule="atLeast"/>
          <w:jc w:val="center"/>
        </w:trPr>
        <w:tc>
          <w:tcPr>
            <w:tcW w:w="547"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15</w:t>
            </w:r>
          </w:p>
        </w:tc>
        <w:tc>
          <w:tcPr>
            <w:tcW w:w="2490"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一种铁皮猪舍房顶</w:t>
            </w:r>
          </w:p>
        </w:tc>
        <w:tc>
          <w:tcPr>
            <w:tcW w:w="1546"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第1499878号</w:t>
            </w:r>
          </w:p>
        </w:tc>
        <w:tc>
          <w:tcPr>
            <w:tcW w:w="2393"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ZL2009 2 0224160.9</w:t>
            </w:r>
          </w:p>
        </w:tc>
        <w:tc>
          <w:tcPr>
            <w:tcW w:w="1854"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2010年8月11日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30" w:hRule="atLeast"/>
          <w:jc w:val="center"/>
        </w:trPr>
        <w:tc>
          <w:tcPr>
            <w:tcW w:w="547"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16</w:t>
            </w:r>
          </w:p>
        </w:tc>
        <w:tc>
          <w:tcPr>
            <w:tcW w:w="2490"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增加猪舍空气湿度的设备</w:t>
            </w:r>
          </w:p>
        </w:tc>
        <w:tc>
          <w:tcPr>
            <w:tcW w:w="1546"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第1557290号</w:t>
            </w:r>
          </w:p>
        </w:tc>
        <w:tc>
          <w:tcPr>
            <w:tcW w:w="2393"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ZL2009 2 0167838.1</w:t>
            </w:r>
          </w:p>
        </w:tc>
        <w:tc>
          <w:tcPr>
            <w:tcW w:w="1854"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2010年10月6日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34" w:hRule="atLeast"/>
          <w:jc w:val="center"/>
        </w:trPr>
        <w:tc>
          <w:tcPr>
            <w:tcW w:w="547"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17</w:t>
            </w:r>
          </w:p>
        </w:tc>
        <w:tc>
          <w:tcPr>
            <w:tcW w:w="2490"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输精被袋</w:t>
            </w:r>
          </w:p>
        </w:tc>
        <w:tc>
          <w:tcPr>
            <w:tcW w:w="1546"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第1555380号</w:t>
            </w:r>
          </w:p>
        </w:tc>
        <w:tc>
          <w:tcPr>
            <w:tcW w:w="2393"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ZL2010 2 0113315.4</w:t>
            </w:r>
          </w:p>
        </w:tc>
        <w:tc>
          <w:tcPr>
            <w:tcW w:w="1854"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2010年10月6日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260" w:hRule="atLeast"/>
          <w:jc w:val="center"/>
        </w:trPr>
        <w:tc>
          <w:tcPr>
            <w:tcW w:w="547"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18</w:t>
            </w:r>
          </w:p>
        </w:tc>
        <w:tc>
          <w:tcPr>
            <w:tcW w:w="2490"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路基的防渗水结构</w:t>
            </w:r>
          </w:p>
        </w:tc>
        <w:tc>
          <w:tcPr>
            <w:tcW w:w="1546"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第1620796号</w:t>
            </w:r>
          </w:p>
        </w:tc>
        <w:tc>
          <w:tcPr>
            <w:tcW w:w="2393"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ZL 2010 2 0113349.3</w:t>
            </w:r>
          </w:p>
        </w:tc>
        <w:tc>
          <w:tcPr>
            <w:tcW w:w="1854"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2010年12月8日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432" w:hRule="atLeast"/>
          <w:jc w:val="center"/>
        </w:trPr>
        <w:tc>
          <w:tcPr>
            <w:tcW w:w="547"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19</w:t>
            </w:r>
          </w:p>
        </w:tc>
        <w:tc>
          <w:tcPr>
            <w:tcW w:w="2490"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一种畜禽舍环境采集分析控制系统</w:t>
            </w:r>
          </w:p>
        </w:tc>
        <w:tc>
          <w:tcPr>
            <w:tcW w:w="1546"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第2480418号</w:t>
            </w:r>
          </w:p>
        </w:tc>
        <w:tc>
          <w:tcPr>
            <w:tcW w:w="2393"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ZL 2012 2 0216499.6</w:t>
            </w:r>
          </w:p>
        </w:tc>
        <w:tc>
          <w:tcPr>
            <w:tcW w:w="1854" w:type="dxa"/>
            <w:vAlign w:val="center"/>
          </w:tcPr>
          <w:p>
            <w:pPr>
              <w:autoSpaceDN w:val="0"/>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2012年10月31日</w:t>
            </w:r>
          </w:p>
        </w:tc>
      </w:tr>
    </w:tbl>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本项目通过选择清洁生产工艺，控制厂内用水量，节约资源，减少污染物的排放，在生产工艺和设备水平上处于国内领先水平。具体见表3.1-12。</w:t>
      </w:r>
    </w:p>
    <w:p>
      <w:pPr>
        <w:spacing w:afterLines="30" w:line="500" w:lineRule="exact"/>
        <w:ind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表3.1-12             本项目生产工艺与装备先进性分析</w:t>
      </w:r>
    </w:p>
    <w:tbl>
      <w:tblPr>
        <w:tblStyle w:val="25"/>
        <w:tblW w:w="876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85"/>
        <w:gridCol w:w="1364"/>
        <w:gridCol w:w="3405"/>
        <w:gridCol w:w="340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blHeader/>
        </w:trPr>
        <w:tc>
          <w:tcPr>
            <w:tcW w:w="585" w:type="dxa"/>
            <w:tcMar>
              <w:top w:w="57" w:type="dxa"/>
              <w:left w:w="57" w:type="dxa"/>
              <w:bottom w:w="57" w:type="dxa"/>
              <w:right w:w="57" w:type="dxa"/>
            </w:tcMar>
            <w:vAlign w:val="center"/>
          </w:tcPr>
          <w:p>
            <w:pPr>
              <w:spacing w:line="240" w:lineRule="auto"/>
              <w:ind w:firstLine="0" w:firstLineChars="0"/>
              <w:jc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序号</w:t>
            </w:r>
          </w:p>
        </w:tc>
        <w:tc>
          <w:tcPr>
            <w:tcW w:w="1364" w:type="dxa"/>
            <w:tcMar>
              <w:top w:w="57" w:type="dxa"/>
              <w:left w:w="57" w:type="dxa"/>
              <w:bottom w:w="57" w:type="dxa"/>
              <w:right w:w="57" w:type="dxa"/>
            </w:tcMar>
            <w:vAlign w:val="center"/>
          </w:tcPr>
          <w:p>
            <w:pPr>
              <w:spacing w:line="240" w:lineRule="auto"/>
              <w:ind w:firstLine="0" w:firstLineChars="0"/>
              <w:jc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相关系统</w:t>
            </w:r>
          </w:p>
        </w:tc>
        <w:tc>
          <w:tcPr>
            <w:tcW w:w="3405" w:type="dxa"/>
            <w:tcMar>
              <w:top w:w="57" w:type="dxa"/>
              <w:left w:w="57" w:type="dxa"/>
              <w:bottom w:w="57" w:type="dxa"/>
              <w:right w:w="57" w:type="dxa"/>
            </w:tcMar>
            <w:vAlign w:val="center"/>
          </w:tcPr>
          <w:p>
            <w:pPr>
              <w:spacing w:line="240" w:lineRule="auto"/>
              <w:ind w:firstLine="0" w:firstLineChars="0"/>
              <w:jc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本项目所用工艺</w:t>
            </w:r>
          </w:p>
        </w:tc>
        <w:tc>
          <w:tcPr>
            <w:tcW w:w="3406" w:type="dxa"/>
            <w:tcMar>
              <w:top w:w="57" w:type="dxa"/>
              <w:left w:w="57" w:type="dxa"/>
              <w:bottom w:w="57" w:type="dxa"/>
              <w:right w:w="57" w:type="dxa"/>
            </w:tcMar>
            <w:vAlign w:val="center"/>
          </w:tcPr>
          <w:p>
            <w:pPr>
              <w:spacing w:line="240" w:lineRule="auto"/>
              <w:ind w:firstLine="0" w:firstLineChars="0"/>
              <w:jc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本项目工艺/设备先进性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585" w:type="dxa"/>
            <w:tcMar>
              <w:top w:w="57" w:type="dxa"/>
              <w:left w:w="57" w:type="dxa"/>
              <w:bottom w:w="57" w:type="dxa"/>
              <w:right w:w="57" w:type="dxa"/>
            </w:tcMar>
            <w:vAlign w:val="center"/>
          </w:tcPr>
          <w:p>
            <w:pPr>
              <w:spacing w:line="240" w:lineRule="auto"/>
              <w:ind w:firstLine="0" w:firstLineChars="0"/>
              <w:jc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1</w:t>
            </w:r>
          </w:p>
        </w:tc>
        <w:tc>
          <w:tcPr>
            <w:tcW w:w="1364" w:type="dxa"/>
            <w:tcMar>
              <w:top w:w="57" w:type="dxa"/>
              <w:left w:w="57" w:type="dxa"/>
              <w:bottom w:w="57" w:type="dxa"/>
              <w:right w:w="57" w:type="dxa"/>
            </w:tcMar>
            <w:vAlign w:val="center"/>
          </w:tcPr>
          <w:p>
            <w:pPr>
              <w:spacing w:line="240" w:lineRule="auto"/>
              <w:ind w:firstLine="0" w:firstLineChars="0"/>
              <w:jc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上料系统</w:t>
            </w:r>
          </w:p>
        </w:tc>
        <w:tc>
          <w:tcPr>
            <w:tcW w:w="3405" w:type="dxa"/>
            <w:tcMar>
              <w:top w:w="57" w:type="dxa"/>
              <w:left w:w="57" w:type="dxa"/>
              <w:bottom w:w="57" w:type="dxa"/>
              <w:right w:w="57" w:type="dxa"/>
            </w:tcMar>
            <w:vAlign w:val="center"/>
          </w:tcPr>
          <w:p>
            <w:pPr>
              <w:spacing w:line="240" w:lineRule="auto"/>
              <w:ind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用全自动配送上料系统，机械化操作，定时定量供应饲料。</w:t>
            </w:r>
          </w:p>
        </w:tc>
        <w:tc>
          <w:tcPr>
            <w:tcW w:w="3406" w:type="dxa"/>
            <w:tcMar>
              <w:top w:w="57" w:type="dxa"/>
              <w:left w:w="57" w:type="dxa"/>
              <w:bottom w:w="57" w:type="dxa"/>
              <w:right w:w="57" w:type="dxa"/>
            </w:tcMar>
            <w:vAlign w:val="center"/>
          </w:tcPr>
          <w:p>
            <w:pPr>
              <w:spacing w:line="240" w:lineRule="auto"/>
              <w:ind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全自动配送上料系统在保证生猪饮食需求的同时，减少浪费，节约人力和饲料用量，降低生产成本。</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585" w:type="dxa"/>
            <w:tcMar>
              <w:top w:w="57" w:type="dxa"/>
              <w:left w:w="57" w:type="dxa"/>
              <w:bottom w:w="57" w:type="dxa"/>
              <w:right w:w="57" w:type="dxa"/>
            </w:tcMar>
            <w:vAlign w:val="center"/>
          </w:tcPr>
          <w:p>
            <w:pPr>
              <w:spacing w:line="240" w:lineRule="auto"/>
              <w:ind w:firstLine="0" w:firstLineChars="0"/>
              <w:jc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2</w:t>
            </w:r>
          </w:p>
        </w:tc>
        <w:tc>
          <w:tcPr>
            <w:tcW w:w="1364" w:type="dxa"/>
            <w:tcMar>
              <w:top w:w="57" w:type="dxa"/>
              <w:left w:w="57" w:type="dxa"/>
              <w:bottom w:w="57" w:type="dxa"/>
              <w:right w:w="57" w:type="dxa"/>
            </w:tcMar>
            <w:vAlign w:val="center"/>
          </w:tcPr>
          <w:p>
            <w:pPr>
              <w:spacing w:line="240" w:lineRule="auto"/>
              <w:ind w:firstLine="0" w:firstLineChars="0"/>
              <w:jc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饮水系统</w:t>
            </w:r>
          </w:p>
        </w:tc>
        <w:tc>
          <w:tcPr>
            <w:tcW w:w="3405" w:type="dxa"/>
            <w:tcMar>
              <w:top w:w="57" w:type="dxa"/>
              <w:left w:w="57" w:type="dxa"/>
              <w:bottom w:w="57" w:type="dxa"/>
              <w:right w:w="57" w:type="dxa"/>
            </w:tcMar>
            <w:vAlign w:val="center"/>
          </w:tcPr>
          <w:p>
            <w:pPr>
              <w:spacing w:line="240" w:lineRule="auto"/>
              <w:ind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采用先进的限位式饮水器，生猪需饮水时，饮水器与空气接触，内部压力大于外部压力，水自动地从管内流出直至液面高度在2cm时饮水器自动停止供水。</w:t>
            </w:r>
          </w:p>
        </w:tc>
        <w:tc>
          <w:tcPr>
            <w:tcW w:w="3406" w:type="dxa"/>
            <w:tcMar>
              <w:top w:w="57" w:type="dxa"/>
              <w:left w:w="57" w:type="dxa"/>
              <w:bottom w:w="57" w:type="dxa"/>
              <w:right w:w="57" w:type="dxa"/>
            </w:tcMar>
            <w:vAlign w:val="center"/>
          </w:tcPr>
          <w:p>
            <w:pPr>
              <w:spacing w:line="240" w:lineRule="auto"/>
              <w:ind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限位式饮水器在保证生猪随时饮用新鲜水的同时，避免不必要的浪费，节约水资源，更适合大规模集约化养殖。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585" w:type="dxa"/>
            <w:tcMar>
              <w:top w:w="57" w:type="dxa"/>
              <w:left w:w="57" w:type="dxa"/>
              <w:bottom w:w="57" w:type="dxa"/>
              <w:right w:w="57" w:type="dxa"/>
            </w:tcMar>
            <w:vAlign w:val="center"/>
          </w:tcPr>
          <w:p>
            <w:pPr>
              <w:spacing w:line="240" w:lineRule="auto"/>
              <w:ind w:firstLine="0" w:firstLineChars="0"/>
              <w:jc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3</w:t>
            </w:r>
          </w:p>
        </w:tc>
        <w:tc>
          <w:tcPr>
            <w:tcW w:w="1364" w:type="dxa"/>
            <w:tcMar>
              <w:top w:w="57" w:type="dxa"/>
              <w:left w:w="57" w:type="dxa"/>
              <w:bottom w:w="57" w:type="dxa"/>
              <w:right w:w="57" w:type="dxa"/>
            </w:tcMar>
            <w:vAlign w:val="center"/>
          </w:tcPr>
          <w:p>
            <w:pPr>
              <w:spacing w:line="240" w:lineRule="auto"/>
              <w:ind w:firstLine="0" w:firstLineChars="0"/>
              <w:jc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控温系统</w:t>
            </w:r>
          </w:p>
        </w:tc>
        <w:tc>
          <w:tcPr>
            <w:tcW w:w="3405" w:type="dxa"/>
            <w:tcMar>
              <w:top w:w="57" w:type="dxa"/>
              <w:left w:w="57" w:type="dxa"/>
              <w:bottom w:w="57" w:type="dxa"/>
              <w:right w:w="57" w:type="dxa"/>
            </w:tcMar>
            <w:vAlign w:val="center"/>
          </w:tcPr>
          <w:p>
            <w:pPr>
              <w:spacing w:line="240" w:lineRule="auto"/>
              <w:ind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项目通过优化猪舍结构设计、墙体做隔热保温层来切断猪舍内外热传递。同时，猪舍冬季通风换气时，通过热交换系统对进、出风实行热交换；夏季使用电脑自动控制喷淋降温，使猪舍内温度保持在猪适宜的温度范围内。</w:t>
            </w:r>
          </w:p>
        </w:tc>
        <w:tc>
          <w:tcPr>
            <w:tcW w:w="3406" w:type="dxa"/>
            <w:tcMar>
              <w:top w:w="57" w:type="dxa"/>
              <w:left w:w="57" w:type="dxa"/>
              <w:bottom w:w="57" w:type="dxa"/>
              <w:right w:w="57" w:type="dxa"/>
            </w:tcMar>
            <w:vAlign w:val="center"/>
          </w:tcPr>
          <w:p>
            <w:pPr>
              <w:spacing w:line="240" w:lineRule="auto"/>
              <w:ind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本项目墙体外铺挤塑式聚苯乙烯隔热保温板（冬季有很好的阻热作用）+猪舍内热交换器（冬季有效利用热量，较少热量损失）+风机（夏季有很好的通风作用）+电脑控温，可有效起到控温作用，保持猪舍内温度相对稳定，有利于生猪保持健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trPr>
        <w:tc>
          <w:tcPr>
            <w:tcW w:w="585" w:type="dxa"/>
            <w:tcMar>
              <w:top w:w="57" w:type="dxa"/>
              <w:left w:w="57" w:type="dxa"/>
              <w:bottom w:w="57" w:type="dxa"/>
              <w:right w:w="57" w:type="dxa"/>
            </w:tcMar>
            <w:vAlign w:val="center"/>
          </w:tcPr>
          <w:p>
            <w:pPr>
              <w:tabs>
                <w:tab w:val="left" w:pos="2709"/>
              </w:tabs>
              <w:spacing w:line="240" w:lineRule="auto"/>
              <w:ind w:firstLine="0" w:firstLineChars="0"/>
              <w:jc w:val="center"/>
              <w:rPr>
                <w:rFonts w:hint="default" w:ascii="Times New Roman" w:hAnsi="Times New Roman" w:cs="Times New Roman"/>
                <w:bCs/>
                <w:snapToGrid w:val="0"/>
                <w:color w:val="auto"/>
                <w:sz w:val="21"/>
                <w:szCs w:val="21"/>
              </w:rPr>
            </w:pPr>
            <w:r>
              <w:rPr>
                <w:rFonts w:hint="default" w:ascii="Times New Roman" w:hAnsi="Times New Roman" w:cs="Times New Roman"/>
                <w:bCs/>
                <w:color w:val="auto"/>
                <w:sz w:val="21"/>
                <w:szCs w:val="21"/>
              </w:rPr>
              <w:t>4</w:t>
            </w:r>
          </w:p>
        </w:tc>
        <w:tc>
          <w:tcPr>
            <w:tcW w:w="1364" w:type="dxa"/>
            <w:tcMar>
              <w:top w:w="57" w:type="dxa"/>
              <w:left w:w="57" w:type="dxa"/>
              <w:bottom w:w="57" w:type="dxa"/>
              <w:right w:w="57" w:type="dxa"/>
            </w:tcMar>
            <w:vAlign w:val="center"/>
          </w:tcPr>
          <w:p>
            <w:pPr>
              <w:tabs>
                <w:tab w:val="left" w:pos="2709"/>
              </w:tabs>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清粪</w:t>
            </w:r>
          </w:p>
          <w:p>
            <w:pPr>
              <w:tabs>
                <w:tab w:val="left" w:pos="2709"/>
              </w:tabs>
              <w:spacing w:line="240" w:lineRule="auto"/>
              <w:ind w:firstLine="0" w:firstLineChars="0"/>
              <w:jc w:val="center"/>
              <w:rPr>
                <w:rFonts w:hint="default" w:ascii="Times New Roman" w:hAnsi="Times New Roman" w:cs="Times New Roman"/>
                <w:bCs/>
                <w:snapToGrid w:val="0"/>
                <w:color w:val="auto"/>
                <w:sz w:val="21"/>
                <w:szCs w:val="21"/>
              </w:rPr>
            </w:pPr>
            <w:r>
              <w:rPr>
                <w:rFonts w:hint="default" w:ascii="Times New Roman" w:hAnsi="Times New Roman" w:cs="Times New Roman"/>
                <w:bCs/>
                <w:color w:val="auto"/>
                <w:sz w:val="21"/>
                <w:szCs w:val="21"/>
              </w:rPr>
              <w:t>工艺</w:t>
            </w:r>
          </w:p>
        </w:tc>
        <w:tc>
          <w:tcPr>
            <w:tcW w:w="3405" w:type="dxa"/>
            <w:tcMar>
              <w:top w:w="57" w:type="dxa"/>
              <w:left w:w="57" w:type="dxa"/>
              <w:bottom w:w="57" w:type="dxa"/>
              <w:right w:w="57" w:type="dxa"/>
            </w:tcMar>
            <w:vAlign w:val="center"/>
          </w:tcPr>
          <w:p>
            <w:pPr>
              <w:spacing w:line="240" w:lineRule="auto"/>
              <w:ind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采用干清粪工艺：猪舍内产生的猪粪由于猪的踩踏及重力作用离开猪舍进入猪舍底部的粪污储存池，当猪进行转栏时，排空粪污储存池，粪污通过排污管道进入干湿固液分离阶段，固液分离后的干物质制在堆肥发酵区堆肥发酵后制有机肥，液体经黑膜沼气池处理后，用于农田施肥，粪尿均实现综合利用</w:t>
            </w:r>
          </w:p>
        </w:tc>
        <w:tc>
          <w:tcPr>
            <w:tcW w:w="3406" w:type="dxa"/>
            <w:tcMar>
              <w:top w:w="57" w:type="dxa"/>
              <w:left w:w="57" w:type="dxa"/>
              <w:bottom w:w="57" w:type="dxa"/>
              <w:right w:w="57" w:type="dxa"/>
            </w:tcMar>
            <w:vAlign w:val="center"/>
          </w:tcPr>
          <w:p>
            <w:pPr>
              <w:spacing w:line="240" w:lineRule="auto"/>
              <w:ind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本项目养殖模式实现了干清粪，符合技术规范要求；适合进行大规模集约化养殖；实现了机械化操作，减少了劳动强度和人力资源消耗；固液分离效果良好；能耗少，占地面小。</w:t>
            </w:r>
          </w:p>
        </w:tc>
      </w:tr>
    </w:tbl>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（2）资源能源利用指标</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①饲料的利用</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原材料的清洁生产指标主要从原材料的毒性、生态影响、可再生性、能源强度以及可回收利用这五个方面建立指标。生猪养殖所用饲料为玉米、豆粕、麸皮以及预混料，作为养殖项目，这些是必须消耗的，从清洁生产角度分析，其最终表征为饲料配比（即消耗量的多少、利用率的高低）、猪的料肉比、生长速度、出栏周期等方面。</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合理选择适合自己场内养殖品种的饲料以及饲料配制比例，直接关联着饲料利用率和转化率的高低。项目喂养饲料由其他养殖厂统一供给，饲料内不含兴奋剂、镇静剂和各种违禁药品，各种饲料添加剂均不超标，符合《饲料卫生标准》（GB13078-2001）和《饲料和饲料添加剂管理条例》中的相关规定，保证了饲料的清洁性、营养型和安全性，避免了由原料带来的危害和损失，属清洁原料。</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本工程各猪舍配套设置料基，公司结合项目特点，进行合理饲料配比。本项目主要以母猪饲养为主，结合母猪各阶段的生长特征，采用现代化自动饲养技术，合理分栏、调整饲料配比，提高饲料利用率，并能减少臭气产生量，以达到母猪最大繁育量的目的。</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②水资源的利用</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牧原食品股份有限公司自1992年建厂至今一直致力于节能减排、清洁生产、综合利用方面的研究，多次改进生产及治污措施，研制成功了多项节水、节能、减排的生产设备及治污方式，从源头控制水资源的利用。</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本项目所采用的全漏缝地板（已取得专利技术，专利号：ZL2009 2 0224050.2），自身设计节约了原材料，根据不同阶段猪群设计漏缝地板缝宽，有效保护了不同阶段猪群的猪蹄，同时更保证了猪群排放的粪便全部落入粪道，确保了猪舍的干净卫生，不需每天清洗，只在转栏后，对猪舍漏缝板进行高压冲洗消毒，可最大程度减少猪舍冲洗用水。</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本项目养殖过程中采用限位饮水器，有效减少了猪玩水及猪嘴漏水的浪费，并在日常工作中加强管理，定时定量结合重奖重罚，以杜绝设备滴漏造成的浪费。夏季降温采用电脑控制喷淋水量，猪转栏时利用高压水枪配合过氧乙酸溶液冲洗消毒，最大限度的从源头减少了水资源的使用量，提高了资源利用率，符合清洁生产要求。</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此外，公司还采取电脑控制猪舍降温用水，根据牧原公司统计数据显示：通过电脑控制，降温用水量比传统方式减少了大约71%的用水量；使用自主研发的自动化饲喂系统，有效降低饲料搅拌过程用水量和饲料输送过程水分损耗</w:t>
      </w:r>
      <w:r>
        <w:rPr>
          <w:rFonts w:hint="default" w:ascii="Times New Roman" w:hAnsi="Times New Roman" w:cs="Times New Roman"/>
          <w:bCs/>
          <w:color w:val="auto"/>
          <w:lang w:eastAsia="zh-CN"/>
        </w:rPr>
        <w:t>，</w:t>
      </w:r>
      <w:r>
        <w:rPr>
          <w:rFonts w:hint="default" w:ascii="Times New Roman" w:hAnsi="Times New Roman" w:cs="Times New Roman"/>
          <w:bCs/>
          <w:color w:val="auto"/>
        </w:rPr>
        <w:t>实行绩效管理，定量控制用水量。</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综上，牧原公司对饲喂、清洁、降温等养殖过程中的各个环节均采取了节水措施，其节水效果远远高于全国同行业平均水平。</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（3）产品指标</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在我国，化肥的推广对农业增产增收起到了关键作用，然而，由于过量施用化学肥料，有机肥不足，致使农田生态环境和土壤理化性状等受到不同程度的破坏，在一定程度上影响了农产品的品质。我国农业产品要与西方国家和世界其它国家农产品进行竞争，其首要前提就是要推广施用“绿色无公害”肥料。以本项目产生的猪粪在堆肥发酵区制有机肥，不但实现了本项目猪粪的无害化处理，同时也实现了粪便废物的回收利用，同时猪粪生产的有机肥是发展绿色农业、生态农业、环保农业、高效农业的最理想的肥料，是当前和今后肥料生产的发展方向，使用该肥，可显著提高各种植物产品的品质，达到无公害、绿色、有机食品和产品的要求，符合清洁生产要求。</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（4）污染物产生指标</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项目污染物产生情况及防治措施见表3.1-13。</w:t>
      </w:r>
    </w:p>
    <w:p>
      <w:pPr>
        <w:spacing w:line="500" w:lineRule="exact"/>
        <w:ind w:firstLine="482"/>
        <w:jc w:val="left"/>
        <w:rPr>
          <w:rFonts w:hint="default" w:ascii="Times New Roman" w:hAnsi="Times New Roman" w:cs="Times New Roman"/>
          <w:b/>
          <w:color w:val="auto"/>
          <w:szCs w:val="21"/>
          <w:u w:val="single"/>
        </w:rPr>
      </w:pPr>
      <w:r>
        <w:rPr>
          <w:rFonts w:hint="default" w:ascii="Times New Roman" w:hAnsi="Times New Roman" w:cs="Times New Roman"/>
          <w:b/>
          <w:color w:val="auto"/>
          <w:szCs w:val="21"/>
        </w:rPr>
        <w:t>表3.1-13               主要污染物产生情况一览表</w:t>
      </w:r>
    </w:p>
    <w:tbl>
      <w:tblPr>
        <w:tblStyle w:val="25"/>
        <w:tblW w:w="878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8"/>
        <w:gridCol w:w="2016"/>
        <w:gridCol w:w="2065"/>
        <w:gridCol w:w="300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698" w:type="dxa"/>
            <w:tcMar>
              <w:left w:w="28" w:type="dxa"/>
              <w:right w:w="28"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工艺</w:t>
            </w:r>
          </w:p>
        </w:tc>
        <w:tc>
          <w:tcPr>
            <w:tcW w:w="2016" w:type="dxa"/>
            <w:tcMar>
              <w:left w:w="28" w:type="dxa"/>
              <w:right w:w="28"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工段</w:t>
            </w:r>
          </w:p>
        </w:tc>
        <w:tc>
          <w:tcPr>
            <w:tcW w:w="2065" w:type="dxa"/>
            <w:tcMar>
              <w:left w:w="28" w:type="dxa"/>
              <w:right w:w="28"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主要污染物</w:t>
            </w:r>
          </w:p>
        </w:tc>
        <w:tc>
          <w:tcPr>
            <w:tcW w:w="3007" w:type="dxa"/>
            <w:tcMar>
              <w:left w:w="28" w:type="dxa"/>
              <w:right w:w="28"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处理措施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98" w:type="dxa"/>
            <w:vMerge w:val="restart"/>
            <w:tcMar>
              <w:left w:w="28" w:type="dxa"/>
              <w:right w:w="28"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生猪养殖</w:t>
            </w:r>
          </w:p>
        </w:tc>
        <w:tc>
          <w:tcPr>
            <w:tcW w:w="2016" w:type="dxa"/>
            <w:tcMar>
              <w:left w:w="28" w:type="dxa"/>
              <w:right w:w="28"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所有工段</w:t>
            </w:r>
          </w:p>
        </w:tc>
        <w:tc>
          <w:tcPr>
            <w:tcW w:w="2065" w:type="dxa"/>
            <w:tcMar>
              <w:left w:w="28" w:type="dxa"/>
              <w:right w:w="28"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噪声</w:t>
            </w:r>
          </w:p>
        </w:tc>
        <w:tc>
          <w:tcPr>
            <w:tcW w:w="3007" w:type="dxa"/>
            <w:tcMar>
              <w:left w:w="28" w:type="dxa"/>
              <w:right w:w="28"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建设围墙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1698" w:type="dxa"/>
            <w:vMerge w:val="continue"/>
            <w:tcMar>
              <w:left w:w="28" w:type="dxa"/>
              <w:right w:w="28"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2016" w:type="dxa"/>
            <w:tcMar>
              <w:left w:w="28" w:type="dxa"/>
              <w:right w:w="28"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所有工段</w:t>
            </w:r>
          </w:p>
        </w:tc>
        <w:tc>
          <w:tcPr>
            <w:tcW w:w="2065" w:type="dxa"/>
            <w:tcMar>
              <w:left w:w="28" w:type="dxa"/>
              <w:right w:w="28"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粪便、尿液、恶臭</w:t>
            </w:r>
          </w:p>
        </w:tc>
        <w:tc>
          <w:tcPr>
            <w:tcW w:w="3007" w:type="dxa"/>
            <w:tcMar>
              <w:left w:w="28" w:type="dxa"/>
              <w:right w:w="28"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综合利用与污染治理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98" w:type="dxa"/>
            <w:vMerge w:val="restart"/>
            <w:tcMar>
              <w:left w:w="28" w:type="dxa"/>
              <w:right w:w="28"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污染治理与综合利用</w:t>
            </w:r>
          </w:p>
        </w:tc>
        <w:tc>
          <w:tcPr>
            <w:tcW w:w="2016" w:type="dxa"/>
            <w:tcMar>
              <w:left w:w="28" w:type="dxa"/>
              <w:right w:w="28"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厌氧发酵系统</w:t>
            </w:r>
          </w:p>
        </w:tc>
        <w:tc>
          <w:tcPr>
            <w:tcW w:w="2065" w:type="dxa"/>
            <w:tcMar>
              <w:left w:w="28" w:type="dxa"/>
              <w:right w:w="28"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沼液</w:t>
            </w:r>
          </w:p>
        </w:tc>
        <w:tc>
          <w:tcPr>
            <w:tcW w:w="3007" w:type="dxa"/>
            <w:tcMar>
              <w:left w:w="28" w:type="dxa"/>
              <w:right w:w="28"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综合利用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698" w:type="dxa"/>
            <w:vMerge w:val="continue"/>
            <w:tcMar>
              <w:left w:w="28" w:type="dxa"/>
              <w:right w:w="28"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2016" w:type="dxa"/>
            <w:tcMar>
              <w:left w:w="28" w:type="dxa"/>
              <w:right w:w="28"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所有工段</w:t>
            </w:r>
          </w:p>
        </w:tc>
        <w:tc>
          <w:tcPr>
            <w:tcW w:w="2065" w:type="dxa"/>
            <w:tcMar>
              <w:left w:w="28" w:type="dxa"/>
              <w:right w:w="28"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噪声</w:t>
            </w:r>
          </w:p>
        </w:tc>
        <w:tc>
          <w:tcPr>
            <w:tcW w:w="3007" w:type="dxa"/>
            <w:tcMar>
              <w:left w:w="28" w:type="dxa"/>
              <w:right w:w="28"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基础减振密闭隔声、绿化带降噪</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698" w:type="dxa"/>
            <w:vMerge w:val="continue"/>
            <w:tcMar>
              <w:left w:w="28" w:type="dxa"/>
              <w:right w:w="28"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2016" w:type="dxa"/>
            <w:tcMar>
              <w:left w:w="28" w:type="dxa"/>
              <w:right w:w="28"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养殖</w:t>
            </w:r>
          </w:p>
        </w:tc>
        <w:tc>
          <w:tcPr>
            <w:tcW w:w="2065" w:type="dxa"/>
            <w:tcMar>
              <w:left w:w="28" w:type="dxa"/>
              <w:right w:w="28"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病死猪</w:t>
            </w:r>
          </w:p>
        </w:tc>
        <w:tc>
          <w:tcPr>
            <w:tcW w:w="3007" w:type="dxa"/>
            <w:tcMar>
              <w:left w:w="28" w:type="dxa"/>
              <w:right w:w="28"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在厂区内无害化处理后制作有机肥</w:t>
            </w:r>
          </w:p>
        </w:tc>
      </w:tr>
    </w:tbl>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①废水资源化利用</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正常情况下项目产生的养殖废水经厌氧发酵处理后沼液全部作为农肥用于农田，农闲季节及雨季由</w:t>
      </w:r>
      <w:r>
        <w:rPr>
          <w:rFonts w:hint="default" w:ascii="Times New Roman" w:hAnsi="Times New Roman" w:cs="Times New Roman"/>
          <w:bCs/>
          <w:color w:val="auto"/>
          <w:lang w:eastAsia="zh-CN"/>
        </w:rPr>
        <w:t>沼液存储池</w:t>
      </w:r>
      <w:r>
        <w:rPr>
          <w:rFonts w:hint="default" w:ascii="Times New Roman" w:hAnsi="Times New Roman" w:cs="Times New Roman"/>
          <w:bCs/>
          <w:color w:val="auto"/>
        </w:rPr>
        <w:t>暂时贮存，最大限度的满足资源再利用，不外排。厌氧发酵产生的沼气进行脱水、脱硫等净化处理。沼气宜作为燃料直接利用，本次工程厌氧处理系统产生的沼气用于食堂用气</w:t>
      </w:r>
      <w:r>
        <w:rPr>
          <w:rFonts w:hint="eastAsia" w:cs="Times New Roman"/>
          <w:bCs/>
          <w:color w:val="auto"/>
          <w:lang w:eastAsia="zh-CN"/>
        </w:rPr>
        <w:t>、沼气热水炉</w:t>
      </w:r>
      <w:r>
        <w:rPr>
          <w:rFonts w:hint="default" w:ascii="Times New Roman" w:hAnsi="Times New Roman" w:cs="Times New Roman"/>
          <w:bCs/>
          <w:color w:val="auto"/>
        </w:rPr>
        <w:t>。</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②废气排放达标</w:t>
      </w:r>
    </w:p>
    <w:p>
      <w:pPr>
        <w:pStyle w:val="35"/>
        <w:ind w:firstLine="482"/>
        <w:rPr>
          <w:rFonts w:hint="default" w:ascii="Times New Roman" w:hAnsi="Times New Roman" w:cs="Times New Roman"/>
          <w:bCs/>
          <w:color w:val="auto"/>
        </w:rPr>
      </w:pPr>
      <w:r>
        <w:rPr>
          <w:rFonts w:hint="default" w:ascii="Times New Roman" w:hAnsi="Times New Roman" w:cs="Times New Roman"/>
          <w:bCs/>
          <w:color w:val="auto"/>
        </w:rPr>
        <w:t>项目废气排放主要为恶臭气体。臭气主要来自养殖区、固粪处理区、污水处理站等，通过及时冲圈、使用饲料添加剂、喷洒除臭剂等措施保证场界臭气排放达标。</w:t>
      </w:r>
      <w:r>
        <w:rPr>
          <w:rFonts w:hint="default" w:ascii="Times New Roman" w:hAnsi="Times New Roman" w:cs="Times New Roman"/>
          <w:b w:val="0"/>
          <w:bCs/>
          <w:color w:val="auto"/>
          <w:u w:val="none"/>
        </w:rPr>
        <w:t>NH</w:t>
      </w:r>
      <w:r>
        <w:rPr>
          <w:rFonts w:hint="default" w:ascii="Times New Roman" w:hAnsi="Times New Roman" w:cs="Times New Roman"/>
          <w:b w:val="0"/>
          <w:bCs/>
          <w:color w:val="auto"/>
          <w:u w:val="none"/>
          <w:vertAlign w:val="subscript"/>
        </w:rPr>
        <w:t>3</w:t>
      </w:r>
      <w:r>
        <w:rPr>
          <w:rFonts w:hint="default" w:ascii="Times New Roman" w:hAnsi="Times New Roman" w:cs="Times New Roman"/>
          <w:b w:val="0"/>
          <w:bCs/>
          <w:color w:val="auto"/>
          <w:u w:val="none"/>
        </w:rPr>
        <w:t>和H</w:t>
      </w:r>
      <w:r>
        <w:rPr>
          <w:rFonts w:hint="default" w:ascii="Times New Roman" w:hAnsi="Times New Roman" w:cs="Times New Roman"/>
          <w:b w:val="0"/>
          <w:bCs/>
          <w:color w:val="auto"/>
          <w:u w:val="none"/>
          <w:vertAlign w:val="subscript"/>
        </w:rPr>
        <w:t>2</w:t>
      </w:r>
      <w:r>
        <w:rPr>
          <w:rFonts w:hint="default" w:ascii="Times New Roman" w:hAnsi="Times New Roman" w:cs="Times New Roman"/>
          <w:b w:val="0"/>
          <w:bCs/>
          <w:color w:val="auto"/>
          <w:u w:val="none"/>
        </w:rPr>
        <w:t>S执行《恶臭污染物排放标准》</w:t>
      </w:r>
      <w:r>
        <w:rPr>
          <w:rFonts w:hint="default" w:ascii="Times New Roman" w:hAnsi="Times New Roman" w:cs="Times New Roman"/>
          <w:b w:val="0"/>
          <w:bCs/>
          <w:color w:val="auto"/>
          <w:u w:val="none"/>
          <w:lang w:eastAsia="zh-CN"/>
        </w:rPr>
        <w:t>（</w:t>
      </w:r>
      <w:r>
        <w:rPr>
          <w:rFonts w:hint="default" w:ascii="Times New Roman" w:hAnsi="Times New Roman" w:cs="Times New Roman"/>
          <w:b w:val="0"/>
          <w:bCs/>
          <w:color w:val="auto"/>
          <w:u w:val="none"/>
          <w:lang w:val="en-US" w:eastAsia="zh-CN"/>
        </w:rPr>
        <w:t>GB14554-93</w:t>
      </w:r>
      <w:r>
        <w:rPr>
          <w:rFonts w:hint="default" w:ascii="Times New Roman" w:hAnsi="Times New Roman" w:cs="Times New Roman"/>
          <w:b w:val="0"/>
          <w:bCs/>
          <w:color w:val="auto"/>
          <w:u w:val="none"/>
          <w:lang w:eastAsia="zh-CN"/>
        </w:rPr>
        <w:t>）</w:t>
      </w:r>
      <w:r>
        <w:rPr>
          <w:rFonts w:hint="default" w:ascii="Times New Roman" w:hAnsi="Times New Roman" w:cs="Times New Roman"/>
          <w:b w:val="0"/>
          <w:bCs/>
          <w:color w:val="auto"/>
          <w:u w:val="none"/>
        </w:rPr>
        <w:t>，臭气浓度执行《畜禽养殖业污染物排放标准》。</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③噪声达标排放</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项目营运期间猪舍风机运转、污水处理设施设备运转产生的噪声，通过采取设备基础减振、场房密闭隔声等措施，再经场界距离衰减后，可以在场界噪声达标排放。</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④固体废物资源化利用</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本项目猪粪既是固废同时也是极佳的农肥，通过场区</w:t>
      </w:r>
      <w:r>
        <w:rPr>
          <w:rFonts w:hint="default" w:ascii="Times New Roman" w:hAnsi="Times New Roman" w:cs="Times New Roman"/>
          <w:bCs/>
          <w:color w:val="auto"/>
          <w:lang w:eastAsia="zh-CN"/>
        </w:rPr>
        <w:t>固粪处理区</w:t>
      </w:r>
      <w:r>
        <w:rPr>
          <w:rFonts w:hint="default" w:ascii="Times New Roman" w:hAnsi="Times New Roman" w:cs="Times New Roman"/>
          <w:bCs/>
          <w:color w:val="auto"/>
        </w:rPr>
        <w:t>处理后转化为有机农肥还田利用，并进一步替代化肥使用量；病死猪高温化制处理后的残渣作为原料，外售于有机肥料厂。固废进行了资源化利用，具有良好的生态环境效益和社会效益。</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⑤猪舍内部热循环</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本项目不设取暖锅炉，冬季猪舍取暖采用内部热循环系统，在抽走猪舍内污浊高温空气的同时，使新鲜空气进入猪舍，利用猪自身的体表散热，通过热交换使新鲜空气温度大大提高，并通过布风管均匀进入猪舍内，既满足了猪群对新鲜空气的需求，又防止了过度通风带来不必要的热量损失。</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（5）废物回收利用指标</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本项目固液分离机产生的猪粪固形物在固粪处理区进行堆肥发酵，制成有机肥</w:t>
      </w:r>
      <w:r>
        <w:rPr>
          <w:rFonts w:hint="default" w:ascii="Times New Roman" w:hAnsi="Times New Roman" w:cs="Times New Roman"/>
          <w:bCs/>
          <w:color w:val="auto"/>
          <w:lang w:eastAsia="zh-CN"/>
        </w:rPr>
        <w:t>基料</w:t>
      </w:r>
      <w:r>
        <w:rPr>
          <w:rFonts w:hint="default" w:ascii="Times New Roman" w:hAnsi="Times New Roman" w:cs="Times New Roman"/>
          <w:bCs/>
          <w:color w:val="auto"/>
        </w:rPr>
        <w:t>外售，产生的医疗废物定期交由有资质单位进行处置；废脱硫剂由厂家回收，生活垃圾送环卫部门统一处理</w:t>
      </w:r>
      <w:r>
        <w:rPr>
          <w:rFonts w:hint="default" w:ascii="Times New Roman" w:hAnsi="Times New Roman" w:cs="Times New Roman"/>
          <w:bCs/>
          <w:color w:val="auto"/>
          <w:lang w:eastAsia="zh-CN"/>
        </w:rPr>
        <w:t>、废导热油、废</w:t>
      </w:r>
      <w:r>
        <w:rPr>
          <w:rFonts w:hint="default" w:ascii="Times New Roman" w:hAnsi="Times New Roman" w:cs="Times New Roman"/>
          <w:bCs/>
          <w:color w:val="auto"/>
          <w:lang w:val="en-US" w:eastAsia="zh-CN"/>
        </w:rPr>
        <w:t>UV灯管</w:t>
      </w:r>
      <w:r>
        <w:rPr>
          <w:rFonts w:hint="default" w:ascii="Times New Roman" w:hAnsi="Times New Roman" w:cs="Times New Roman"/>
          <w:bCs/>
          <w:color w:val="auto"/>
          <w:lang w:eastAsia="zh-CN"/>
        </w:rPr>
        <w:t>交由有资质单位处理、沼渣进入收集池再经固液分离后进行堆肥发酵</w:t>
      </w:r>
      <w:r>
        <w:rPr>
          <w:rFonts w:hint="default" w:ascii="Times New Roman" w:hAnsi="Times New Roman" w:cs="Times New Roman"/>
          <w:bCs/>
          <w:color w:val="auto"/>
        </w:rPr>
        <w:t>。</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综上所述，本项目产生的固废均能得到合理利用和有效处置，满足清洁生产废物回收利用评价指标要求。</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（6）环境管理要求</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①生产管理</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项目生猪管理采用编号建档方法，每头猪有自己的唯一编号，建立猪系谱，记录其出生时间、出生特征、成年体形、疫苗注射、繁育次数情况等，根据不同的生长阶段给予特定的饲料配比，根据体形特征在培育下一代时做到最好的品种改良，管理较完善。养殖场实行全进全出，合理分栏，节约原料及场地空间。</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②防疫措施的严格性</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严格执行科学的卫生防疫措施，有效预防和控制传染病的发生。</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A.慎重引种。猪场在初期引入种猪时，要严格按照防疫要求，在隔离舍观察40天左右，确保种猪源的无害性；</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B.猪场布局合理，生产、生活区严格分开，生产区周围设立防护设施，非生产人员不得随意进入生产区；</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C.猪场内设病猪隔离舍，对病猪进行隔离观察诊治；对死亡的生猪，实施集中焚烧实现无害化处理，严格进行消毒措施。</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D.对进出养殖场的运输车辆进行严格消毒。</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经以上分析，结合公司拟运营情况以及工程污染物综合利用措施情况分析，本工程清洁生产水平可达到国内清洁生产先进水平。</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3.1.8.2指标对比及评价</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虽然国家尚未制定畜禽养殖类企业的清洁生产标准，但国家对畜禽养殖业干清粪工艺最大排水量有指标，评价仅在此给出工程经过清洁生产后的部分清洁生产指标，并与畜禽养殖业干清粪工艺最大排水量指标对比，见下表。</w:t>
      </w:r>
    </w:p>
    <w:p>
      <w:pPr>
        <w:ind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表3.1-14    本项目与同行业（集约化畜禽养殖业）生产技术指标对比分析</w:t>
      </w:r>
    </w:p>
    <w:tbl>
      <w:tblPr>
        <w:tblStyle w:val="25"/>
        <w:tblW w:w="894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821"/>
        <w:gridCol w:w="2378"/>
        <w:gridCol w:w="324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7" w:type="dxa"/>
            <w:vAlign w:val="center"/>
          </w:tcPr>
          <w:p>
            <w:pPr>
              <w:spacing w:line="240" w:lineRule="auto"/>
              <w:ind w:firstLine="0" w:firstLineChars="0"/>
              <w:jc w:val="center"/>
              <w:textAlignment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项目</w:t>
            </w:r>
          </w:p>
        </w:tc>
        <w:tc>
          <w:tcPr>
            <w:tcW w:w="1821" w:type="dxa"/>
            <w:vAlign w:val="center"/>
          </w:tcPr>
          <w:p>
            <w:pPr>
              <w:spacing w:line="240" w:lineRule="auto"/>
              <w:ind w:firstLine="0" w:firstLineChars="0"/>
              <w:jc w:val="center"/>
              <w:textAlignment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单位</w:t>
            </w:r>
          </w:p>
        </w:tc>
        <w:tc>
          <w:tcPr>
            <w:tcW w:w="2378" w:type="dxa"/>
            <w:vAlign w:val="center"/>
          </w:tcPr>
          <w:p>
            <w:pPr>
              <w:widowControl/>
              <w:spacing w:line="240" w:lineRule="auto"/>
              <w:ind w:firstLine="0" w:firstLineChars="0"/>
              <w:jc w:val="center"/>
              <w:textAlignment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本项目指标</w:t>
            </w:r>
          </w:p>
        </w:tc>
        <w:tc>
          <w:tcPr>
            <w:tcW w:w="3240" w:type="dxa"/>
            <w:vAlign w:val="center"/>
          </w:tcPr>
          <w:p>
            <w:pPr>
              <w:widowControl/>
              <w:spacing w:line="240" w:lineRule="auto"/>
              <w:ind w:firstLine="0" w:firstLineChars="0"/>
              <w:jc w:val="center"/>
              <w:textAlignment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集约化畜禽养殖业干清粪工艺最高允许排水量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507" w:type="dxa"/>
            <w:vAlign w:val="center"/>
          </w:tcPr>
          <w:p>
            <w:pPr>
              <w:spacing w:line="240" w:lineRule="auto"/>
              <w:ind w:firstLine="0" w:firstLineChars="0"/>
              <w:jc w:val="center"/>
              <w:textAlignment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夏季</w:t>
            </w:r>
          </w:p>
        </w:tc>
        <w:tc>
          <w:tcPr>
            <w:tcW w:w="1821" w:type="dxa"/>
            <w:vAlign w:val="center"/>
          </w:tcPr>
          <w:p>
            <w:pPr>
              <w:spacing w:line="240" w:lineRule="auto"/>
              <w:ind w:firstLine="0" w:firstLineChars="0"/>
              <w:jc w:val="center"/>
              <w:textAlignment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m</w:t>
            </w:r>
            <w:r>
              <w:rPr>
                <w:rFonts w:hint="default" w:ascii="Times New Roman" w:hAnsi="Times New Roman" w:cs="Times New Roman"/>
                <w:bCs/>
                <w:snapToGrid w:val="0"/>
                <w:color w:val="auto"/>
                <w:sz w:val="21"/>
                <w:szCs w:val="21"/>
                <w:vertAlign w:val="superscript"/>
              </w:rPr>
              <w:t>3</w:t>
            </w:r>
            <w:r>
              <w:rPr>
                <w:rFonts w:hint="default" w:ascii="Times New Roman" w:hAnsi="Times New Roman" w:cs="Times New Roman"/>
                <w:bCs/>
                <w:snapToGrid w:val="0"/>
                <w:color w:val="auto"/>
                <w:sz w:val="21"/>
                <w:szCs w:val="21"/>
              </w:rPr>
              <w:t>/百头·d</w:t>
            </w:r>
          </w:p>
        </w:tc>
        <w:tc>
          <w:tcPr>
            <w:tcW w:w="2378" w:type="dxa"/>
            <w:vAlign w:val="center"/>
          </w:tcPr>
          <w:p>
            <w:pPr>
              <w:spacing w:line="240" w:lineRule="auto"/>
              <w:ind w:firstLine="0" w:firstLineChars="0"/>
              <w:jc w:val="center"/>
              <w:textAlignment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0.50</w:t>
            </w:r>
          </w:p>
        </w:tc>
        <w:tc>
          <w:tcPr>
            <w:tcW w:w="3240" w:type="dxa"/>
            <w:vAlign w:val="center"/>
          </w:tcPr>
          <w:p>
            <w:pPr>
              <w:spacing w:line="240" w:lineRule="auto"/>
              <w:ind w:firstLine="0" w:firstLineChars="0"/>
              <w:jc w:val="center"/>
              <w:textAlignment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1507" w:type="dxa"/>
            <w:vAlign w:val="center"/>
          </w:tcPr>
          <w:p>
            <w:pPr>
              <w:spacing w:line="240" w:lineRule="auto"/>
              <w:ind w:firstLine="0" w:firstLineChars="0"/>
              <w:jc w:val="center"/>
              <w:textAlignment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冬季</w:t>
            </w:r>
          </w:p>
        </w:tc>
        <w:tc>
          <w:tcPr>
            <w:tcW w:w="1821" w:type="dxa"/>
            <w:vAlign w:val="center"/>
          </w:tcPr>
          <w:p>
            <w:pPr>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snapToGrid w:val="0"/>
                <w:color w:val="auto"/>
                <w:sz w:val="21"/>
                <w:szCs w:val="21"/>
              </w:rPr>
              <w:t>m</w:t>
            </w:r>
            <w:r>
              <w:rPr>
                <w:rFonts w:hint="default" w:ascii="Times New Roman" w:hAnsi="Times New Roman" w:cs="Times New Roman"/>
                <w:bCs/>
                <w:snapToGrid w:val="0"/>
                <w:color w:val="auto"/>
                <w:sz w:val="21"/>
                <w:szCs w:val="21"/>
                <w:vertAlign w:val="superscript"/>
              </w:rPr>
              <w:t>3</w:t>
            </w:r>
            <w:r>
              <w:rPr>
                <w:rFonts w:hint="default" w:ascii="Times New Roman" w:hAnsi="Times New Roman" w:cs="Times New Roman"/>
                <w:bCs/>
                <w:snapToGrid w:val="0"/>
                <w:color w:val="auto"/>
                <w:sz w:val="21"/>
                <w:szCs w:val="21"/>
              </w:rPr>
              <w:t>/百头·d</w:t>
            </w:r>
          </w:p>
        </w:tc>
        <w:tc>
          <w:tcPr>
            <w:tcW w:w="2378" w:type="dxa"/>
            <w:vAlign w:val="center"/>
          </w:tcPr>
          <w:p>
            <w:pPr>
              <w:spacing w:line="240" w:lineRule="auto"/>
              <w:ind w:firstLine="0" w:firstLineChars="0"/>
              <w:jc w:val="center"/>
              <w:textAlignment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0.33</w:t>
            </w:r>
          </w:p>
        </w:tc>
        <w:tc>
          <w:tcPr>
            <w:tcW w:w="3240" w:type="dxa"/>
            <w:vAlign w:val="center"/>
          </w:tcPr>
          <w:p>
            <w:pPr>
              <w:spacing w:line="240" w:lineRule="auto"/>
              <w:ind w:firstLine="0" w:firstLineChars="0"/>
              <w:jc w:val="center"/>
              <w:textAlignment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1.2</w:t>
            </w:r>
          </w:p>
        </w:tc>
      </w:tr>
    </w:tbl>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由以上分析，工程采取清洁生产后，夏季每天百头猪废水排放量0.50m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，冬季每天百头猪废水排放量0.33m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，低于集约化畜禽养殖业干清粪工艺最高允许排水量。</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3.1.8.3清洁生产水平分析</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目前我国尚未制定养猪行业清洁生产标准及相应的指标体系，本次评价通过对 比中外合资企业郏县正大农牧发展有限公司养殖场和牧原食品股份有限公司早期养 殖场的基本情况，确定本项目的清洁生产水平。郏县正大农牧发展有限公司是正大 畜牧投资（北京）有限公司与郏县产业集聚区投资发展有限公司共同出资成立的中 外合资企业，正大集团是泰籍华人创办的知名跨国企业，正大集团业务遍及 20 多个 国家和地区，下属 400 多家子公司。正大集团在生猪养殖过程中遵循循环经济发展 战略、秉持着生态环保理念，积极推进畜禽养殖清洁生产和有机生态农业的发展。 其清洁生产水平可代表国内先进水平</w:t>
      </w:r>
      <w:r>
        <w:rPr>
          <w:rFonts w:hint="default" w:ascii="Times New Roman" w:hAnsi="Times New Roman" w:cs="Times New Roman"/>
          <w:bCs/>
          <w:color w:val="auto"/>
        </w:rPr>
        <w:t>。本项目清洁生产指标和国内先进企业指标对比情况具体见表3.1-15。</w:t>
      </w:r>
    </w:p>
    <w:p>
      <w:pPr>
        <w:spacing w:afterLines="30"/>
        <w:ind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表3.1-15             本项目与同行业生产技术指标对比分析</w:t>
      </w:r>
    </w:p>
    <w:tbl>
      <w:tblPr>
        <w:tblStyle w:val="25"/>
        <w:tblW w:w="894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2970"/>
        <w:gridCol w:w="2311"/>
        <w:gridCol w:w="21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524" w:type="dxa"/>
            <w:tcMar>
              <w:top w:w="57" w:type="dxa"/>
              <w:left w:w="85" w:type="dxa"/>
              <w:bottom w:w="57" w:type="dxa"/>
              <w:right w:w="85" w:type="dxa"/>
            </w:tcMar>
            <w:vAlign w:val="center"/>
          </w:tcPr>
          <w:p>
            <w:pPr>
              <w:spacing w:line="240" w:lineRule="auto"/>
              <w:ind w:firstLine="0" w:firstLineChars="0"/>
              <w:jc w:val="center"/>
              <w:textAlignment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项目</w:t>
            </w:r>
          </w:p>
        </w:tc>
        <w:tc>
          <w:tcPr>
            <w:tcW w:w="2970" w:type="dxa"/>
            <w:tcMar>
              <w:top w:w="57" w:type="dxa"/>
              <w:left w:w="85" w:type="dxa"/>
              <w:bottom w:w="57" w:type="dxa"/>
              <w:right w:w="85" w:type="dxa"/>
            </w:tcMar>
            <w:vAlign w:val="center"/>
          </w:tcPr>
          <w:p>
            <w:pPr>
              <w:spacing w:line="240" w:lineRule="auto"/>
              <w:ind w:firstLine="0" w:firstLineChars="0"/>
              <w:jc w:val="center"/>
              <w:textAlignment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本项目</w:t>
            </w:r>
          </w:p>
        </w:tc>
        <w:tc>
          <w:tcPr>
            <w:tcW w:w="2311" w:type="dxa"/>
            <w:tcMar>
              <w:top w:w="57" w:type="dxa"/>
              <w:left w:w="85" w:type="dxa"/>
              <w:bottom w:w="57" w:type="dxa"/>
              <w:right w:w="85" w:type="dxa"/>
            </w:tcMar>
            <w:vAlign w:val="center"/>
          </w:tcPr>
          <w:p>
            <w:pPr>
              <w:widowControl/>
              <w:spacing w:line="240" w:lineRule="auto"/>
              <w:ind w:firstLine="0" w:firstLineChars="0"/>
              <w:jc w:val="center"/>
              <w:textAlignment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牧原食品股份有限公司猪场（早期）</w:t>
            </w:r>
          </w:p>
        </w:tc>
        <w:tc>
          <w:tcPr>
            <w:tcW w:w="2141" w:type="dxa"/>
            <w:tcMar>
              <w:top w:w="57" w:type="dxa"/>
              <w:left w:w="85" w:type="dxa"/>
              <w:bottom w:w="57" w:type="dxa"/>
              <w:right w:w="85" w:type="dxa"/>
            </w:tcMar>
            <w:vAlign w:val="center"/>
          </w:tcPr>
          <w:p>
            <w:pPr>
              <w:widowControl/>
              <w:spacing w:line="240" w:lineRule="auto"/>
              <w:ind w:firstLine="0" w:firstLineChars="0"/>
              <w:jc w:val="center"/>
              <w:textAlignment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snapToGrid w:val="0"/>
                <w:color w:val="auto"/>
                <w:sz w:val="21"/>
                <w:szCs w:val="21"/>
                <w:lang w:eastAsia="zh-CN"/>
              </w:rPr>
              <w:t>郏县正大农牧发展有限公司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1524" w:type="dxa"/>
            <w:tcMar>
              <w:top w:w="57" w:type="dxa"/>
              <w:left w:w="85" w:type="dxa"/>
              <w:bottom w:w="57" w:type="dxa"/>
              <w:right w:w="85" w:type="dxa"/>
            </w:tcMar>
            <w:vAlign w:val="center"/>
          </w:tcPr>
          <w:p>
            <w:pPr>
              <w:spacing w:line="240" w:lineRule="auto"/>
              <w:ind w:firstLine="0" w:firstLineChars="0"/>
              <w:jc w:val="center"/>
              <w:textAlignment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清粪工艺</w:t>
            </w:r>
          </w:p>
        </w:tc>
        <w:tc>
          <w:tcPr>
            <w:tcW w:w="2970" w:type="dxa"/>
            <w:tcMar>
              <w:top w:w="57" w:type="dxa"/>
              <w:left w:w="85" w:type="dxa"/>
              <w:bottom w:w="57" w:type="dxa"/>
              <w:right w:w="85" w:type="dxa"/>
            </w:tcMar>
            <w:vAlign w:val="center"/>
          </w:tcPr>
          <w:p>
            <w:pPr>
              <w:spacing w:line="240" w:lineRule="auto"/>
              <w:ind w:firstLine="0" w:firstLineChars="0"/>
              <w:jc w:val="center"/>
              <w:textAlignment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干清粪工艺，用水量较小、劳动强度小</w:t>
            </w:r>
          </w:p>
        </w:tc>
        <w:tc>
          <w:tcPr>
            <w:tcW w:w="2311" w:type="dxa"/>
            <w:tcMar>
              <w:top w:w="57" w:type="dxa"/>
              <w:left w:w="85" w:type="dxa"/>
              <w:bottom w:w="57" w:type="dxa"/>
              <w:right w:w="85" w:type="dxa"/>
            </w:tcMar>
            <w:vAlign w:val="center"/>
          </w:tcPr>
          <w:p>
            <w:pPr>
              <w:spacing w:line="240" w:lineRule="auto"/>
              <w:ind w:firstLine="0" w:firstLineChars="0"/>
              <w:jc w:val="center"/>
              <w:textAlignment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漏缝板</w:t>
            </w:r>
            <w:r>
              <w:rPr>
                <w:rFonts w:hint="default" w:ascii="Times New Roman" w:hAnsi="Times New Roman" w:cs="Times New Roman"/>
                <w:bCs/>
                <w:snapToGrid w:val="0"/>
                <w:color w:val="auto"/>
                <w:sz w:val="21"/>
                <w:szCs w:val="21"/>
                <w:lang w:eastAsia="zh-CN"/>
              </w:rPr>
              <w:t>板工艺</w:t>
            </w:r>
            <w:r>
              <w:rPr>
                <w:rFonts w:hint="default" w:ascii="Times New Roman" w:hAnsi="Times New Roman" w:cs="Times New Roman"/>
                <w:bCs/>
                <w:snapToGrid w:val="0"/>
                <w:color w:val="auto"/>
                <w:sz w:val="21"/>
                <w:szCs w:val="21"/>
              </w:rPr>
              <w:t>，用水量较小、劳动强度较小</w:t>
            </w:r>
          </w:p>
        </w:tc>
        <w:tc>
          <w:tcPr>
            <w:tcW w:w="2141" w:type="dxa"/>
            <w:tcMar>
              <w:top w:w="57" w:type="dxa"/>
              <w:left w:w="85" w:type="dxa"/>
              <w:bottom w:w="57" w:type="dxa"/>
              <w:right w:w="85" w:type="dxa"/>
            </w:tcMar>
            <w:vAlign w:val="center"/>
          </w:tcPr>
          <w:p>
            <w:pPr>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snapToGrid w:val="0"/>
                <w:color w:val="auto"/>
                <w:sz w:val="21"/>
                <w:szCs w:val="21"/>
              </w:rPr>
              <w:t>漏缝板+机械清粪工艺，用水量较小、劳动强度较小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524" w:type="dxa"/>
            <w:tcMar>
              <w:top w:w="57" w:type="dxa"/>
              <w:left w:w="85" w:type="dxa"/>
              <w:bottom w:w="57" w:type="dxa"/>
              <w:right w:w="85" w:type="dxa"/>
            </w:tcMar>
            <w:vAlign w:val="center"/>
          </w:tcPr>
          <w:p>
            <w:pPr>
              <w:spacing w:line="240" w:lineRule="auto"/>
              <w:ind w:firstLine="0" w:firstLineChars="0"/>
              <w:jc w:val="center"/>
              <w:textAlignment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节水设施</w:t>
            </w:r>
          </w:p>
        </w:tc>
        <w:tc>
          <w:tcPr>
            <w:tcW w:w="2970" w:type="dxa"/>
            <w:tcMar>
              <w:top w:w="57" w:type="dxa"/>
              <w:left w:w="85" w:type="dxa"/>
              <w:bottom w:w="57" w:type="dxa"/>
              <w:right w:w="85" w:type="dxa"/>
            </w:tcMar>
            <w:vAlign w:val="center"/>
          </w:tcPr>
          <w:p>
            <w:pPr>
              <w:spacing w:line="240" w:lineRule="auto"/>
              <w:ind w:firstLine="0" w:firstLineChars="0"/>
              <w:jc w:val="center"/>
              <w:textAlignment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全漏缝地板，猪舍墙体保温，全热交换器控温，只在转栏时用高压水枪冲洗猪舍、限位式饮水器、电脑自动控制喷淋降温、安装水表、绩效管理</w:t>
            </w:r>
          </w:p>
        </w:tc>
        <w:tc>
          <w:tcPr>
            <w:tcW w:w="2311" w:type="dxa"/>
            <w:tcMar>
              <w:top w:w="57" w:type="dxa"/>
              <w:left w:w="85" w:type="dxa"/>
              <w:bottom w:w="57" w:type="dxa"/>
              <w:right w:w="85" w:type="dxa"/>
            </w:tcMar>
            <w:vAlign w:val="center"/>
          </w:tcPr>
          <w:p>
            <w:pPr>
              <w:spacing w:line="240" w:lineRule="auto"/>
              <w:ind w:firstLine="0" w:firstLineChars="0"/>
              <w:jc w:val="center"/>
              <w:textAlignment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全漏缝地板，限位猪槽及</w:t>
            </w:r>
            <w:r>
              <w:rPr>
                <w:rFonts w:hint="default" w:ascii="Times New Roman" w:hAnsi="Times New Roman" w:cs="Times New Roman"/>
                <w:bCs/>
                <w:snapToGrid w:val="0"/>
                <w:color w:val="auto"/>
                <w:sz w:val="21"/>
                <w:szCs w:val="21"/>
                <w:lang w:eastAsia="zh-CN"/>
              </w:rPr>
              <w:t>喷淋</w:t>
            </w:r>
            <w:r>
              <w:rPr>
                <w:rFonts w:hint="default" w:ascii="Times New Roman" w:hAnsi="Times New Roman" w:cs="Times New Roman"/>
                <w:bCs/>
                <w:snapToGrid w:val="0"/>
                <w:color w:val="auto"/>
                <w:sz w:val="21"/>
                <w:szCs w:val="21"/>
              </w:rPr>
              <w:t>降温、只在转栏时用一般水枪冲洗猪舍、碗式饮水器、安装水表、绩效管理</w:t>
            </w:r>
          </w:p>
        </w:tc>
        <w:tc>
          <w:tcPr>
            <w:tcW w:w="2141" w:type="dxa"/>
            <w:tcMar>
              <w:top w:w="57" w:type="dxa"/>
              <w:left w:w="85" w:type="dxa"/>
              <w:bottom w:w="57" w:type="dxa"/>
              <w:right w:w="85" w:type="dxa"/>
            </w:tcMar>
            <w:vAlign w:val="center"/>
          </w:tcPr>
          <w:p>
            <w:pPr>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snapToGrid w:val="0"/>
                <w:color w:val="auto"/>
                <w:sz w:val="21"/>
                <w:szCs w:val="21"/>
              </w:rPr>
              <w:t>全自动给料给水系统、猪舍小环境自动控制系统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524" w:type="dxa"/>
            <w:tcMar>
              <w:top w:w="57" w:type="dxa"/>
              <w:left w:w="85" w:type="dxa"/>
              <w:bottom w:w="57" w:type="dxa"/>
              <w:right w:w="85" w:type="dxa"/>
            </w:tcMar>
            <w:vAlign w:val="center"/>
          </w:tcPr>
          <w:p>
            <w:pPr>
              <w:spacing w:line="240" w:lineRule="auto"/>
              <w:ind w:firstLine="0" w:firstLineChars="0"/>
              <w:jc w:val="center"/>
              <w:textAlignment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废水处理工艺</w:t>
            </w:r>
          </w:p>
        </w:tc>
        <w:tc>
          <w:tcPr>
            <w:tcW w:w="2970" w:type="dxa"/>
            <w:tcMar>
              <w:top w:w="57" w:type="dxa"/>
              <w:left w:w="85" w:type="dxa"/>
              <w:bottom w:w="57" w:type="dxa"/>
              <w:right w:w="85" w:type="dxa"/>
            </w:tcMar>
            <w:vAlign w:val="center"/>
          </w:tcPr>
          <w:p>
            <w:pPr>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采用黑膜</w:t>
            </w:r>
            <w:r>
              <w:rPr>
                <w:rFonts w:hint="default" w:ascii="Times New Roman" w:hAnsi="Times New Roman" w:cs="Times New Roman"/>
                <w:bCs/>
                <w:color w:val="auto"/>
                <w:sz w:val="21"/>
                <w:szCs w:val="21"/>
                <w:lang w:eastAsia="zh-CN"/>
              </w:rPr>
              <w:t>沼气池</w:t>
            </w:r>
            <w:r>
              <w:rPr>
                <w:rFonts w:hint="default" w:ascii="Times New Roman" w:hAnsi="Times New Roman" w:cs="Times New Roman"/>
                <w:bCs/>
                <w:color w:val="auto"/>
                <w:sz w:val="21"/>
                <w:szCs w:val="21"/>
              </w:rPr>
              <w:t>厌氧发酵工艺，进水COD1000-100000mg/l均可、出水稳定、可持续发酵；进水不易堵塞、沼气收集工艺简单、能耗低</w:t>
            </w:r>
          </w:p>
        </w:tc>
        <w:tc>
          <w:tcPr>
            <w:tcW w:w="2311" w:type="dxa"/>
            <w:tcMar>
              <w:top w:w="57" w:type="dxa"/>
              <w:left w:w="85" w:type="dxa"/>
              <w:bottom w:w="57" w:type="dxa"/>
              <w:right w:w="85" w:type="dxa"/>
            </w:tcMar>
            <w:vAlign w:val="center"/>
          </w:tcPr>
          <w:p>
            <w:pPr>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废水采用“UASB”处理工艺，进水COD≥1500mg/l、出水不太稳定、冬季发酵停止、集气过程较复杂、发酵过程会产生臭气</w:t>
            </w:r>
          </w:p>
        </w:tc>
        <w:tc>
          <w:tcPr>
            <w:tcW w:w="2141" w:type="dxa"/>
            <w:tcMar>
              <w:top w:w="57" w:type="dxa"/>
              <w:left w:w="85" w:type="dxa"/>
              <w:bottom w:w="57" w:type="dxa"/>
              <w:right w:w="85" w:type="dxa"/>
            </w:tcMar>
            <w:vAlign w:val="center"/>
          </w:tcPr>
          <w:p>
            <w:pPr>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采用黑膜</w:t>
            </w:r>
            <w:r>
              <w:rPr>
                <w:rFonts w:hint="default" w:ascii="Times New Roman" w:hAnsi="Times New Roman" w:cs="Times New Roman"/>
                <w:bCs/>
                <w:color w:val="auto"/>
                <w:sz w:val="21"/>
                <w:szCs w:val="21"/>
                <w:lang w:eastAsia="zh-CN"/>
              </w:rPr>
              <w:t>沼气池</w:t>
            </w:r>
            <w:r>
              <w:rPr>
                <w:rFonts w:hint="default" w:ascii="Times New Roman" w:hAnsi="Times New Roman" w:cs="Times New Roman"/>
                <w:bCs/>
                <w:color w:val="auto"/>
                <w:sz w:val="21"/>
                <w:szCs w:val="21"/>
              </w:rPr>
              <w:t>厌氧发酵工艺，进水COD1000-100000mg/l均可、出水稳定、可持续发酵；进水不易堵塞、沼气收集工艺简单、能耗低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524" w:type="dxa"/>
            <w:tcMar>
              <w:top w:w="57" w:type="dxa"/>
              <w:left w:w="85" w:type="dxa"/>
              <w:bottom w:w="57" w:type="dxa"/>
              <w:right w:w="85" w:type="dxa"/>
            </w:tcMar>
            <w:vAlign w:val="center"/>
          </w:tcPr>
          <w:p>
            <w:pPr>
              <w:spacing w:line="240" w:lineRule="auto"/>
              <w:ind w:firstLine="0" w:firstLineChars="0"/>
              <w:jc w:val="center"/>
              <w:textAlignment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废物回收利用</w:t>
            </w:r>
          </w:p>
        </w:tc>
        <w:tc>
          <w:tcPr>
            <w:tcW w:w="2970" w:type="dxa"/>
            <w:tcMar>
              <w:top w:w="57" w:type="dxa"/>
              <w:left w:w="85" w:type="dxa"/>
              <w:bottom w:w="57" w:type="dxa"/>
              <w:right w:w="85" w:type="dxa"/>
            </w:tcMar>
            <w:vAlign w:val="center"/>
          </w:tcPr>
          <w:p>
            <w:pPr>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沼液全部用于农田施肥</w:t>
            </w:r>
          </w:p>
        </w:tc>
        <w:tc>
          <w:tcPr>
            <w:tcW w:w="2311" w:type="dxa"/>
            <w:tcMar>
              <w:top w:w="57" w:type="dxa"/>
              <w:left w:w="85" w:type="dxa"/>
              <w:bottom w:w="57" w:type="dxa"/>
              <w:right w:w="85" w:type="dxa"/>
            </w:tcMar>
            <w:vAlign w:val="center"/>
          </w:tcPr>
          <w:p>
            <w:pPr>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沼液用于农田施肥</w:t>
            </w:r>
          </w:p>
        </w:tc>
        <w:tc>
          <w:tcPr>
            <w:tcW w:w="2141" w:type="dxa"/>
            <w:tcMar>
              <w:top w:w="57" w:type="dxa"/>
              <w:left w:w="85" w:type="dxa"/>
              <w:bottom w:w="57" w:type="dxa"/>
              <w:right w:w="85" w:type="dxa"/>
            </w:tcMar>
            <w:vAlign w:val="center"/>
          </w:tcPr>
          <w:p>
            <w:pPr>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沼液用于农田施肥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524" w:type="dxa"/>
            <w:tcMar>
              <w:top w:w="57" w:type="dxa"/>
              <w:left w:w="85" w:type="dxa"/>
              <w:bottom w:w="57" w:type="dxa"/>
              <w:right w:w="85" w:type="dxa"/>
            </w:tcMar>
            <w:vAlign w:val="center"/>
          </w:tcPr>
          <w:p>
            <w:pPr>
              <w:spacing w:line="240" w:lineRule="auto"/>
              <w:ind w:firstLine="0" w:firstLineChars="0"/>
              <w:jc w:val="center"/>
              <w:textAlignment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原辅材料供应</w:t>
            </w:r>
          </w:p>
        </w:tc>
        <w:tc>
          <w:tcPr>
            <w:tcW w:w="2970" w:type="dxa"/>
            <w:tcMar>
              <w:top w:w="57" w:type="dxa"/>
              <w:left w:w="85" w:type="dxa"/>
              <w:bottom w:w="57" w:type="dxa"/>
              <w:right w:w="85" w:type="dxa"/>
            </w:tcMar>
            <w:vAlign w:val="center"/>
          </w:tcPr>
          <w:p>
            <w:pPr>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饲料来自牧原公司配套饲料厂，饲料设计合理</w:t>
            </w:r>
          </w:p>
        </w:tc>
        <w:tc>
          <w:tcPr>
            <w:tcW w:w="2311" w:type="dxa"/>
            <w:tcMar>
              <w:top w:w="57" w:type="dxa"/>
              <w:left w:w="85" w:type="dxa"/>
              <w:bottom w:w="57" w:type="dxa"/>
              <w:right w:w="85" w:type="dxa"/>
            </w:tcMar>
            <w:vAlign w:val="center"/>
          </w:tcPr>
          <w:p>
            <w:pPr>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饲料来自牧原牧原公司配套饲料厂，饲料设计合理</w:t>
            </w:r>
          </w:p>
        </w:tc>
        <w:tc>
          <w:tcPr>
            <w:tcW w:w="2141" w:type="dxa"/>
            <w:tcMar>
              <w:top w:w="57" w:type="dxa"/>
              <w:left w:w="85" w:type="dxa"/>
              <w:bottom w:w="57" w:type="dxa"/>
              <w:right w:w="85" w:type="dxa"/>
            </w:tcMar>
            <w:vAlign w:val="center"/>
          </w:tcPr>
          <w:p>
            <w:pPr>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snapToGrid w:val="0"/>
                <w:color w:val="auto"/>
                <w:sz w:val="21"/>
                <w:szCs w:val="21"/>
              </w:rPr>
              <w:t>集团公司按照猪种统一供应，饲料设计合理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1524" w:type="dxa"/>
            <w:tcMar>
              <w:top w:w="57" w:type="dxa"/>
              <w:left w:w="85" w:type="dxa"/>
              <w:bottom w:w="57" w:type="dxa"/>
              <w:right w:w="85" w:type="dxa"/>
            </w:tcMar>
            <w:vAlign w:val="center"/>
          </w:tcPr>
          <w:p>
            <w:pPr>
              <w:spacing w:line="240" w:lineRule="auto"/>
              <w:ind w:firstLine="0" w:firstLineChars="0"/>
              <w:jc w:val="center"/>
              <w:textAlignment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猪粪利用措施</w:t>
            </w:r>
          </w:p>
        </w:tc>
        <w:tc>
          <w:tcPr>
            <w:tcW w:w="2970" w:type="dxa"/>
            <w:tcMar>
              <w:top w:w="57" w:type="dxa"/>
              <w:left w:w="85" w:type="dxa"/>
              <w:bottom w:w="57" w:type="dxa"/>
              <w:right w:w="85" w:type="dxa"/>
            </w:tcMar>
            <w:vAlign w:val="center"/>
          </w:tcPr>
          <w:p>
            <w:pPr>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snapToGrid w:val="0"/>
                <w:color w:val="auto"/>
                <w:sz w:val="21"/>
                <w:szCs w:val="21"/>
              </w:rPr>
              <w:t>高温发酵制备有机肥、回收利用率高</w:t>
            </w:r>
          </w:p>
        </w:tc>
        <w:tc>
          <w:tcPr>
            <w:tcW w:w="2311" w:type="dxa"/>
            <w:tcMar>
              <w:top w:w="57" w:type="dxa"/>
              <w:left w:w="85" w:type="dxa"/>
              <w:bottom w:w="57" w:type="dxa"/>
              <w:right w:w="85" w:type="dxa"/>
            </w:tcMar>
            <w:vAlign w:val="center"/>
          </w:tcPr>
          <w:p>
            <w:pPr>
              <w:spacing w:line="240" w:lineRule="auto"/>
              <w:ind w:firstLine="0" w:firstLineChars="0"/>
              <w:jc w:val="center"/>
              <w:textAlignment w:val="center"/>
              <w:rPr>
                <w:rFonts w:hint="default" w:ascii="Times New Roman" w:hAnsi="Times New Roman" w:cs="Times New Roman"/>
                <w:bCs/>
                <w:snapToGrid w:val="0"/>
                <w:color w:val="auto"/>
                <w:sz w:val="21"/>
                <w:szCs w:val="21"/>
              </w:rPr>
            </w:pPr>
            <w:r>
              <w:rPr>
                <w:rFonts w:hint="default" w:ascii="Times New Roman" w:hAnsi="Times New Roman" w:cs="Times New Roman"/>
                <w:bCs/>
                <w:snapToGrid w:val="0"/>
                <w:color w:val="auto"/>
                <w:sz w:val="21"/>
                <w:szCs w:val="21"/>
              </w:rPr>
              <w:t>高温发酵制备生物肥、回收利用率高</w:t>
            </w:r>
          </w:p>
        </w:tc>
        <w:tc>
          <w:tcPr>
            <w:tcW w:w="2141" w:type="dxa"/>
            <w:tcMar>
              <w:top w:w="57" w:type="dxa"/>
              <w:left w:w="85" w:type="dxa"/>
              <w:bottom w:w="57" w:type="dxa"/>
              <w:right w:w="85" w:type="dxa"/>
            </w:tcMar>
            <w:vAlign w:val="center"/>
          </w:tcPr>
          <w:p>
            <w:pPr>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snapToGrid w:val="0"/>
                <w:color w:val="auto"/>
                <w:sz w:val="21"/>
                <w:szCs w:val="21"/>
              </w:rPr>
              <w:t>高温发酵制备生物肥、回收利用率高</w:t>
            </w:r>
          </w:p>
        </w:tc>
      </w:tr>
    </w:tbl>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由上表可知，与</w:t>
      </w:r>
      <w:r>
        <w:rPr>
          <w:rFonts w:hint="default" w:ascii="Times New Roman" w:hAnsi="Times New Roman" w:cs="Times New Roman"/>
          <w:bCs/>
          <w:color w:val="auto"/>
          <w:lang w:eastAsia="zh-CN"/>
        </w:rPr>
        <w:t>郏县正大农牧发展有限公司</w:t>
      </w:r>
      <w:r>
        <w:rPr>
          <w:rFonts w:hint="default" w:ascii="Times New Roman" w:hAnsi="Times New Roman" w:cs="Times New Roman"/>
          <w:bCs/>
          <w:color w:val="auto"/>
        </w:rPr>
        <w:t>和牧原食品股份有限公司早期建设的猪场相比，本项目新鲜水消耗量和废水产生量较少，从清粪工艺、堆肥工艺、设备、废物回收利用等方面分析，本项目清洁生产水平可达到国内同类行业清洁生产先进水平。</w:t>
      </w:r>
    </w:p>
    <w:p>
      <w:pPr>
        <w:pStyle w:val="30"/>
        <w:spacing w:line="360" w:lineRule="auto"/>
        <w:rPr>
          <w:rFonts w:hint="default" w:ascii="Times New Roman" w:hAnsi="Times New Roman" w:cs="Times New Roman"/>
          <w:color w:val="auto"/>
        </w:rPr>
      </w:pPr>
      <w:bookmarkStart w:id="288" w:name="_Toc443924634"/>
      <w:bookmarkStart w:id="289" w:name="_Toc326"/>
      <w:bookmarkStart w:id="290" w:name="_Toc468115362"/>
      <w:bookmarkStart w:id="291" w:name="_Toc25484"/>
      <w:bookmarkStart w:id="292" w:name="_Toc485579833"/>
      <w:r>
        <w:rPr>
          <w:rFonts w:hint="default" w:ascii="Times New Roman" w:hAnsi="Times New Roman" w:cs="Times New Roman"/>
          <w:color w:val="auto"/>
        </w:rPr>
        <w:t>3.2项目工艺流程</w:t>
      </w:r>
      <w:bookmarkEnd w:id="288"/>
      <w:bookmarkEnd w:id="289"/>
      <w:bookmarkEnd w:id="290"/>
      <w:bookmarkEnd w:id="291"/>
      <w:bookmarkEnd w:id="292"/>
    </w:p>
    <w:p>
      <w:pPr>
        <w:ind w:firstLine="480"/>
        <w:rPr>
          <w:rFonts w:hint="default" w:ascii="Times New Roman" w:hAnsi="Times New Roman" w:cs="Times New Roman"/>
          <w:color w:val="auto"/>
        </w:rPr>
      </w:pPr>
      <w:r>
        <w:rPr>
          <w:rFonts w:hint="default" w:ascii="Times New Roman" w:hAnsi="Times New Roman" w:cs="Times New Roman"/>
          <w:color w:val="auto"/>
        </w:rPr>
        <w:t>该养殖场采用集约化养殖方式饲养繁育生猪，采用干清粪工艺。</w:t>
      </w:r>
    </w:p>
    <w:p>
      <w:pPr>
        <w:pStyle w:val="34"/>
        <w:ind w:firstLine="480"/>
        <w:rPr>
          <w:rFonts w:hint="default" w:ascii="Times New Roman" w:hAnsi="Times New Roman" w:cs="Times New Roman"/>
          <w:color w:val="auto"/>
        </w:rPr>
      </w:pPr>
      <w:bookmarkStart w:id="293" w:name="_Toc468115363"/>
      <w:r>
        <w:rPr>
          <w:rFonts w:hint="default" w:ascii="Times New Roman" w:hAnsi="Times New Roman" w:cs="Times New Roman"/>
          <w:color w:val="auto"/>
        </w:rPr>
        <w:t>3.2.1养殖工艺流程</w:t>
      </w:r>
      <w:bookmarkEnd w:id="293"/>
    </w:p>
    <w:p>
      <w:pPr>
        <w:topLinePunct/>
        <w:ind w:firstLine="480"/>
        <w:rPr>
          <w:rFonts w:hint="default" w:ascii="Times New Roman" w:hAnsi="Times New Roman" w:cs="Times New Roman"/>
          <w:color w:val="auto"/>
        </w:rPr>
      </w:pPr>
      <w:r>
        <w:rPr>
          <w:rFonts w:hint="default" w:ascii="Times New Roman" w:hAnsi="Times New Roman" w:cs="Times New Roman"/>
          <w:color w:val="auto"/>
        </w:rPr>
        <w:t>本项目为母猪繁育场，母猪由牧原公司其他分场提供，主要为母猪的配种妊娠阶段、分娩哺乳阶段，仔猪断奶后运往其他场进行保育。养殖过程工艺流程及产污环节见图3-3。</w:t>
      </w:r>
    </w:p>
    <w:p>
      <w:pPr>
        <w:pStyle w:val="39"/>
        <w:spacing w:before="0" w:after="0"/>
        <w:jc w:val="both"/>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544185" cy="2759075"/>
            <wp:effectExtent l="9525" t="9525" r="27940" b="12700"/>
            <wp:docPr id="3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
                    <pic:cNvPicPr>
                      <a:picLocks noChangeAspect="1"/>
                    </pic:cNvPicPr>
                  </pic:nvPicPr>
                  <pic:blipFill>
                    <a:blip r:embed="rId34" cstate="print"/>
                    <a:stretch>
                      <a:fillRect/>
                    </a:stretch>
                  </pic:blipFill>
                  <pic:spPr>
                    <a:xfrm>
                      <a:off x="0" y="0"/>
                      <a:ext cx="5544185" cy="2759075"/>
                    </a:xfrm>
                    <a:prstGeom prst="rect">
                      <a:avLst/>
                    </a:prstGeom>
                    <a:noFill/>
                    <a:ln w="6350" cmpd="sng">
                      <a:solidFill>
                        <a:schemeClr val="tx1"/>
                      </a:solidFill>
                      <a:prstDash val="solid"/>
                    </a:ln>
                  </pic:spPr>
                </pic:pic>
              </a:graphicData>
            </a:graphic>
          </wp:inline>
        </w:drawing>
      </w:r>
    </w:p>
    <w:p>
      <w:pPr>
        <w:kinsoku w:val="0"/>
        <w:overflowPunct w:val="0"/>
        <w:spacing w:line="500" w:lineRule="exact"/>
        <w:ind w:firstLine="480"/>
        <w:jc w:val="center"/>
        <w:rPr>
          <w:rFonts w:hint="default" w:ascii="Times New Roman" w:hAnsi="Times New Roman" w:eastAsia="黑体" w:cs="Times New Roman"/>
          <w:color w:val="auto"/>
        </w:rPr>
      </w:pPr>
      <w:r>
        <w:rPr>
          <w:rFonts w:hint="default" w:ascii="Times New Roman" w:hAnsi="Times New Roman" w:eastAsia="黑体" w:cs="Times New Roman"/>
          <w:color w:val="auto"/>
        </w:rPr>
        <w:t>图3-3      养殖过程工艺流程</w:t>
      </w:r>
    </w:p>
    <w:p>
      <w:pPr>
        <w:ind w:firstLine="480"/>
        <w:outlineLvl w:val="3"/>
        <w:rPr>
          <w:rFonts w:hint="default" w:ascii="Times New Roman" w:hAnsi="Times New Roman" w:cs="Times New Roman"/>
          <w:color w:val="auto"/>
        </w:rPr>
      </w:pPr>
      <w:r>
        <w:rPr>
          <w:rFonts w:hint="default" w:ascii="Times New Roman" w:hAnsi="Times New Roman" w:cs="Times New Roman"/>
          <w:color w:val="auto"/>
        </w:rPr>
        <w:t>3.2.1.1  工艺说明</w:t>
      </w:r>
    </w:p>
    <w:p>
      <w:pPr>
        <w:topLinePunct/>
        <w:ind w:firstLine="480"/>
        <w:rPr>
          <w:rFonts w:hint="default" w:ascii="Times New Roman" w:hAnsi="Times New Roman" w:cs="Times New Roman"/>
          <w:color w:val="auto"/>
        </w:rPr>
      </w:pPr>
      <w:r>
        <w:rPr>
          <w:rFonts w:hint="default" w:ascii="Times New Roman" w:hAnsi="Times New Roman" w:cs="Times New Roman"/>
          <w:color w:val="auto"/>
        </w:rPr>
        <w:t>（1）配种妊娠阶段</w:t>
      </w:r>
    </w:p>
    <w:p>
      <w:pPr>
        <w:ind w:firstLine="480"/>
        <w:rPr>
          <w:rFonts w:hint="default" w:ascii="Times New Roman" w:hAnsi="Times New Roman" w:cs="Times New Roman"/>
          <w:bCs/>
          <w:color w:val="auto"/>
        </w:rPr>
      </w:pPr>
      <w:r>
        <w:rPr>
          <w:rFonts w:hint="default" w:ascii="Times New Roman" w:hAnsi="Times New Roman" w:cs="Times New Roman"/>
          <w:bCs/>
          <w:color w:val="auto"/>
        </w:rPr>
        <w:t>配种妊娠阶段母猪要完成配种并度过妊娠期，配种周期为1-1.5周，确认怀孕后的母猪在怀孕舍进行饲养，怀孕舍母猪单头限位栏饲养，控制膘情，减少争食应激，提高受胎率及乳猪初生重，饲养周期14-15周。</w:t>
      </w:r>
    </w:p>
    <w:p>
      <w:pPr>
        <w:topLinePunct/>
        <w:ind w:firstLine="480"/>
        <w:rPr>
          <w:rFonts w:hint="default" w:ascii="Times New Roman" w:hAnsi="Times New Roman" w:cs="Times New Roman"/>
          <w:color w:val="auto"/>
        </w:rPr>
      </w:pPr>
      <w:r>
        <w:rPr>
          <w:rFonts w:hint="default" w:ascii="Times New Roman" w:hAnsi="Times New Roman" w:cs="Times New Roman"/>
          <w:color w:val="auto"/>
        </w:rPr>
        <w:t>（2）分娩泌乳阶段</w:t>
      </w:r>
    </w:p>
    <w:p>
      <w:pPr>
        <w:topLinePunct/>
        <w:ind w:firstLine="480"/>
        <w:rPr>
          <w:rFonts w:hint="default" w:ascii="Times New Roman" w:hAnsi="Times New Roman" w:cs="Times New Roman"/>
          <w:color w:val="auto"/>
        </w:rPr>
      </w:pPr>
      <w:r>
        <w:rPr>
          <w:rFonts w:hint="default" w:ascii="Times New Roman" w:hAnsi="Times New Roman" w:cs="Times New Roman"/>
          <w:color w:val="auto"/>
        </w:rPr>
        <w:t>分娩哺乳阶段母猪要完成分娩和对仔猪的哺育，母猪产前一周入哺乳舍，仔猪哺乳期一般为25-35d（4-5周）。哺乳结束后送至其它场进行后备育肥，母猪回待配舍进入下一个繁殖周期。其中选取一部分保育好的幼猪作为后备育肥猪。</w:t>
      </w:r>
    </w:p>
    <w:p>
      <w:pPr>
        <w:topLinePunct/>
        <w:ind w:firstLine="480"/>
        <w:rPr>
          <w:rFonts w:hint="default" w:ascii="Times New Roman" w:hAnsi="Times New Roman" w:cs="Times New Roman"/>
          <w:color w:val="auto"/>
        </w:rPr>
      </w:pPr>
      <w:r>
        <w:rPr>
          <w:rFonts w:hint="default" w:ascii="Times New Roman" w:hAnsi="Times New Roman" w:cs="Times New Roman"/>
          <w:color w:val="auto"/>
        </w:rPr>
        <w:t>（3）猪仔外运</w:t>
      </w:r>
    </w:p>
    <w:p>
      <w:pPr>
        <w:topLinePunct/>
        <w:ind w:firstLine="480"/>
        <w:rPr>
          <w:rFonts w:hint="default" w:ascii="Times New Roman" w:hAnsi="Times New Roman" w:cs="Times New Roman"/>
          <w:color w:val="auto"/>
        </w:rPr>
      </w:pPr>
      <w:r>
        <w:rPr>
          <w:rFonts w:hint="default" w:ascii="Times New Roman" w:hAnsi="Times New Roman" w:cs="Times New Roman"/>
          <w:color w:val="auto"/>
        </w:rPr>
        <w:t>哺乳期结束后，将猪仔外运至其他场区进行保育。</w:t>
      </w:r>
    </w:p>
    <w:p>
      <w:pPr>
        <w:ind w:firstLine="480"/>
        <w:outlineLvl w:val="3"/>
        <w:rPr>
          <w:rFonts w:hint="default" w:ascii="Times New Roman" w:hAnsi="Times New Roman" w:cs="Times New Roman"/>
          <w:color w:val="auto"/>
        </w:rPr>
      </w:pPr>
      <w:r>
        <w:rPr>
          <w:rFonts w:hint="default" w:ascii="Times New Roman" w:hAnsi="Times New Roman" w:cs="Times New Roman"/>
          <w:color w:val="auto"/>
        </w:rPr>
        <w:t>3.2.1.2  养殖设备工艺</w:t>
      </w:r>
    </w:p>
    <w:p>
      <w:pPr>
        <w:widowControl/>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①</w:t>
      </w:r>
      <w:r>
        <w:rPr>
          <w:rFonts w:hint="default" w:ascii="Times New Roman" w:hAnsi="Times New Roman" w:cs="Times New Roman"/>
          <w:color w:val="auto"/>
        </w:rPr>
        <w:fldChar w:fldCharType="end"/>
      </w:r>
      <w:r>
        <w:rPr>
          <w:rFonts w:hint="default" w:ascii="Times New Roman" w:hAnsi="Times New Roman" w:cs="Times New Roman"/>
          <w:color w:val="auto"/>
        </w:rPr>
        <w:t>供料系统</w:t>
      </w:r>
    </w:p>
    <w:p>
      <w:pPr>
        <w:widowControl/>
        <w:ind w:firstLine="480"/>
        <w:rPr>
          <w:rFonts w:hint="default" w:ascii="Times New Roman" w:hAnsi="Times New Roman" w:cs="Times New Roman"/>
          <w:color w:val="auto"/>
        </w:rPr>
      </w:pPr>
      <w:r>
        <w:rPr>
          <w:rFonts w:hint="default" w:ascii="Times New Roman" w:hAnsi="Times New Roman" w:cs="Times New Roman"/>
          <w:color w:val="auto"/>
        </w:rPr>
        <w:t>饲料暂由</w:t>
      </w:r>
      <w:r>
        <w:rPr>
          <w:rFonts w:hint="default" w:ascii="Times New Roman" w:hAnsi="Times New Roman" w:cs="Times New Roman"/>
          <w:bCs/>
          <w:color w:val="auto"/>
        </w:rPr>
        <w:t>牧原食品股份有限公司</w:t>
      </w:r>
      <w:r>
        <w:rPr>
          <w:rFonts w:hint="default" w:ascii="Times New Roman" w:hAnsi="Times New Roman" w:cs="Times New Roman"/>
          <w:color w:val="auto"/>
        </w:rPr>
        <w:t>其他养殖场的饲料加工车间提供，猪场采用全自动配送上料系统，定时定量供应饲料，保证生猪饮食需求，同时减少浪费，节约人力和饲料用量，降低生产成本。</w:t>
      </w:r>
    </w:p>
    <w:p>
      <w:pPr>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②</w:t>
      </w:r>
      <w:r>
        <w:rPr>
          <w:rFonts w:hint="default" w:ascii="Times New Roman" w:hAnsi="Times New Roman" w:cs="Times New Roman"/>
          <w:color w:val="auto"/>
        </w:rPr>
        <w:fldChar w:fldCharType="end"/>
      </w:r>
      <w:r>
        <w:rPr>
          <w:rFonts w:hint="default" w:ascii="Times New Roman" w:hAnsi="Times New Roman" w:cs="Times New Roman"/>
          <w:color w:val="auto"/>
        </w:rPr>
        <w:t>饮水系统工艺说明</w:t>
      </w:r>
    </w:p>
    <w:p>
      <w:pPr>
        <w:ind w:firstLine="480"/>
        <w:rPr>
          <w:rFonts w:hint="default" w:ascii="Times New Roman" w:hAnsi="Times New Roman" w:cs="Times New Roman"/>
          <w:color w:val="auto"/>
        </w:rPr>
      </w:pPr>
      <w:r>
        <w:rPr>
          <w:rFonts w:hint="default" w:ascii="Times New Roman" w:hAnsi="Times New Roman" w:cs="Times New Roman"/>
          <w:color w:val="auto"/>
        </w:rPr>
        <w:t>项目采用先进的限位饮水器，限位饮水器的底部槽体液面始终维持在2cm的液面高度，在此液面高度时，饮水器与外界空气形成负压，当生猪喝水时，饮水器与空气接触，内部压力大于外部压力，水自动从管内流出至液面高度在2cm时饮水器自动停止供水。能保证生猪随时饮用新鲜水，同时避免不必要的浪费，节约水资源。</w:t>
      </w:r>
    </w:p>
    <w:p>
      <w:pPr>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③</w:t>
      </w:r>
      <w:r>
        <w:rPr>
          <w:rFonts w:hint="default" w:ascii="Times New Roman" w:hAnsi="Times New Roman" w:cs="Times New Roman"/>
          <w:color w:val="auto"/>
        </w:rPr>
        <w:fldChar w:fldCharType="end"/>
      </w:r>
      <w:r>
        <w:rPr>
          <w:rFonts w:hint="default" w:ascii="Times New Roman" w:hAnsi="Times New Roman" w:cs="Times New Roman"/>
          <w:color w:val="auto"/>
        </w:rPr>
        <w:t>控温系统工艺说明</w:t>
      </w:r>
    </w:p>
    <w:p>
      <w:pPr>
        <w:widowControl/>
        <w:ind w:firstLine="480"/>
        <w:jc w:val="left"/>
        <w:rPr>
          <w:rFonts w:hint="default" w:ascii="Times New Roman" w:hAnsi="Times New Roman" w:cs="Times New Roman"/>
          <w:bCs/>
          <w:color w:val="auto"/>
          <w:szCs w:val="28"/>
        </w:rPr>
      </w:pPr>
      <w:r>
        <w:rPr>
          <w:rFonts w:hint="default" w:ascii="Times New Roman" w:hAnsi="Times New Roman" w:cs="Times New Roman"/>
          <w:bCs/>
          <w:color w:val="auto"/>
          <w:szCs w:val="28"/>
        </w:rPr>
        <w:t>项目通过优化猪舍结构设计、墙体做隔热保温层来切断单元内外热传递。同时，猪舍冬季通风换气时，通过热交换系统对进、出风实行热交换，使单元内温度保持在猪适宜的温度范围内。具体措施如下：</w:t>
      </w:r>
    </w:p>
    <w:p>
      <w:pPr>
        <w:widowControl/>
        <w:ind w:firstLine="480"/>
        <w:jc w:val="left"/>
        <w:rPr>
          <w:rFonts w:hint="default" w:ascii="Times New Roman" w:hAnsi="Times New Roman" w:cs="Times New Roman"/>
          <w:bCs/>
          <w:color w:val="auto"/>
          <w:szCs w:val="28"/>
        </w:rPr>
      </w:pPr>
      <w:r>
        <w:rPr>
          <w:rFonts w:hint="default" w:ascii="Times New Roman" w:hAnsi="Times New Roman" w:cs="Times New Roman"/>
          <w:bCs/>
          <w:color w:val="auto"/>
          <w:szCs w:val="28"/>
        </w:rPr>
        <w:t>猪舍结构：墙体外铺挤塑式聚苯乙烯隔热保温板（冬季有很好的阻热作用）+猪舍内热交换器（冬季有效利用热量，较少热量损失）+风机（夏季有很好的通风作用）。</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rPr>
        <w:t>墙体由挤塑式聚苯乙烯隔热保温板（简称“挤塑板”）来切断单元内外热传递，该材料具有高热阻、低线性、膨胀比低的特点，其结构的闭孔率达到了99%以上，形成真空层，避免空气流动散热，确保其保温性能的持久和稳定。</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rPr>
        <w:t>全热交换器主要原理：热交换通风系统主要包括进风管、布风管、排风道、变速风机等。其中布风管和进风管相联通安装于猪舍上部，中间为猪群生活的漏缝板，猪舍下部为封闭的排风道，变速风机位于猪舍另一侧排风道中间。当变速风机启动时，从封闭通道抽出猪舍内部污浊高温的空气，室外清新的冷空气经由进风道进入猪舍内。因进风管采用导热性能较好的材料制成，在冷空气进入猪舍内的过程中，可通过进风管壁与猪舍内空气进行充分的热交换，使进入猪舍的新鲜空气温度大大提高，避免了猪群在生长过程中的冷应激作用。</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rPr>
        <w:t>在对猪舍内外空气进行交换的同时，也进行热量交换，猪舍在热交换的过程中，实施最小通风量，防止过度通风带来不必要的热量损失。运行时，新风从排风获得热量，温度升高，通过换热芯体的全热换热过程，让新风从排风中回收能量，保证在通风时也保持猪舍内部温度，既保证了猪群对新鲜空气的需要，又保证单元内有害气体不超标，同时满足了通风和稳定猪舍温度的需求，节约了能源消耗，降低了饲养成本。</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rPr>
        <w:t>冬季保温：主要是通过猪舍墙体保温材料与外部断绝热交换，猪舍内部通风通过全热交换器进行，实施最小通风量，既保证猪需要的氧气量，又保证单元内有害气体不超标，防止过度通风降低单元温度。</w:t>
      </w:r>
    </w:p>
    <w:p>
      <w:pPr>
        <w:tabs>
          <w:tab w:val="left" w:pos="624"/>
        </w:tabs>
        <w:ind w:firstLine="480"/>
        <w:jc w:val="left"/>
        <w:rPr>
          <w:rFonts w:hint="default" w:ascii="Times New Roman" w:hAnsi="Times New Roman" w:cs="Times New Roman"/>
          <w:color w:val="auto"/>
        </w:rPr>
      </w:pPr>
      <w:r>
        <w:rPr>
          <w:rFonts w:hint="default" w:ascii="Times New Roman" w:hAnsi="Times New Roman" w:cs="Times New Roman"/>
          <w:color w:val="auto"/>
        </w:rPr>
        <w:t>为确保冬季猪舍内部温度满足要求，可在猪舍内部备用电暖风设备。</w:t>
      </w:r>
    </w:p>
    <w:p>
      <w:pPr>
        <w:tabs>
          <w:tab w:val="left" w:pos="624"/>
        </w:tabs>
        <w:ind w:firstLine="480"/>
        <w:jc w:val="left"/>
        <w:rPr>
          <w:rFonts w:hint="default" w:ascii="Times New Roman" w:hAnsi="Times New Roman" w:cs="Times New Roman"/>
          <w:color w:val="auto"/>
        </w:rPr>
      </w:pPr>
      <w:r>
        <w:rPr>
          <w:rFonts w:hint="default" w:ascii="Times New Roman" w:hAnsi="Times New Roman" w:cs="Times New Roman"/>
          <w:color w:val="auto"/>
        </w:rPr>
        <w:t>根据牧原公司在已有几个场区的试验结果，0℃左右的空气可被升温10~15℃左右。公司已经在部分场区进行了改造使用，效果比试验预测期还要好。另外，热交换主要在单元装猪的第一个月猪群还未长大时进行使用，当猪群成长一个月左右，仅依靠猪群自身散热即可达到对温度的需求，最后甚至还要打开侧窗进行散热。</w:t>
      </w:r>
    </w:p>
    <w:p>
      <w:pPr>
        <w:ind w:firstLine="480"/>
        <w:rPr>
          <w:rFonts w:hint="default" w:ascii="Times New Roman" w:hAnsi="Times New Roman" w:cs="Times New Roman"/>
          <w:color w:val="auto"/>
        </w:rPr>
      </w:pPr>
      <w:r>
        <w:rPr>
          <w:rFonts w:hint="default" w:ascii="Times New Roman" w:hAnsi="Times New Roman" w:cs="Times New Roman"/>
          <w:color w:val="auto"/>
        </w:rPr>
        <w:t>夏季降温：采用喷淋降温。喷淋降温：喷淋30天。降温水由电脑控制喷淋时间，喷雾不形成径流，降温过程不产生废水。喷淋情况为怀孕舍喷淋50L/（单元.分钟），每次喷淋3min，每天喷淋11次。</w:t>
      </w:r>
    </w:p>
    <w:p>
      <w:pPr>
        <w:widowControl/>
        <w:ind w:firstLine="470" w:firstLineChars="196"/>
        <w:jc w:val="left"/>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4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④</w:t>
      </w:r>
      <w:r>
        <w:rPr>
          <w:rFonts w:hint="default" w:ascii="Times New Roman" w:hAnsi="Times New Roman" w:cs="Times New Roman"/>
          <w:color w:val="auto"/>
        </w:rPr>
        <w:fldChar w:fldCharType="end"/>
      </w:r>
      <w:r>
        <w:rPr>
          <w:rFonts w:hint="default" w:ascii="Times New Roman" w:hAnsi="Times New Roman" w:cs="Times New Roman"/>
          <w:color w:val="auto"/>
        </w:rPr>
        <w:t>漏缝地板粪污处理</w:t>
      </w:r>
    </w:p>
    <w:p>
      <w:pPr>
        <w:ind w:firstLine="480"/>
        <w:rPr>
          <w:rFonts w:hint="default" w:ascii="Times New Roman" w:hAnsi="Times New Roman" w:cs="Times New Roman"/>
          <w:color w:val="auto"/>
        </w:rPr>
      </w:pPr>
      <w:r>
        <w:rPr>
          <w:rFonts w:hint="default" w:ascii="Times New Roman" w:hAnsi="Times New Roman" w:cs="Times New Roman"/>
          <w:color w:val="auto"/>
        </w:rPr>
        <w:t>猪舍采用漏缝地板，漏缝地板下设储存池，粪尿在储存池中储存后到治污区，通过固液分离机对粪污进行干湿分离，猪粪用于生产有机肥，废水进入污水处理区处理。</w:t>
      </w:r>
    </w:p>
    <w:p>
      <w:pPr>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5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⑤</w:t>
      </w:r>
      <w:r>
        <w:rPr>
          <w:rFonts w:hint="default" w:ascii="Times New Roman" w:hAnsi="Times New Roman" w:cs="Times New Roman"/>
          <w:color w:val="auto"/>
        </w:rPr>
        <w:fldChar w:fldCharType="end"/>
      </w:r>
      <w:r>
        <w:rPr>
          <w:rFonts w:hint="default" w:ascii="Times New Roman" w:hAnsi="Times New Roman" w:cs="Times New Roman"/>
          <w:color w:val="auto"/>
        </w:rPr>
        <w:t>卫生防疫</w:t>
      </w:r>
    </w:p>
    <w:p>
      <w:pPr>
        <w:ind w:firstLine="480"/>
        <w:rPr>
          <w:rFonts w:hint="default" w:ascii="Times New Roman" w:hAnsi="Times New Roman" w:cs="Times New Roman"/>
          <w:color w:val="auto"/>
        </w:rPr>
      </w:pPr>
      <w:r>
        <w:rPr>
          <w:rFonts w:hint="default" w:ascii="Times New Roman" w:hAnsi="Times New Roman" w:cs="Times New Roman"/>
          <w:color w:val="auto"/>
        </w:rPr>
        <w:t>在猪出栏后，通过高压水枪喷淋烧碱水或石灰石对猪舍进行消毒处理，发生特别疫情时用高锰酸钾消毒液进行消毒处理。</w:t>
      </w:r>
    </w:p>
    <w:p>
      <w:pPr>
        <w:ind w:firstLine="480"/>
        <w:rPr>
          <w:rFonts w:hint="default" w:ascii="Times New Roman" w:hAnsi="Times New Roman" w:cs="Times New Roman"/>
          <w:color w:val="auto"/>
        </w:rPr>
      </w:pPr>
      <w:r>
        <w:rPr>
          <w:rFonts w:hint="default" w:ascii="Times New Roman" w:hAnsi="Times New Roman" w:cs="Times New Roman"/>
          <w:color w:val="auto"/>
        </w:rPr>
        <w:t>场内部养殖区、</w:t>
      </w:r>
      <w:bookmarkStart w:id="294" w:name="_Toc468115364"/>
      <w:r>
        <w:rPr>
          <w:rFonts w:hint="default" w:ascii="Times New Roman" w:hAnsi="Times New Roman" w:cs="Times New Roman"/>
          <w:color w:val="auto"/>
        </w:rPr>
        <w:t>生活管理区建设实体隔离墙；场区、生产场区大门口建设消毒池。</w:t>
      </w:r>
    </w:p>
    <w:p>
      <w:pPr>
        <w:pStyle w:val="34"/>
        <w:ind w:firstLine="480"/>
        <w:rPr>
          <w:rFonts w:hint="default" w:ascii="Times New Roman" w:hAnsi="Times New Roman" w:cs="Times New Roman"/>
          <w:color w:val="auto"/>
        </w:rPr>
      </w:pPr>
      <w:r>
        <w:rPr>
          <w:rFonts w:hint="default" w:ascii="Times New Roman" w:hAnsi="Times New Roman" w:cs="Times New Roman"/>
          <w:color w:val="auto"/>
        </w:rPr>
        <w:t>3.2.2养殖模式与清粪工艺</w:t>
      </w:r>
      <w:bookmarkEnd w:id="294"/>
    </w:p>
    <w:p>
      <w:pPr>
        <w:ind w:firstLine="480"/>
        <w:outlineLvl w:val="3"/>
        <w:rPr>
          <w:rFonts w:hint="default" w:ascii="Times New Roman" w:hAnsi="Times New Roman" w:cs="Times New Roman"/>
          <w:color w:val="auto"/>
        </w:rPr>
      </w:pPr>
      <w:r>
        <w:rPr>
          <w:rFonts w:hint="default" w:ascii="Times New Roman" w:hAnsi="Times New Roman" w:cs="Times New Roman"/>
          <w:color w:val="auto"/>
        </w:rPr>
        <w:t>3.2.2.1  猪场养殖模式</w:t>
      </w:r>
    </w:p>
    <w:p>
      <w:pPr>
        <w:ind w:firstLine="480"/>
        <w:rPr>
          <w:rFonts w:hint="default" w:ascii="Times New Roman" w:hAnsi="Times New Roman" w:cs="Times New Roman"/>
          <w:color w:val="auto"/>
        </w:rPr>
      </w:pPr>
      <w:r>
        <w:rPr>
          <w:rFonts w:hint="default" w:ascii="Times New Roman" w:hAnsi="Times New Roman" w:cs="Times New Roman"/>
          <w:color w:val="auto"/>
        </w:rPr>
        <w:t>猪舍的设计养殖模式与清粪工艺、养殖规模、饲养方式、劳动效率、卫生防疫及养殖成本都有着密切的关系。通过考察及查阅相关资料得知，目前国内已建猪场并存的模式有农舍式、通仓式、生态垫料和高架床等。</w:t>
      </w:r>
    </w:p>
    <w:p>
      <w:pPr>
        <w:ind w:firstLine="480"/>
        <w:rPr>
          <w:rFonts w:hint="default" w:ascii="Times New Roman" w:hAnsi="Times New Roman" w:cs="Times New Roman"/>
          <w:color w:val="auto"/>
        </w:rPr>
      </w:pPr>
      <w:r>
        <w:rPr>
          <w:rFonts w:hint="default" w:ascii="Times New Roman" w:hAnsi="Times New Roman" w:cs="Times New Roman"/>
          <w:color w:val="auto"/>
        </w:rPr>
        <w:t>A、农舍式</w:t>
      </w:r>
    </w:p>
    <w:p>
      <w:pPr>
        <w:ind w:firstLine="480"/>
        <w:rPr>
          <w:rFonts w:hint="default" w:ascii="Times New Roman" w:hAnsi="Times New Roman" w:cs="Times New Roman"/>
          <w:color w:val="auto"/>
        </w:rPr>
      </w:pPr>
      <w:r>
        <w:rPr>
          <w:rFonts w:hint="default" w:ascii="Times New Roman" w:hAnsi="Times New Roman" w:cs="Times New Roman"/>
          <w:color w:val="auto"/>
        </w:rPr>
        <w:t>农舍式基本上由传统的农家猪舍改造集合而成，每个养猪单元内划分休息区、喂食饮水区、排粪区。排粪区内的尿液至收集槽内汇集，猪粪由人工清除后运出，以水冲洗残渣，属于干清粪模式。</w:t>
      </w:r>
    </w:p>
    <w:p>
      <w:pPr>
        <w:ind w:firstLine="480"/>
        <w:rPr>
          <w:rFonts w:hint="default" w:ascii="Times New Roman" w:hAnsi="Times New Roman" w:cs="Times New Roman"/>
          <w:color w:val="auto"/>
        </w:rPr>
      </w:pPr>
      <w:r>
        <w:rPr>
          <w:rFonts w:hint="default" w:ascii="Times New Roman" w:hAnsi="Times New Roman" w:cs="Times New Roman"/>
          <w:color w:val="auto"/>
        </w:rPr>
        <w:t>优点：该模式符合《畜禽养殖业污染防治技术规范》（HJ/T81-2001）中4.3款“新建、改建、扩建的畜禽养殖场应采取干清粪工艺，采取有效措施及时、单独清出，不可与尿、污水混合排出，并将产生的粪渣及时运至贮存或处理场所，实现日产日清”的要求。粪便与尿液分离彻底，废水污染物浓度低，便于污水的后续处理。</w:t>
      </w:r>
    </w:p>
    <w:p>
      <w:pPr>
        <w:ind w:firstLine="480"/>
        <w:rPr>
          <w:rFonts w:hint="default" w:ascii="Times New Roman" w:hAnsi="Times New Roman" w:cs="Times New Roman"/>
          <w:color w:val="auto"/>
        </w:rPr>
      </w:pPr>
      <w:r>
        <w:rPr>
          <w:rFonts w:hint="default" w:ascii="Times New Roman" w:hAnsi="Times New Roman" w:cs="Times New Roman"/>
          <w:color w:val="auto"/>
        </w:rPr>
        <w:t>缺点：该模式存在以下问题：a、难以实现机械化操作，平均一名饲养员只能饲养300头生猪，劳动力需求大；b、猪舍占地面积大，相应的增加了冲洗面积，冲洗水量和废水产生量大；c、单位面积经济产出低，不适于集约化经营。</w:t>
      </w:r>
    </w:p>
    <w:p>
      <w:pPr>
        <w:ind w:firstLine="480"/>
        <w:rPr>
          <w:rFonts w:hint="default" w:ascii="Times New Roman" w:hAnsi="Times New Roman" w:cs="Times New Roman"/>
          <w:color w:val="auto"/>
        </w:rPr>
      </w:pPr>
      <w:r>
        <w:rPr>
          <w:rFonts w:hint="default" w:ascii="Times New Roman" w:hAnsi="Times New Roman" w:cs="Times New Roman"/>
          <w:color w:val="auto"/>
        </w:rPr>
        <w:t>B、通仓式</w:t>
      </w:r>
    </w:p>
    <w:p>
      <w:pPr>
        <w:ind w:firstLine="480"/>
        <w:rPr>
          <w:rFonts w:hint="default" w:ascii="Times New Roman" w:hAnsi="Times New Roman" w:cs="Times New Roman"/>
          <w:color w:val="auto"/>
        </w:rPr>
      </w:pPr>
      <w:r>
        <w:rPr>
          <w:rFonts w:hint="default" w:ascii="Times New Roman" w:hAnsi="Times New Roman" w:cs="Times New Roman"/>
          <w:color w:val="auto"/>
        </w:rPr>
        <w:t>通仓式为20世纪80年代由西方引进的水冲粪模式改造而来，圈舍呈条排式设计，净道和脏道于圈舍两端贯穿，净道上料、脏道清粪。脏道设于车间内，猪粪尿排入脏道内，由人工清出固粪，尿液排入集尿池内，再用水冲洗猪舍和脏道。</w:t>
      </w:r>
    </w:p>
    <w:p>
      <w:pPr>
        <w:ind w:firstLine="480"/>
        <w:rPr>
          <w:rFonts w:hint="default" w:ascii="Times New Roman" w:hAnsi="Times New Roman" w:cs="Times New Roman"/>
          <w:color w:val="auto"/>
        </w:rPr>
      </w:pPr>
      <w:r>
        <w:rPr>
          <w:rFonts w:hint="default" w:ascii="Times New Roman" w:hAnsi="Times New Roman" w:cs="Times New Roman"/>
          <w:color w:val="auto"/>
        </w:rPr>
        <w:t>优点：可保持猪舍内的环境清洁，利于动物健康。劳动强度小，劳动效率高。</w:t>
      </w:r>
    </w:p>
    <w:p>
      <w:pPr>
        <w:ind w:firstLine="480"/>
        <w:rPr>
          <w:rFonts w:hint="default" w:ascii="Times New Roman" w:hAnsi="Times New Roman" w:cs="Times New Roman"/>
          <w:color w:val="auto"/>
        </w:rPr>
      </w:pPr>
      <w:r>
        <w:rPr>
          <w:rFonts w:hint="default" w:ascii="Times New Roman" w:hAnsi="Times New Roman" w:cs="Times New Roman"/>
          <w:color w:val="auto"/>
        </w:rPr>
        <w:t>缺点：耗水量大，废水污染物浓度高，固液分离后，大部分可溶性有机质及微量元素等留在污水中，分离出的固体物养分含量低，肥料利用价值较小，另外污水处理基建投资大，动力消耗及运行成本均较高。</w:t>
      </w:r>
    </w:p>
    <w:p>
      <w:pPr>
        <w:ind w:firstLine="480"/>
        <w:rPr>
          <w:rFonts w:hint="default" w:ascii="Times New Roman" w:hAnsi="Times New Roman" w:cs="Times New Roman"/>
          <w:color w:val="auto"/>
        </w:rPr>
      </w:pPr>
      <w:r>
        <w:rPr>
          <w:rFonts w:hint="default" w:ascii="Times New Roman" w:hAnsi="Times New Roman" w:cs="Times New Roman"/>
          <w:color w:val="auto"/>
        </w:rPr>
        <w:t>C、生态垫料</w:t>
      </w:r>
    </w:p>
    <w:p>
      <w:pPr>
        <w:ind w:firstLine="480"/>
        <w:rPr>
          <w:rFonts w:hint="default" w:ascii="Times New Roman" w:hAnsi="Times New Roman" w:cs="Times New Roman"/>
          <w:color w:val="auto"/>
        </w:rPr>
      </w:pPr>
      <w:r>
        <w:rPr>
          <w:rFonts w:hint="default" w:ascii="Times New Roman" w:hAnsi="Times New Roman" w:cs="Times New Roman"/>
          <w:color w:val="auto"/>
        </w:rPr>
        <w:t>发酵床为日本、台湾等地区广泛采用的养殖工艺，由福建、山东等地引入。具体工艺是粪尿排至舍内预铺设垫料上，再利用生猪的拱翻习性作为机器加工，使猪粪、尿和垫料充分混合，通过发酵床的分解发酵，使猪粪、尿中的有机物质得到充分的分解和转化，植物以尚未消化的猪粪为食饵，繁殖滋生。随着猪粪尿的处理，臭味也就没有了。而同时繁殖生长的大量植物又向生猪提供了无机物营养和菌体蛋白质被猪食用，从而相辅相成将猪舍垫料发酵床演变成微生态饲料加工厂，达到无臭、无味、无害化的目的，是一种无污染、无排放的、无臭气的新型环保</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"http://baike.baidu.com/view/3923967.htm" </w:instrText>
      </w:r>
      <w:r>
        <w:rPr>
          <w:rFonts w:hint="default" w:ascii="Times New Roman" w:hAnsi="Times New Roman" w:cs="Times New Roman"/>
          <w:color w:val="auto"/>
        </w:rPr>
        <w:fldChar w:fldCharType="separate"/>
      </w:r>
      <w:r>
        <w:rPr>
          <w:rFonts w:hint="default" w:ascii="Times New Roman" w:hAnsi="Times New Roman" w:cs="Times New Roman"/>
          <w:color w:val="auto"/>
        </w:rPr>
        <w:t>生态养猪技术</w:t>
      </w:r>
      <w:r>
        <w:rPr>
          <w:rFonts w:hint="default" w:ascii="Times New Roman" w:hAnsi="Times New Roman" w:cs="Times New Roman"/>
          <w:color w:val="auto"/>
        </w:rPr>
        <w:fldChar w:fldCharType="end"/>
      </w:r>
      <w:r>
        <w:rPr>
          <w:rFonts w:hint="default" w:ascii="Times New Roman" w:hAnsi="Times New Roman" w:cs="Times New Roman"/>
          <w:color w:val="auto"/>
        </w:rPr>
        <w:t>。其特点是粪污固性化，利于资源化处理利用，排污周期长，养殖期无需人工清粪。</w:t>
      </w:r>
    </w:p>
    <w:p>
      <w:pPr>
        <w:ind w:firstLine="480"/>
        <w:rPr>
          <w:rFonts w:hint="default" w:ascii="Times New Roman" w:hAnsi="Times New Roman" w:cs="Times New Roman"/>
          <w:color w:val="auto"/>
        </w:rPr>
      </w:pPr>
      <w:r>
        <w:rPr>
          <w:rFonts w:hint="default" w:ascii="Times New Roman" w:hAnsi="Times New Roman" w:cs="Times New Roman"/>
          <w:color w:val="auto"/>
        </w:rPr>
        <w:t>优点：基建投资小；冬季猪舍不需加温，节约资源能源；粪污资源化利用程度高；无需人工清粪。</w:t>
      </w:r>
    </w:p>
    <w:p>
      <w:pPr>
        <w:ind w:firstLine="480"/>
        <w:rPr>
          <w:rFonts w:hint="default" w:ascii="Times New Roman" w:hAnsi="Times New Roman" w:cs="Times New Roman"/>
          <w:color w:val="auto"/>
        </w:rPr>
      </w:pPr>
      <w:r>
        <w:rPr>
          <w:rFonts w:hint="default" w:ascii="Times New Roman" w:hAnsi="Times New Roman" w:cs="Times New Roman"/>
          <w:color w:val="auto"/>
        </w:rPr>
        <w:t>缺点：垫料菌种投资大；生猪料肉比低，生长周期长，饲料投入大；猪粪在垫料上需要翻料埋粪，劳动强度大；夏季温度高，需做降温处理，冬季不宜冲水，垫料干燥，猪舍内粉尘量大，易引发呼吸道疾病。</w:t>
      </w:r>
    </w:p>
    <w:p>
      <w:pPr>
        <w:ind w:firstLine="480"/>
        <w:rPr>
          <w:rFonts w:hint="default" w:ascii="Times New Roman" w:hAnsi="Times New Roman" w:cs="Times New Roman"/>
          <w:color w:val="auto"/>
        </w:rPr>
      </w:pPr>
      <w:r>
        <w:rPr>
          <w:rFonts w:hint="default" w:ascii="Times New Roman" w:hAnsi="Times New Roman" w:cs="Times New Roman"/>
          <w:color w:val="auto"/>
        </w:rPr>
        <w:t>D、高架床</w:t>
      </w:r>
      <w:r>
        <w:rPr>
          <w:rFonts w:hint="default" w:ascii="Times New Roman" w:hAnsi="Times New Roman" w:cs="Times New Roman"/>
          <w:color w:val="auto"/>
        </w:rPr>
        <w:tab/>
      </w:r>
    </w:p>
    <w:p>
      <w:pPr>
        <w:ind w:firstLine="480"/>
        <w:rPr>
          <w:rFonts w:hint="default" w:ascii="Times New Roman" w:hAnsi="Times New Roman" w:cs="Times New Roman"/>
          <w:color w:val="auto"/>
        </w:rPr>
      </w:pPr>
      <w:r>
        <w:rPr>
          <w:rFonts w:hint="default" w:ascii="Times New Roman" w:hAnsi="Times New Roman" w:cs="Times New Roman"/>
          <w:color w:val="auto"/>
        </w:rPr>
        <w:t>高架床属欧美等西方国家推广和普遍采用的先进养殖模式，猪舍设计为高架网床漏缝板，下部设集粪池，猪粪和尿液经漏缝板下泄至集粪池内，池中预加水作水封，单池排贮周期为2~3个月，待猪出栏时，将贮粪池冲水，尿、粪混合物一次排出贮池。</w:t>
      </w:r>
    </w:p>
    <w:p>
      <w:pPr>
        <w:ind w:firstLine="480"/>
        <w:rPr>
          <w:rFonts w:hint="default" w:ascii="Times New Roman" w:hAnsi="Times New Roman" w:cs="Times New Roman"/>
          <w:color w:val="auto"/>
        </w:rPr>
      </w:pPr>
      <w:r>
        <w:rPr>
          <w:rFonts w:hint="default" w:ascii="Times New Roman" w:hAnsi="Times New Roman" w:cs="Times New Roman"/>
          <w:color w:val="auto"/>
        </w:rPr>
        <w:t>优点：基建投资小；粪污无需人工清理，清理周期长；猪舍平时无需冲洗，用水量和排水量小。</w:t>
      </w:r>
    </w:p>
    <w:p>
      <w:pPr>
        <w:ind w:firstLine="480"/>
        <w:rPr>
          <w:rFonts w:hint="default" w:ascii="Times New Roman" w:hAnsi="Times New Roman" w:cs="Times New Roman"/>
          <w:color w:val="auto"/>
        </w:rPr>
      </w:pPr>
      <w:r>
        <w:rPr>
          <w:rFonts w:hint="default" w:ascii="Times New Roman" w:hAnsi="Times New Roman" w:cs="Times New Roman"/>
          <w:color w:val="auto"/>
        </w:rPr>
        <w:t>缺点：粪污经长时间浸泡，污染物浓度高，固液分离难度大，增加后续污水处理成本。</w:t>
      </w:r>
    </w:p>
    <w:p>
      <w:pPr>
        <w:ind w:firstLine="480"/>
        <w:outlineLvl w:val="3"/>
        <w:rPr>
          <w:rFonts w:hint="default" w:ascii="Times New Roman" w:hAnsi="Times New Roman" w:cs="Times New Roman"/>
          <w:color w:val="auto"/>
        </w:rPr>
      </w:pPr>
      <w:r>
        <w:rPr>
          <w:rFonts w:hint="default" w:ascii="Times New Roman" w:hAnsi="Times New Roman" w:cs="Times New Roman"/>
          <w:color w:val="auto"/>
        </w:rPr>
        <w:t>3.2.2.2  项目设计养殖模式与清粪模式</w:t>
      </w:r>
    </w:p>
    <w:p>
      <w:pPr>
        <w:ind w:firstLine="480"/>
        <w:rPr>
          <w:rFonts w:hint="default" w:ascii="Times New Roman" w:hAnsi="Times New Roman" w:cs="Times New Roman"/>
          <w:color w:val="auto"/>
        </w:rPr>
      </w:pPr>
      <w:r>
        <w:rPr>
          <w:rFonts w:hint="default" w:ascii="Times New Roman" w:hAnsi="Times New Roman" w:cs="Times New Roman"/>
          <w:color w:val="auto"/>
        </w:rPr>
        <w:t>通过对比目前国内主要的养殖模式和清粪模式，牧原食品股份有限公司在高架网床的基础上，进行了一定的技术改造，采用干清粪工艺作为公司养殖清粪模式，该模式已在牧原食品股份有限公司其他养殖场得到了广泛应用。</w:t>
      </w:r>
    </w:p>
    <w:p>
      <w:pPr>
        <w:ind w:firstLine="480"/>
        <w:rPr>
          <w:rFonts w:hint="default" w:ascii="Times New Roman" w:hAnsi="Times New Roman" w:eastAsia="宋体" w:cs="Times New Roman"/>
          <w:b/>
          <w:bCs w:val="0"/>
          <w:color w:val="auto"/>
          <w:u w:val="single"/>
          <w:lang w:val="en-US" w:eastAsia="zh-CN"/>
        </w:rPr>
      </w:pPr>
      <w:r>
        <w:rPr>
          <w:rFonts w:hint="default" w:ascii="Times New Roman" w:hAnsi="Times New Roman" w:cs="Times New Roman"/>
          <w:b/>
          <w:bCs w:val="0"/>
          <w:color w:val="auto"/>
          <w:u w:val="single"/>
        </w:rPr>
        <w:t>本项目采用干清粪工艺：猪生活在漏缝地板上，猪舍内产生的猪粪由于猪的踩踏及重力作用离开猪舍进入猪舍底部的粪污储存池，储存池底部有5‰的坡度，粪污管道将猪舍漏缝地板下的粪污储存池分成几个区段，每个区段粪污储存池最低端安装一个接头，接头处配备一个排粪塞，以保证液体粪污能存留在猪舍粪污储存池中。当储存池液位达到规定液位后及时清理，当排空粪污储存池时，工人将排粪塞子用钩子提起来，随着排污塞子的打开，猪粪尿开始陆续从一个个小单元粪污储存池流入排污管道，然后进入污水处理站干湿（固液）分离工段。为减少猪粪恶臭的产生，针对清粪工艺采取以下措施：（1）当储存池液位达到规定液位后及时清理，环评建议猪粪做到日产日清，不在猪舍内存储，减少恶臭气体的无组织排放；（2）转栏时对猪舍及储存池用高压水枪进行冲洗。</w:t>
      </w:r>
    </w:p>
    <w:p>
      <w:pPr>
        <w:ind w:firstLine="480"/>
        <w:rPr>
          <w:rFonts w:hint="default" w:ascii="Times New Roman" w:hAnsi="Times New Roman" w:eastAsia="宋体" w:cs="Times New Roman"/>
          <w:b/>
          <w:bCs w:val="0"/>
          <w:color w:val="auto"/>
          <w:u w:val="single"/>
          <w:lang w:eastAsia="zh-CN"/>
        </w:rPr>
      </w:pPr>
      <w:r>
        <w:rPr>
          <w:rFonts w:hint="default" w:ascii="Times New Roman" w:hAnsi="Times New Roman" w:cs="Times New Roman"/>
          <w:b/>
          <w:bCs/>
          <w:color w:val="auto"/>
          <w:u w:val="single"/>
          <w:lang w:eastAsia="zh-CN"/>
        </w:rPr>
        <w:t>评价建议在营运过程中，及时清理出猪舍内猪粪尿，</w:t>
      </w:r>
      <w:r>
        <w:rPr>
          <w:rFonts w:hint="default" w:ascii="Times New Roman" w:hAnsi="Times New Roman" w:cs="Times New Roman"/>
          <w:b/>
          <w:bCs w:val="0"/>
          <w:color w:val="auto"/>
          <w:u w:val="single"/>
        </w:rPr>
        <w:t>进入收集池，再通过两相流泵将猪粪尿抽送至固液分离机，分离后的固态猪粪送至固粪处理区；液体进入黑膜沼气池进行厌氧发酵</w:t>
      </w:r>
      <w:r>
        <w:rPr>
          <w:rFonts w:hint="default" w:ascii="Times New Roman" w:hAnsi="Times New Roman" w:cs="Times New Roman"/>
          <w:b/>
          <w:bCs w:val="0"/>
          <w:color w:val="auto"/>
          <w:u w:val="single"/>
          <w:lang w:eastAsia="zh-CN"/>
        </w:rPr>
        <w:t>，做到及时清理及时分离。</w:t>
      </w:r>
      <w:r>
        <w:rPr>
          <w:rFonts w:hint="eastAsia" w:cs="Times New Roman"/>
          <w:b/>
          <w:bCs w:val="0"/>
          <w:color w:val="auto"/>
          <w:u w:val="single"/>
          <w:lang w:eastAsia="zh-CN"/>
        </w:rPr>
        <w:t>固液分离区、堆肥场位于一个区域（固粪处理区）。</w:t>
      </w:r>
    </w:p>
    <w:p>
      <w:pPr>
        <w:pStyle w:val="10"/>
        <w:ind w:firstLine="420"/>
        <w:rPr>
          <w:rFonts w:hint="default" w:ascii="Times New Roman" w:hAnsi="Times New Roman" w:cs="Times New Roman"/>
          <w:b/>
          <w:bCs w:val="0"/>
          <w:color w:val="auto"/>
          <w:u w:val="single"/>
        </w:rPr>
      </w:pPr>
      <w:r>
        <w:rPr>
          <w:rFonts w:hint="default" w:ascii="Times New Roman" w:hAnsi="Times New Roman" w:cs="Times New Roman"/>
          <w:b/>
          <w:bCs w:val="0"/>
          <w:color w:val="auto"/>
          <w:u w:val="single"/>
        </w:rPr>
        <w:t>厌氧发酵产生的沼液暂存于</w:t>
      </w:r>
      <w:r>
        <w:rPr>
          <w:rFonts w:hint="default" w:ascii="Times New Roman" w:hAnsi="Times New Roman" w:cs="Times New Roman"/>
          <w:b/>
          <w:bCs w:val="0"/>
          <w:color w:val="auto"/>
          <w:u w:val="single"/>
          <w:lang w:eastAsia="zh-CN"/>
        </w:rPr>
        <w:t>沼液存储池</w:t>
      </w:r>
      <w:r>
        <w:rPr>
          <w:rFonts w:hint="default" w:ascii="Times New Roman" w:hAnsi="Times New Roman" w:cs="Times New Roman"/>
          <w:b/>
          <w:bCs w:val="0"/>
          <w:color w:val="auto"/>
          <w:u w:val="single"/>
        </w:rPr>
        <w:t>，用于农田施肥。漏缝板下部为收集池，池子距离地平面为35cm。池猪舍底部粪污贮存池防渗为混凝土防渗，滤出来的水经过底部斜度形成的导流槽回流至收集池。固粪处理区混凝土防渗，为猪粪进行厌氧发酵，发酵后作为有机肥半成品近期外售。</w:t>
      </w:r>
    </w:p>
    <w:p>
      <w:pPr>
        <w:ind w:firstLine="480"/>
        <w:rPr>
          <w:rFonts w:hint="default" w:ascii="Times New Roman" w:hAnsi="Times New Roman" w:cs="Times New Roman"/>
          <w:b/>
          <w:bCs w:val="0"/>
          <w:color w:val="auto"/>
          <w:u w:val="single"/>
        </w:rPr>
      </w:pPr>
      <w:r>
        <w:rPr>
          <w:rFonts w:hint="default" w:ascii="Times New Roman" w:hAnsi="Times New Roman" w:cs="Times New Roman"/>
          <w:b/>
          <w:bCs w:val="0"/>
          <w:color w:val="auto"/>
          <w:u w:val="single"/>
        </w:rPr>
        <w:t>圈舍冲洗仅在转栏时进行，废水产生量少；粪污在存栏周期内在圈舍内储存不排外，经过充分的水解酸化，舍内恶臭气体浓度明显降低；同时粪污离开圈舍即进行干湿分离，废水经厌氧发酵处理后做农肥施用于农田，固形物则经过堆肥发酵作为有机肥外售，实现了粪污的资源化利用。</w:t>
      </w:r>
    </w:p>
    <w:p>
      <w:pPr>
        <w:kinsoku w:val="0"/>
        <w:overflowPunct w:val="0"/>
        <w:ind w:firstLine="0" w:firstLineChars="0"/>
        <w:rPr>
          <w:rFonts w:hint="default" w:ascii="Times New Roman" w:hAnsi="Times New Roman" w:eastAsia="黑体" w:cs="Times New Roman"/>
          <w:color w:val="auto"/>
        </w:rPr>
      </w:pPr>
      <w:r>
        <w:rPr>
          <w:rFonts w:hint="default" w:ascii="Times New Roman" w:hAnsi="Times New Roman" w:cs="Times New Roman"/>
          <w:color w:val="auto"/>
        </w:rPr>
        <w:drawing>
          <wp:inline distT="0" distB="0" distL="114300" distR="114300">
            <wp:extent cx="5540375" cy="3064510"/>
            <wp:effectExtent l="9525" t="9525" r="12700" b="1206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35"/>
                    <a:stretch>
                      <a:fillRect/>
                    </a:stretch>
                  </pic:blipFill>
                  <pic:spPr>
                    <a:xfrm>
                      <a:off x="0" y="0"/>
                      <a:ext cx="5540375" cy="3064510"/>
                    </a:xfrm>
                    <a:prstGeom prst="rect">
                      <a:avLst/>
                    </a:prstGeom>
                    <a:noFill/>
                    <a:ln w="3175" cmpd="sng">
                      <a:solidFill>
                        <a:schemeClr val="tx1"/>
                      </a:solidFill>
                      <a:prstDash val="solid"/>
                    </a:ln>
                  </pic:spPr>
                </pic:pic>
              </a:graphicData>
            </a:graphic>
          </wp:inline>
        </w:drawing>
      </w:r>
    </w:p>
    <w:p>
      <w:pPr>
        <w:kinsoku w:val="0"/>
        <w:overflowPunct w:val="0"/>
        <w:ind w:firstLine="480"/>
        <w:jc w:val="center"/>
        <w:rPr>
          <w:rFonts w:hint="default" w:ascii="Times New Roman" w:hAnsi="Times New Roman" w:eastAsia="黑体" w:cs="Times New Roman"/>
          <w:color w:val="auto"/>
        </w:rPr>
      </w:pPr>
      <w:r>
        <w:rPr>
          <w:rFonts w:hint="default" w:ascii="Times New Roman" w:hAnsi="Times New Roman" w:eastAsia="黑体" w:cs="Times New Roman"/>
          <w:color w:val="auto"/>
        </w:rPr>
        <w:t>图3-4    本项目清粪工艺示意图</w:t>
      </w:r>
    </w:p>
    <w:p>
      <w:pPr>
        <w:ind w:firstLine="480"/>
        <w:rPr>
          <w:rFonts w:hint="default" w:ascii="Times New Roman" w:hAnsi="Times New Roman" w:cs="Times New Roman"/>
          <w:b/>
          <w:bCs w:val="0"/>
          <w:color w:val="auto"/>
          <w:u w:val="single"/>
        </w:rPr>
      </w:pPr>
      <w:r>
        <w:rPr>
          <w:rFonts w:hint="default" w:ascii="Times New Roman" w:hAnsi="Times New Roman" w:cs="Times New Roman"/>
          <w:b/>
          <w:bCs w:val="0"/>
          <w:color w:val="auto"/>
          <w:u w:val="single"/>
        </w:rPr>
        <w:t>根据《畜禽养殖业污染防治技术政策》（环发［2012］151号）有关规定，不适合敷设垫料的畜禽养殖圈、舍，宜采用漏缝地板和粪、尿分离排放的圈舍结构，有利于畜禽粪污的固液分离与干式清除。本项目采用干清粪工艺，符合《畜禽养殖业污染防治技术政策》（环发［2012］151号）要求。</w:t>
      </w:r>
    </w:p>
    <w:p>
      <w:pPr>
        <w:ind w:firstLine="480"/>
        <w:rPr>
          <w:rFonts w:hint="default" w:ascii="Times New Roman" w:hAnsi="Times New Roman" w:cs="Times New Roman"/>
          <w:color w:val="auto"/>
        </w:rPr>
      </w:pPr>
      <w:r>
        <w:rPr>
          <w:rFonts w:hint="default" w:ascii="Times New Roman" w:hAnsi="Times New Roman" w:cs="Times New Roman"/>
          <w:b/>
          <w:bCs w:val="0"/>
          <w:color w:val="auto"/>
          <w:u w:val="single"/>
        </w:rPr>
        <w:t>环保部办公厅“关于牧原食品股份有限公司部分养殖场清粪工艺问题的复函”（环办函【2015】425号）明确指出：“牧原食品股份有限公司部分养殖场所采用的清粪工艺不将清水用于圈舍粪尿日常清理，粪尿产生即依靠重力离开猪舍进入储存池，大大减少了粪污产生量，并实现粪尿及时清理；粪污离开储存池即进行干湿分离和无害化处理并全部实现综合利用，没有混合排出。我部认为该清粪工艺具备干清粪工艺基本特征，符合相关技术规范的要求。</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与目前国内采用的集中常用的养殖模式对比，本项目所用干清粪模式具有以下优点：①养殖模式实现了干清粪，符合技术规范要求；②适合进行大规模集约化养殖；③减少了劳动强度和人力资源消耗；④采用立体设计结构，生猪饲养、粪污清理和废水收集垂直进行，减少了占地面积。</w:t>
      </w:r>
    </w:p>
    <w:p>
      <w:pPr>
        <w:ind w:firstLine="480"/>
        <w:rPr>
          <w:rFonts w:hint="default" w:ascii="Times New Roman" w:hAnsi="Times New Roman" w:eastAsia="宋体" w:cs="Times New Roman"/>
          <w:b/>
          <w:bCs/>
          <w:color w:val="auto"/>
          <w:u w:val="single"/>
          <w:lang w:eastAsia="zh-CN"/>
        </w:rPr>
      </w:pPr>
      <w:r>
        <w:rPr>
          <w:rFonts w:hint="default" w:ascii="Times New Roman" w:hAnsi="Times New Roman" w:cs="Times New Roman"/>
          <w:b/>
          <w:bCs/>
          <w:color w:val="auto"/>
          <w:u w:val="single"/>
        </w:rPr>
        <w:t>本项目采用干清粪工艺，符合《畜禽养殖业污染防治技术政策》（环发［2012］151号）要求，且与其他模式相比具有明显优势和先进性。综合对比分析，项目选取模式可行。</w:t>
      </w:r>
    </w:p>
    <w:p>
      <w:pPr>
        <w:pStyle w:val="34"/>
        <w:ind w:firstLine="480"/>
        <w:rPr>
          <w:rFonts w:hint="default" w:ascii="Times New Roman" w:hAnsi="Times New Roman" w:cs="Times New Roman"/>
          <w:color w:val="auto"/>
        </w:rPr>
      </w:pPr>
      <w:bookmarkStart w:id="295" w:name="_Toc468115365"/>
      <w:bookmarkStart w:id="296" w:name="_Toc388881908"/>
      <w:bookmarkStart w:id="297" w:name="_Toc413166127"/>
      <w:bookmarkStart w:id="298" w:name="_Toc406847407"/>
      <w:bookmarkStart w:id="299" w:name="_Toc407001400"/>
      <w:r>
        <w:rPr>
          <w:rFonts w:hint="default" w:ascii="Times New Roman" w:hAnsi="Times New Roman" w:cs="Times New Roman"/>
          <w:color w:val="auto"/>
        </w:rPr>
        <w:t>3.2.3污染物处理工艺</w:t>
      </w:r>
      <w:bookmarkEnd w:id="295"/>
      <w:bookmarkEnd w:id="296"/>
      <w:bookmarkEnd w:id="297"/>
      <w:bookmarkEnd w:id="298"/>
      <w:bookmarkEnd w:id="299"/>
    </w:p>
    <w:p>
      <w:pPr>
        <w:ind w:firstLine="480"/>
        <w:outlineLvl w:val="3"/>
        <w:rPr>
          <w:rFonts w:hint="default" w:ascii="Times New Roman" w:hAnsi="Times New Roman" w:cs="Times New Roman"/>
          <w:color w:val="auto"/>
        </w:rPr>
      </w:pPr>
      <w:r>
        <w:rPr>
          <w:rFonts w:hint="default" w:ascii="Times New Roman" w:hAnsi="Times New Roman" w:cs="Times New Roman"/>
          <w:color w:val="auto"/>
        </w:rPr>
        <w:t>3.2.3.1 粪污水处理工艺流程</w:t>
      </w:r>
    </w:p>
    <w:p>
      <w:pPr>
        <w:ind w:firstLine="480"/>
        <w:rPr>
          <w:rFonts w:hint="default" w:ascii="Times New Roman" w:hAnsi="Times New Roman" w:cs="Times New Roman"/>
          <w:color w:val="auto"/>
        </w:rPr>
      </w:pPr>
      <w:r>
        <w:rPr>
          <w:rFonts w:hint="default" w:ascii="Times New Roman" w:hAnsi="Times New Roman" w:cs="Times New Roman"/>
          <w:bCs/>
          <w:color w:val="auto"/>
        </w:rPr>
        <w:t>本项目采用干清粪工艺：猪生活在漏缝地板上，猪舍内产生的猪粪由于猪的踩踏及重力作用离开猪舍进入猪舍底部的粪污储存池，储存池底部有5‰的坡度，粪污管道将猪舍漏缝地板下的粪污储存池分成几个区段，每个区段粪污储存池最低端安装一个接头，接头处配备一个排粪塞，以保证液体粪污能存留在猪舍粪污储存池中。当储存池液位达到规定液位后及时清理，当排空粪污储存池时，工人将排粪塞子用钩子提起来，随着排污塞子的打开，</w:t>
      </w:r>
      <w:r>
        <w:rPr>
          <w:rFonts w:hint="default" w:ascii="Times New Roman" w:hAnsi="Times New Roman" w:cs="Times New Roman"/>
          <w:color w:val="auto"/>
        </w:rPr>
        <w:t>猪粪尿通过虹吸原理从粪污储存池流入收集池，再通过两相流泵将猪粪尿抽送至固液分离机，分离后的固态猪粪送至固粪处理区；液体进入黑膜沼气池进行厌氧发酵。</w:t>
      </w:r>
    </w:p>
    <w:p>
      <w:pPr>
        <w:ind w:firstLine="480"/>
        <w:rPr>
          <w:rFonts w:hint="default" w:ascii="Times New Roman" w:hAnsi="Times New Roman" w:cs="Times New Roman"/>
          <w:color w:val="auto"/>
        </w:rPr>
      </w:pPr>
      <w:r>
        <w:rPr>
          <w:rFonts w:hint="default" w:ascii="Times New Roman" w:hAnsi="Times New Roman" w:cs="Times New Roman"/>
          <w:color w:val="auto"/>
        </w:rPr>
        <w:t>固液分离机是使固态猪粪先通过过滤振动筛滤除一部分水分，然后再通过螺旋挤压原理将猪粪中的水分进一步去除，经固液分离机分离出来的粪便的含水率在</w:t>
      </w:r>
      <w:r>
        <w:rPr>
          <w:rFonts w:hint="default" w:ascii="Times New Roman" w:hAnsi="Times New Roman" w:cs="Times New Roman"/>
          <w:color w:val="auto"/>
          <w:lang w:val="en-US" w:eastAsia="zh-CN"/>
        </w:rPr>
        <w:t>5</w:t>
      </w:r>
      <w:r>
        <w:rPr>
          <w:rFonts w:hint="default" w:ascii="Times New Roman" w:hAnsi="Times New Roman" w:cs="Times New Roman"/>
          <w:color w:val="auto"/>
        </w:rPr>
        <w:t>0%左右。</w:t>
      </w:r>
    </w:p>
    <w:p>
      <w:pPr>
        <w:ind w:firstLine="480"/>
        <w:rPr>
          <w:rFonts w:hint="default" w:ascii="Times New Roman" w:hAnsi="Times New Roman" w:cs="Times New Roman"/>
          <w:b/>
          <w:bCs/>
          <w:i w:val="0"/>
          <w:iCs w:val="0"/>
          <w:color w:val="auto"/>
          <w:u w:val="single"/>
        </w:rPr>
      </w:pPr>
      <w:r>
        <w:rPr>
          <w:rFonts w:hint="default" w:ascii="Times New Roman" w:hAnsi="Times New Roman" w:cs="Times New Roman"/>
          <w:b/>
          <w:bCs/>
          <w:i w:val="0"/>
          <w:iCs w:val="0"/>
          <w:color w:val="auto"/>
          <w:u w:val="single"/>
        </w:rPr>
        <w:t>黑膜沼气池底链接有排沼泥管道（管道上有花孔），排泥管道通过与沼气池旁边设置的排泥泵连接，排放污泥时，通过利用排泥泵装置中的真空罐抽成真空，由于虹吸原理沼气池底部的沼渣就被从黑膜沼气池底边抽出来，</w:t>
      </w:r>
      <w:r>
        <w:rPr>
          <w:rFonts w:hint="default" w:ascii="Times New Roman" w:hAnsi="Times New Roman" w:cs="Times New Roman"/>
          <w:b/>
          <w:bCs/>
          <w:i w:val="0"/>
          <w:iCs w:val="0"/>
          <w:color w:val="auto"/>
          <w:sz w:val="24"/>
          <w:u w:val="single"/>
          <w:lang w:val="en-US" w:eastAsia="zh-CN"/>
        </w:rPr>
        <w:t>排出的沼渣再次进入收集池经固液分离后进入黑膜发酵。</w:t>
      </w:r>
    </w:p>
    <w:p>
      <w:pPr>
        <w:topLinePunct/>
        <w:ind w:firstLine="480"/>
        <w:rPr>
          <w:rFonts w:hint="default" w:ascii="Times New Roman" w:hAnsi="Times New Roman" w:cs="Times New Roman"/>
          <w:color w:val="auto"/>
        </w:rPr>
      </w:pPr>
      <w:r>
        <w:rPr>
          <w:rFonts w:hint="default" w:ascii="Times New Roman" w:hAnsi="Times New Roman" w:cs="Times New Roman"/>
          <w:color w:val="auto"/>
          <w:lang w:eastAsia="zh-CN"/>
        </w:rPr>
        <w:t>固粪处理</w:t>
      </w:r>
      <w:r>
        <w:rPr>
          <w:rFonts w:hint="default" w:ascii="Times New Roman" w:hAnsi="Times New Roman" w:cs="Times New Roman"/>
          <w:color w:val="auto"/>
        </w:rPr>
        <w:t>区防渗从下往上依次为：素土夯实+</w:t>
      </w:r>
      <w:r>
        <w:rPr>
          <w:rFonts w:hint="default" w:ascii="Times New Roman" w:hAnsi="Times New Roman" w:cs="Times New Roman"/>
          <w:color w:val="auto"/>
          <w:lang w:eastAsia="zh-CN"/>
        </w:rPr>
        <w:t>混凝土</w:t>
      </w:r>
      <w:r>
        <w:rPr>
          <w:rFonts w:hint="default" w:ascii="Times New Roman" w:hAnsi="Times New Roman" w:cs="Times New Roman"/>
          <w:color w:val="auto"/>
        </w:rPr>
        <w:t>，猪粪进行好氧条垛堆肥，堆肥后作为有机肥原料后外售。本项目粪污水处理工艺见图3-5。</w:t>
      </w:r>
    </w:p>
    <w:p>
      <w:pPr>
        <w:topLinePunct/>
        <w:ind w:firstLine="0" w:firstLineChars="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544820" cy="5164455"/>
            <wp:effectExtent l="9525" t="9525" r="27305" b="2667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36"/>
                    <a:stretch>
                      <a:fillRect/>
                    </a:stretch>
                  </pic:blipFill>
                  <pic:spPr>
                    <a:xfrm>
                      <a:off x="0" y="0"/>
                      <a:ext cx="5544820" cy="5164455"/>
                    </a:xfrm>
                    <a:prstGeom prst="rect">
                      <a:avLst/>
                    </a:prstGeom>
                    <a:noFill/>
                    <a:ln>
                      <a:solidFill>
                        <a:schemeClr val="tx1"/>
                      </a:solidFill>
                    </a:ln>
                  </pic:spPr>
                </pic:pic>
              </a:graphicData>
            </a:graphic>
          </wp:inline>
        </w:drawing>
      </w:r>
    </w:p>
    <w:p>
      <w:pPr>
        <w:kinsoku w:val="0"/>
        <w:overflowPunct w:val="0"/>
        <w:spacing w:line="500" w:lineRule="exact"/>
        <w:ind w:firstLine="480"/>
        <w:jc w:val="center"/>
        <w:rPr>
          <w:rFonts w:hint="default" w:ascii="Times New Roman" w:hAnsi="Times New Roman" w:eastAsia="黑体" w:cs="Times New Roman"/>
          <w:color w:val="auto"/>
        </w:rPr>
      </w:pPr>
      <w:r>
        <w:rPr>
          <w:rFonts w:hint="default" w:ascii="Times New Roman" w:hAnsi="Times New Roman" w:eastAsia="黑体" w:cs="Times New Roman"/>
          <w:color w:val="auto"/>
        </w:rPr>
        <w:t>图3-5  项目粪污水处理工艺流程图</w:t>
      </w:r>
    </w:p>
    <w:p>
      <w:pPr>
        <w:tabs>
          <w:tab w:val="left" w:pos="624"/>
        </w:tabs>
        <w:ind w:firstLine="482"/>
        <w:rPr>
          <w:rFonts w:hint="default" w:ascii="Times New Roman" w:hAnsi="Times New Roman" w:cs="Times New Roman"/>
          <w:color w:val="auto"/>
        </w:rPr>
      </w:pPr>
      <w:r>
        <w:rPr>
          <w:rFonts w:hint="default" w:ascii="Times New Roman" w:hAnsi="Times New Roman" w:cs="Times New Roman"/>
          <w:b/>
          <w:color w:val="auto"/>
        </w:rPr>
        <w:t>工艺简述：</w:t>
      </w:r>
    </w:p>
    <w:p>
      <w:pPr>
        <w:tabs>
          <w:tab w:val="left" w:pos="624"/>
        </w:tabs>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在选用粪污处理工艺时，根据养殖场的养殖种类、养殖规模、粪污收集方式、当地的自然地理环境条件、排放去向等因素确定工艺路线及处理目标，本工程设计结合《畜禽养殖业污染治理工程技术规范》（HJ497-2009）中要求对污水进行处理。</w:t>
      </w:r>
    </w:p>
    <w:p>
      <w:pPr>
        <w:tabs>
          <w:tab w:val="left" w:pos="624"/>
        </w:tabs>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收集池、固液分离机：主要目的是为减轻后续工艺负荷，减少投资，通过物理方法去除杂质，实现减量化。</w:t>
      </w:r>
    </w:p>
    <w:p>
      <w:pPr>
        <w:tabs>
          <w:tab w:val="left" w:pos="624"/>
        </w:tabs>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黑膜沼气池：本项目废水经固液分离后经进入黑膜沼气池，经35天厌氧发酵去除大部分有机物，沼液排入</w:t>
      </w:r>
      <w:r>
        <w:rPr>
          <w:rFonts w:hint="default" w:ascii="Times New Roman" w:hAnsi="Times New Roman" w:cs="Times New Roman"/>
          <w:b/>
          <w:bCs/>
          <w:color w:val="auto"/>
          <w:u w:val="single"/>
          <w:lang w:eastAsia="zh-CN"/>
        </w:rPr>
        <w:t>沼液存储池</w:t>
      </w:r>
      <w:r>
        <w:rPr>
          <w:rFonts w:hint="default" w:ascii="Times New Roman" w:hAnsi="Times New Roman" w:cs="Times New Roman"/>
          <w:b/>
          <w:bCs/>
          <w:color w:val="auto"/>
          <w:u w:val="single"/>
        </w:rPr>
        <w:t>暂存，沼渣经底部设置排沼渣管道排出。</w:t>
      </w:r>
    </w:p>
    <w:p>
      <w:pPr>
        <w:tabs>
          <w:tab w:val="left" w:pos="624"/>
        </w:tabs>
        <w:ind w:firstLine="480"/>
        <w:rPr>
          <w:rFonts w:hint="default" w:ascii="Times New Roman" w:hAnsi="Times New Roman" w:cs="Times New Roman"/>
          <w:color w:val="auto"/>
        </w:rPr>
      </w:pPr>
      <w:r>
        <w:rPr>
          <w:rFonts w:hint="default" w:ascii="Times New Roman" w:hAnsi="Times New Roman" w:cs="Times New Roman"/>
          <w:b/>
          <w:bCs/>
          <w:color w:val="auto"/>
          <w:u w:val="single"/>
        </w:rPr>
        <w:t>本项目粪污处理系统的核心技术是“黑膜沼气池”，粪便污水经固液分离后进入黑膜沼气池，在沼气池内进行厌氧发酵，经厌氧发酵去除大部分有机物，设计发酵周期为35天，发酵后的沼渣再次进入收集池经固液分离后液体进入黑膜发酵，发酵后的沼液排至</w:t>
      </w:r>
      <w:r>
        <w:rPr>
          <w:rFonts w:hint="default" w:ascii="Times New Roman" w:hAnsi="Times New Roman" w:cs="Times New Roman"/>
          <w:b/>
          <w:bCs/>
          <w:color w:val="auto"/>
          <w:u w:val="single"/>
          <w:lang w:eastAsia="zh-CN"/>
        </w:rPr>
        <w:t>沼液存储池</w:t>
      </w:r>
      <w:r>
        <w:rPr>
          <w:rFonts w:hint="default" w:ascii="Times New Roman" w:hAnsi="Times New Roman" w:cs="Times New Roman"/>
          <w:b/>
          <w:bCs/>
          <w:color w:val="auto"/>
          <w:u w:val="single"/>
        </w:rPr>
        <w:t>，用作农肥使用。厌氧发酵产生的沼气经净化后，用于伙房灶台</w:t>
      </w:r>
      <w:r>
        <w:rPr>
          <w:rFonts w:hint="eastAsia" w:cs="Times New Roman"/>
          <w:b/>
          <w:bCs/>
          <w:color w:val="auto"/>
          <w:u w:val="single"/>
          <w:lang w:eastAsia="zh-CN"/>
        </w:rPr>
        <w:t>、沼气热水炉</w:t>
      </w:r>
      <w:r>
        <w:rPr>
          <w:rFonts w:hint="default" w:ascii="Times New Roman" w:hAnsi="Times New Roman" w:cs="Times New Roman"/>
          <w:b/>
          <w:bCs/>
          <w:color w:val="auto"/>
          <w:u w:val="single"/>
        </w:rPr>
        <w:t>。</w:t>
      </w:r>
    </w:p>
    <w:p>
      <w:pPr>
        <w:ind w:firstLine="480"/>
        <w:outlineLvl w:val="3"/>
        <w:rPr>
          <w:rFonts w:hint="default" w:ascii="Times New Roman" w:hAnsi="Times New Roman" w:cs="Times New Roman"/>
          <w:color w:val="auto"/>
        </w:rPr>
      </w:pPr>
      <w:r>
        <w:rPr>
          <w:rFonts w:hint="default" w:ascii="Times New Roman" w:hAnsi="Times New Roman" w:cs="Times New Roman"/>
          <w:color w:val="auto"/>
        </w:rPr>
        <w:t>3.2.3.2 沼气利用工程</w:t>
      </w:r>
    </w:p>
    <w:p>
      <w:pPr>
        <w:autoSpaceDE w:val="0"/>
        <w:autoSpaceDN w:val="0"/>
        <w:ind w:firstLine="480"/>
        <w:rPr>
          <w:rFonts w:hint="default" w:ascii="Times New Roman" w:hAnsi="Times New Roman" w:cs="Times New Roman"/>
          <w:color w:val="auto"/>
        </w:rPr>
      </w:pPr>
      <w:r>
        <w:rPr>
          <w:rFonts w:hint="default" w:ascii="Times New Roman" w:hAnsi="Times New Roman" w:cs="Times New Roman"/>
          <w:color w:val="auto"/>
        </w:rPr>
        <w:t>根据《畜禽养殖业污染防治技术政策》（环发[2010]151号）中有关内容，厌氧发酵产生的沼气应进行收集，并根据利用途径进行脱硫净化处理。沼气宜作为燃料直接利用。沼气在使用前需要进行脱硫处理，沼气利用前所采取的措施如图3-6。</w:t>
      </w:r>
    </w:p>
    <w:p>
      <w:pPr>
        <w:autoSpaceDE w:val="0"/>
        <w:autoSpaceDN w:val="0"/>
        <w:spacing w:line="240" w:lineRule="auto"/>
        <w:ind w:firstLine="0" w:firstLineChars="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539105" cy="1843405"/>
            <wp:effectExtent l="9525" t="9525" r="13970" b="13970"/>
            <wp:docPr id="40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5"/>
                    <pic:cNvPicPr>
                      <a:picLocks noChangeAspect="1"/>
                    </pic:cNvPicPr>
                  </pic:nvPicPr>
                  <pic:blipFill>
                    <a:blip r:embed="rId37" cstate="print"/>
                    <a:stretch>
                      <a:fillRect/>
                    </a:stretch>
                  </pic:blipFill>
                  <pic:spPr>
                    <a:xfrm>
                      <a:off x="0" y="0"/>
                      <a:ext cx="5539105" cy="1843405"/>
                    </a:xfrm>
                    <a:prstGeom prst="rect">
                      <a:avLst/>
                    </a:prstGeom>
                    <a:noFill/>
                    <a:ln w="6350">
                      <a:solidFill>
                        <a:schemeClr val="tx1"/>
                      </a:solidFill>
                    </a:ln>
                  </pic:spPr>
                </pic:pic>
              </a:graphicData>
            </a:graphic>
          </wp:inline>
        </w:drawing>
      </w:r>
    </w:p>
    <w:p>
      <w:pPr>
        <w:kinsoku w:val="0"/>
        <w:overflowPunct w:val="0"/>
        <w:ind w:firstLine="480"/>
        <w:jc w:val="center"/>
        <w:rPr>
          <w:rFonts w:hint="default" w:ascii="Times New Roman" w:hAnsi="Times New Roman" w:eastAsia="黑体" w:cs="Times New Roman"/>
          <w:color w:val="auto"/>
        </w:rPr>
      </w:pPr>
      <w:r>
        <w:rPr>
          <w:rFonts w:hint="default" w:ascii="Times New Roman" w:hAnsi="Times New Roman" w:eastAsia="黑体" w:cs="Times New Roman"/>
          <w:color w:val="auto"/>
        </w:rPr>
        <w:t>图3-6     沼气利用流程及产污环节图</w:t>
      </w:r>
    </w:p>
    <w:p>
      <w:pPr>
        <w:ind w:firstLine="480"/>
        <w:rPr>
          <w:rFonts w:hint="default" w:ascii="Times New Roman" w:hAnsi="Times New Roman" w:cs="Times New Roman"/>
          <w:color w:val="auto"/>
        </w:rPr>
      </w:pPr>
      <w:r>
        <w:rPr>
          <w:rFonts w:hint="default" w:ascii="Times New Roman" w:hAnsi="Times New Roman" w:cs="Times New Roman"/>
          <w:color w:val="auto"/>
        </w:rPr>
        <w:t>沼气是高湿度气体，根据沼气技术培训资料及大理州农科院《沼气的主要成分及用途》，沼气中H</w:t>
      </w:r>
      <w:r>
        <w:rPr>
          <w:rFonts w:hint="default" w:ascii="Times New Roman" w:hAnsi="Times New Roman" w:cs="Times New Roman"/>
          <w:color w:val="auto"/>
          <w:vertAlign w:val="subscript"/>
        </w:rPr>
        <w:t>2</w:t>
      </w:r>
      <w:r>
        <w:rPr>
          <w:rFonts w:hint="default" w:ascii="Times New Roman" w:hAnsi="Times New Roman" w:cs="Times New Roman"/>
          <w:color w:val="auto"/>
        </w:rPr>
        <w:t>S平均含量为0.034%，需要进行脱水脱硫处理，以防止对沼气输送管道的腐蚀影响。经采用专用沼气脱硫剂脱硫后，硫去除率可达到95%以上，经核算沼气净化后H</w:t>
      </w:r>
      <w:r>
        <w:rPr>
          <w:rFonts w:hint="default" w:ascii="Times New Roman" w:hAnsi="Times New Roman" w:cs="Times New Roman"/>
          <w:color w:val="auto"/>
          <w:vertAlign w:val="subscript"/>
        </w:rPr>
        <w:t>2</w:t>
      </w:r>
      <w:r>
        <w:rPr>
          <w:rFonts w:hint="default" w:ascii="Times New Roman" w:hAnsi="Times New Roman" w:cs="Times New Roman"/>
          <w:color w:val="auto"/>
        </w:rPr>
        <w:t>S含量不高于20mg/m</w:t>
      </w:r>
      <w:r>
        <w:rPr>
          <w:rFonts w:hint="default" w:ascii="Times New Roman" w:hAnsi="Times New Roman" w:cs="Times New Roman"/>
          <w:color w:val="auto"/>
          <w:vertAlign w:val="superscript"/>
        </w:rPr>
        <w:t>3</w:t>
      </w:r>
      <w:r>
        <w:rPr>
          <w:rFonts w:hint="default" w:ascii="Times New Roman" w:hAnsi="Times New Roman" w:cs="Times New Roman"/>
          <w:color w:val="auto"/>
        </w:rPr>
        <w:t>。沼气经过脱硫装置脱硫，其目的是净化沼气。净化后的沼气进入后续沼气利用系统。</w:t>
      </w:r>
    </w:p>
    <w:p>
      <w:pPr>
        <w:ind w:firstLine="480"/>
        <w:rPr>
          <w:rFonts w:hint="default" w:ascii="Times New Roman" w:hAnsi="Times New Roman" w:cs="Times New Roman"/>
          <w:color w:val="auto"/>
        </w:rPr>
      </w:pPr>
      <w:r>
        <w:rPr>
          <w:rFonts w:hint="default" w:ascii="Times New Roman" w:hAnsi="Times New Roman" w:cs="Times New Roman"/>
          <w:color w:val="auto"/>
        </w:rPr>
        <w:t>本项目脱硫剂为氧化铁，采用常温Fe</w:t>
      </w:r>
      <w:r>
        <w:rPr>
          <w:rFonts w:hint="default" w:ascii="Times New Roman" w:hAnsi="Times New Roman" w:cs="Times New Roman"/>
          <w:color w:val="auto"/>
          <w:vertAlign w:val="subscript"/>
        </w:rPr>
        <w:t>2</w:t>
      </w:r>
      <w:r>
        <w:rPr>
          <w:rFonts w:hint="default" w:ascii="Times New Roman" w:hAnsi="Times New Roman" w:cs="Times New Roman"/>
          <w:color w:val="auto"/>
        </w:rPr>
        <w:t>O</w:t>
      </w:r>
      <w:r>
        <w:rPr>
          <w:rFonts w:hint="default" w:ascii="Times New Roman" w:hAnsi="Times New Roman" w:cs="Times New Roman"/>
          <w:color w:val="auto"/>
          <w:vertAlign w:val="subscript"/>
        </w:rPr>
        <w:t>3</w:t>
      </w:r>
      <w:r>
        <w:rPr>
          <w:rFonts w:hint="default" w:ascii="Times New Roman" w:hAnsi="Times New Roman" w:cs="Times New Roman"/>
          <w:color w:val="auto"/>
        </w:rPr>
        <w:t>干式脱硫法，它是将Fe</w:t>
      </w:r>
      <w:r>
        <w:rPr>
          <w:rFonts w:hint="default" w:ascii="Times New Roman" w:hAnsi="Times New Roman" w:cs="Times New Roman"/>
          <w:color w:val="auto"/>
          <w:vertAlign w:val="subscript"/>
        </w:rPr>
        <w:t>2</w:t>
      </w:r>
      <w:r>
        <w:rPr>
          <w:rFonts w:hint="default" w:ascii="Times New Roman" w:hAnsi="Times New Roman" w:cs="Times New Roman"/>
          <w:color w:val="auto"/>
        </w:rPr>
        <w:t>O</w:t>
      </w:r>
      <w:r>
        <w:rPr>
          <w:rFonts w:hint="default" w:ascii="Times New Roman" w:hAnsi="Times New Roman" w:cs="Times New Roman"/>
          <w:color w:val="auto"/>
          <w:vertAlign w:val="subscript"/>
        </w:rPr>
        <w:t>3</w:t>
      </w:r>
      <w:r>
        <w:rPr>
          <w:rFonts w:hint="default" w:ascii="Times New Roman" w:hAnsi="Times New Roman" w:cs="Times New Roman"/>
          <w:color w:val="auto"/>
        </w:rPr>
        <w:t>屑（或粉）和木屑混合制成脱硫剂，以湿态（含水40%左右）填充于脱硫装置内。Fe</w:t>
      </w:r>
      <w:r>
        <w:rPr>
          <w:rFonts w:hint="default" w:ascii="Times New Roman" w:hAnsi="Times New Roman" w:cs="Times New Roman"/>
          <w:color w:val="auto"/>
          <w:vertAlign w:val="subscript"/>
        </w:rPr>
        <w:t>2</w:t>
      </w:r>
      <w:r>
        <w:rPr>
          <w:rFonts w:hint="default" w:ascii="Times New Roman" w:hAnsi="Times New Roman" w:cs="Times New Roman"/>
          <w:color w:val="auto"/>
        </w:rPr>
        <w:t>O</w:t>
      </w:r>
      <w:r>
        <w:rPr>
          <w:rFonts w:hint="default" w:ascii="Times New Roman" w:hAnsi="Times New Roman" w:cs="Times New Roman"/>
          <w:color w:val="auto"/>
          <w:vertAlign w:val="subscript"/>
        </w:rPr>
        <w:t>3</w:t>
      </w:r>
      <w:r>
        <w:rPr>
          <w:rFonts w:hint="default" w:ascii="Times New Roman" w:hAnsi="Times New Roman" w:cs="Times New Roman"/>
          <w:color w:val="auto"/>
        </w:rPr>
        <w:t>脱硫剂为条状多孔结构固体，对H</w:t>
      </w:r>
      <w:r>
        <w:rPr>
          <w:rFonts w:hint="default" w:ascii="Times New Roman" w:hAnsi="Times New Roman" w:cs="Times New Roman"/>
          <w:color w:val="auto"/>
          <w:vertAlign w:val="subscript"/>
        </w:rPr>
        <w:t>2</w:t>
      </w:r>
      <w:r>
        <w:rPr>
          <w:rFonts w:hint="default" w:ascii="Times New Roman" w:hAnsi="Times New Roman" w:cs="Times New Roman"/>
          <w:color w:val="auto"/>
        </w:rPr>
        <w:t>S能进行快速的不可逆化学吸附，数秒内可将H</w:t>
      </w:r>
      <w:r>
        <w:rPr>
          <w:rFonts w:hint="default" w:ascii="Times New Roman" w:hAnsi="Times New Roman" w:cs="Times New Roman"/>
          <w:color w:val="auto"/>
          <w:vertAlign w:val="subscript"/>
        </w:rPr>
        <w:t>2</w:t>
      </w:r>
      <w:r>
        <w:rPr>
          <w:rFonts w:hint="default" w:ascii="Times New Roman" w:hAnsi="Times New Roman" w:cs="Times New Roman"/>
          <w:color w:val="auto"/>
        </w:rPr>
        <w:t>S脱除到 1×10</w:t>
      </w:r>
      <w:r>
        <w:rPr>
          <w:rFonts w:hint="default" w:ascii="Times New Roman" w:hAnsi="Times New Roman" w:cs="Times New Roman"/>
          <w:color w:val="auto"/>
          <w:vertAlign w:val="superscript"/>
        </w:rPr>
        <w:t>- 6</w:t>
      </w:r>
      <w:r>
        <w:rPr>
          <w:rFonts w:hint="default" w:ascii="Times New Roman" w:hAnsi="Times New Roman" w:cs="Times New Roman"/>
          <w:color w:val="auto"/>
        </w:rPr>
        <w:t>以下。当沼气通过时，经如下反应，达到脱硫目的：</w:t>
      </w:r>
    </w:p>
    <w:p>
      <w:pPr>
        <w:ind w:firstLine="48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688960" behindDoc="0" locked="0" layoutInCell="1" allowOverlap="1">
                <wp:simplePos x="0" y="0"/>
                <wp:positionH relativeFrom="column">
                  <wp:posOffset>1539240</wp:posOffset>
                </wp:positionH>
                <wp:positionV relativeFrom="paragraph">
                  <wp:posOffset>99695</wp:posOffset>
                </wp:positionV>
                <wp:extent cx="252730" cy="635"/>
                <wp:effectExtent l="0" t="37465" r="13970" b="38100"/>
                <wp:wrapNone/>
                <wp:docPr id="335" name="直接箭头连接符 335"/>
                <wp:cNvGraphicFramePr/>
                <a:graphic xmlns:a="http://schemas.openxmlformats.org/drawingml/2006/main">
                  <a:graphicData uri="http://schemas.microsoft.com/office/word/2010/wordprocessingShape">
                    <wps:wsp>
                      <wps:cNvCnPr/>
                      <wps:spPr>
                        <a:xfrm>
                          <a:off x="0" y="0"/>
                          <a:ext cx="252730"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21.2pt;margin-top:7.85pt;height:0.05pt;width:19.9pt;z-index:251688960;mso-width-relative:page;mso-height-relative:page;" filled="f" stroked="t" coordsize="21600,21600" o:gfxdata="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JWbttkAAAAJAQAADwAAAAAAAAABACAAAAAiAAAAZHJzL2Rvd25yZXYueG1sUEsBAhQA&#10;FAAAAAgAh07iQN59dO7xAQAAtQMAAA4AAAAAAAAAAQAgAAAAKAEAAGRycy9lMm9Eb2MueG1sUEsF&#10;BgAAAAAGAAYAWQEAAIsFAAAAAA==&#10;">
                <v:fill on="f" focussize="0,0"/>
                <v:stroke color="#000000" joinstyle="round" endarrow="block"/>
                <v:imagedata o:title=""/>
                <o:lock v:ext="edit" aspectratio="f"/>
              </v:shape>
            </w:pict>
          </mc:Fallback>
        </mc:AlternateContent>
      </w:r>
      <w:r>
        <w:rPr>
          <w:rFonts w:hint="default" w:ascii="Times New Roman" w:hAnsi="Times New Roman" w:cs="Times New Roman"/>
          <w:color w:val="auto"/>
        </w:rPr>
        <w:t>Fe</w:t>
      </w:r>
      <w:r>
        <w:rPr>
          <w:rFonts w:hint="default" w:ascii="Times New Roman" w:hAnsi="Times New Roman" w:cs="Times New Roman"/>
          <w:color w:val="auto"/>
          <w:vertAlign w:val="subscript"/>
        </w:rPr>
        <w:t>2</w:t>
      </w:r>
      <w:r>
        <w:rPr>
          <w:rFonts w:hint="default" w:ascii="Times New Roman" w:hAnsi="Times New Roman" w:cs="Times New Roman"/>
          <w:color w:val="auto"/>
        </w:rPr>
        <w:t>O</w:t>
      </w:r>
      <w:r>
        <w:rPr>
          <w:rFonts w:hint="default" w:ascii="Times New Roman" w:hAnsi="Times New Roman" w:cs="Times New Roman"/>
          <w:color w:val="auto"/>
          <w:vertAlign w:val="subscript"/>
        </w:rPr>
        <w:t>3</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O + 3H</w:t>
      </w:r>
      <w:r>
        <w:rPr>
          <w:rFonts w:hint="default" w:ascii="Times New Roman" w:hAnsi="Times New Roman" w:cs="Times New Roman"/>
          <w:color w:val="auto"/>
          <w:vertAlign w:val="subscript"/>
        </w:rPr>
        <w:t>2</w:t>
      </w:r>
      <w:r>
        <w:rPr>
          <w:rFonts w:hint="default" w:ascii="Times New Roman" w:hAnsi="Times New Roman" w:cs="Times New Roman"/>
          <w:color w:val="auto"/>
        </w:rPr>
        <w:t>S     Fe</w:t>
      </w:r>
      <w:r>
        <w:rPr>
          <w:rFonts w:hint="default" w:ascii="Times New Roman" w:hAnsi="Times New Roman" w:cs="Times New Roman"/>
          <w:color w:val="auto"/>
          <w:vertAlign w:val="subscript"/>
        </w:rPr>
        <w:t>2</w:t>
      </w:r>
      <w:r>
        <w:rPr>
          <w:rFonts w:hint="default" w:ascii="Times New Roman" w:hAnsi="Times New Roman" w:cs="Times New Roman"/>
          <w:color w:val="auto"/>
        </w:rPr>
        <w:t xml:space="preserve">S </w:t>
      </w:r>
      <w:r>
        <w:rPr>
          <w:rFonts w:hint="default" w:ascii="Times New Roman" w:hAnsi="Times New Roman" w:cs="Times New Roman"/>
          <w:color w:val="auto"/>
          <w:vertAlign w:val="subscript"/>
        </w:rPr>
        <w:t>3</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O + 3H</w:t>
      </w:r>
      <w:r>
        <w:rPr>
          <w:rFonts w:hint="default" w:ascii="Times New Roman" w:hAnsi="Times New Roman" w:cs="Times New Roman"/>
          <w:color w:val="auto"/>
          <w:vertAlign w:val="subscript"/>
        </w:rPr>
        <w:t>2</w:t>
      </w:r>
      <w:r>
        <w:rPr>
          <w:rFonts w:hint="default" w:ascii="Times New Roman" w:hAnsi="Times New Roman" w:cs="Times New Roman"/>
          <w:color w:val="auto"/>
        </w:rPr>
        <w:t>O</w:t>
      </w:r>
    </w:p>
    <w:p>
      <w:pPr>
        <w:ind w:firstLine="480"/>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689984" behindDoc="0" locked="0" layoutInCell="1" allowOverlap="1">
                <wp:simplePos x="0" y="0"/>
                <wp:positionH relativeFrom="column">
                  <wp:posOffset>1523365</wp:posOffset>
                </wp:positionH>
                <wp:positionV relativeFrom="paragraph">
                  <wp:posOffset>99695</wp:posOffset>
                </wp:positionV>
                <wp:extent cx="252730" cy="635"/>
                <wp:effectExtent l="0" t="37465" r="13970" b="38100"/>
                <wp:wrapNone/>
                <wp:docPr id="336" name="直接箭头连接符 336"/>
                <wp:cNvGraphicFramePr/>
                <a:graphic xmlns:a="http://schemas.openxmlformats.org/drawingml/2006/main">
                  <a:graphicData uri="http://schemas.microsoft.com/office/word/2010/wordprocessingShape">
                    <wps:wsp>
                      <wps:cNvCnPr/>
                      <wps:spPr>
                        <a:xfrm>
                          <a:off x="0" y="0"/>
                          <a:ext cx="252730"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19.95pt;margin-top:7.85pt;height:0.05pt;width:19.9pt;z-index:251689984;mso-width-relative:page;mso-height-relative:page;" filled="f" stroked="t" coordsize="21600,21600" o:gfxdata="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0xBWXZAAAACQEAAA8AAAAAAAAAAQAgAAAAIgAAAGRycy9kb3ducmV2LnhtbFBLAQIUABQA&#10;AAAIAIdO4kDfF8uu7wEAALUDAAAOAAAAAAAAAAEAIAAAACgBAABkcnMvZTJvRG9jLnhtbFBLBQYA&#10;AAAABgAGAFkBAACJBQAAAAA=&#10;">
                <v:fill on="f" focussize="0,0"/>
                <v:stroke color="#000000" joinstyle="round" endarrow="block"/>
                <v:imagedata o:title=""/>
                <o:lock v:ext="edit" aspectratio="f"/>
              </v:shape>
            </w:pict>
          </mc:Fallback>
        </mc:AlternateContent>
      </w:r>
      <w:r>
        <w:rPr>
          <w:rFonts w:hint="default" w:ascii="Times New Roman" w:hAnsi="Times New Roman" w:cs="Times New Roman"/>
          <w:color w:val="auto"/>
        </w:rPr>
        <w:t>Fe</w:t>
      </w:r>
      <w:r>
        <w:rPr>
          <w:rFonts w:hint="default" w:ascii="Times New Roman" w:hAnsi="Times New Roman" w:cs="Times New Roman"/>
          <w:color w:val="auto"/>
          <w:vertAlign w:val="subscript"/>
        </w:rPr>
        <w:t>2</w:t>
      </w:r>
      <w:r>
        <w:rPr>
          <w:rFonts w:hint="default" w:ascii="Times New Roman" w:hAnsi="Times New Roman" w:cs="Times New Roman"/>
          <w:color w:val="auto"/>
        </w:rPr>
        <w:t>O</w:t>
      </w:r>
      <w:r>
        <w:rPr>
          <w:rFonts w:hint="default" w:ascii="Times New Roman" w:hAnsi="Times New Roman" w:cs="Times New Roman"/>
          <w:color w:val="auto"/>
          <w:vertAlign w:val="subscript"/>
        </w:rPr>
        <w:t>3</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O + 3H</w:t>
      </w:r>
      <w:r>
        <w:rPr>
          <w:rFonts w:hint="default" w:ascii="Times New Roman" w:hAnsi="Times New Roman" w:cs="Times New Roman"/>
          <w:color w:val="auto"/>
          <w:vertAlign w:val="subscript"/>
        </w:rPr>
        <w:t>2</w:t>
      </w:r>
      <w:r>
        <w:rPr>
          <w:rFonts w:hint="default" w:ascii="Times New Roman" w:hAnsi="Times New Roman" w:cs="Times New Roman"/>
          <w:color w:val="auto"/>
        </w:rPr>
        <w:t>S     2FeS + S + 4H</w:t>
      </w:r>
      <w:r>
        <w:rPr>
          <w:rFonts w:hint="default" w:ascii="Times New Roman" w:hAnsi="Times New Roman" w:cs="Times New Roman"/>
          <w:color w:val="auto"/>
          <w:vertAlign w:val="subscript"/>
        </w:rPr>
        <w:t>2</w:t>
      </w:r>
      <w:r>
        <w:rPr>
          <w:rFonts w:hint="default" w:ascii="Times New Roman" w:hAnsi="Times New Roman" w:cs="Times New Roman"/>
          <w:color w:val="auto"/>
        </w:rPr>
        <w:t>O</w:t>
      </w:r>
    </w:p>
    <w:p>
      <w:pPr>
        <w:ind w:firstLine="480"/>
        <w:rPr>
          <w:rFonts w:hint="default" w:ascii="Times New Roman" w:hAnsi="Times New Roman" w:cs="Times New Roman"/>
          <w:color w:val="auto"/>
        </w:rPr>
      </w:pPr>
      <w:r>
        <w:rPr>
          <w:rFonts w:hint="default" w:ascii="Times New Roman" w:hAnsi="Times New Roman" w:cs="Times New Roman"/>
          <w:color w:val="auto"/>
        </w:rPr>
        <w:t>脱硫剂工作一定时间后，其活性会逐渐下降，脱硫效果逐渐变差。当脱硫装置出口沼气中H</w:t>
      </w:r>
      <w:r>
        <w:rPr>
          <w:rFonts w:hint="default" w:ascii="Times New Roman" w:hAnsi="Times New Roman" w:cs="Times New Roman"/>
          <w:color w:val="auto"/>
          <w:vertAlign w:val="subscript"/>
        </w:rPr>
        <w:t>2</w:t>
      </w:r>
      <w:r>
        <w:rPr>
          <w:rFonts w:hint="default" w:ascii="Times New Roman" w:hAnsi="Times New Roman" w:cs="Times New Roman"/>
          <w:color w:val="auto"/>
        </w:rPr>
        <w:t>S的含量超过20mg·m</w:t>
      </w:r>
      <w:r>
        <w:rPr>
          <w:rFonts w:hint="default" w:ascii="Times New Roman" w:hAnsi="Times New Roman" w:cs="Times New Roman"/>
          <w:color w:val="auto"/>
          <w:vertAlign w:val="superscript"/>
        </w:rPr>
        <w:t>-3</w:t>
      </w:r>
      <w:r>
        <w:rPr>
          <w:rFonts w:hint="default" w:ascii="Times New Roman" w:hAnsi="Times New Roman" w:cs="Times New Roman"/>
          <w:color w:val="auto"/>
        </w:rPr>
        <w:t>时，就需要对脱硫剂进行处理。当脱硫剂中硫未达到30%时，脱硫剂可进行再生；若脱硫剂硫容超过30%时，就要更新脱硫剂。</w:t>
      </w:r>
    </w:p>
    <w:p>
      <w:pPr>
        <w:ind w:firstLine="480"/>
        <w:rPr>
          <w:rFonts w:hint="default" w:ascii="Times New Roman" w:hAnsi="Times New Roman" w:cs="Times New Roman"/>
          <w:color w:val="auto"/>
        </w:rPr>
      </w:pPr>
      <w:r>
        <w:rPr>
          <w:rFonts w:hint="default" w:ascii="Times New Roman" w:hAnsi="Times New Roman" w:cs="Times New Roman"/>
          <w:color w:val="auto"/>
        </w:rPr>
        <w:t>同时经类比同规模养殖场污水处理设施竣工环保验收监测，经采用专用沼气脱硫剂脱硫后，硫去除率可达到95%以上，经核算沼气净化后H</w:t>
      </w:r>
      <w:r>
        <w:rPr>
          <w:rFonts w:hint="default" w:ascii="Times New Roman" w:hAnsi="Times New Roman" w:cs="Times New Roman"/>
          <w:color w:val="auto"/>
          <w:vertAlign w:val="subscript"/>
        </w:rPr>
        <w:t>2</w:t>
      </w:r>
      <w:r>
        <w:rPr>
          <w:rFonts w:hint="default" w:ascii="Times New Roman" w:hAnsi="Times New Roman" w:cs="Times New Roman"/>
          <w:color w:val="auto"/>
        </w:rPr>
        <w:t>S含量不高于20mg/m</w:t>
      </w:r>
      <w:r>
        <w:rPr>
          <w:rFonts w:hint="default" w:ascii="Times New Roman" w:hAnsi="Times New Roman" w:cs="Times New Roman"/>
          <w:color w:val="auto"/>
          <w:vertAlign w:val="superscript"/>
        </w:rPr>
        <w:t>3</w:t>
      </w:r>
      <w:r>
        <w:rPr>
          <w:rFonts w:hint="default" w:ascii="Times New Roman" w:hAnsi="Times New Roman" w:cs="Times New Roman"/>
          <w:color w:val="auto"/>
        </w:rPr>
        <w:t>。一般储气装置设计时，采取有防腐措施，经脱硫处理后的沼气不会对储气装置产生大的腐蚀影响，即其因腐蚀导致沼气泄露的可能性很小。</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经脱水、脱硫后的沼气其主要成分为甲烷，可直接点燃作为燃料使用。本项目沼气池及暂存池产生的沼气经统一收集，沼气经脱水、脱硫处理后由加压泵加压，由管道输送到生活区食堂，用于食堂燃料</w:t>
      </w:r>
      <w:r>
        <w:rPr>
          <w:rFonts w:hint="eastAsia" w:cs="Times New Roman"/>
          <w:color w:val="auto"/>
          <w:sz w:val="24"/>
          <w:szCs w:val="24"/>
          <w:lang w:eastAsia="zh-CN"/>
        </w:rPr>
        <w:t>、沼气热水炉</w:t>
      </w:r>
      <w:r>
        <w:rPr>
          <w:rFonts w:hint="default" w:ascii="Times New Roman" w:hAnsi="Times New Roman" w:cs="Times New Roman"/>
          <w:color w:val="auto"/>
          <w:sz w:val="24"/>
          <w:szCs w:val="24"/>
        </w:rPr>
        <w:t>。</w:t>
      </w:r>
    </w:p>
    <w:p>
      <w:pPr>
        <w:ind w:firstLine="480"/>
        <w:rPr>
          <w:rFonts w:hint="default" w:ascii="Times New Roman" w:hAnsi="Times New Roman" w:cs="Times New Roman"/>
          <w:color w:val="auto"/>
        </w:rPr>
      </w:pPr>
      <w:r>
        <w:rPr>
          <w:rFonts w:hint="default" w:ascii="Times New Roman" w:hAnsi="Times New Roman" w:cs="Times New Roman"/>
          <w:color w:val="auto"/>
        </w:rPr>
        <w:t>（3）沼气产生量</w:t>
      </w:r>
    </w:p>
    <w:p>
      <w:pPr>
        <w:ind w:firstLine="480"/>
        <w:rPr>
          <w:rFonts w:hint="default" w:ascii="Times New Roman" w:hAnsi="Times New Roman" w:cs="Times New Roman"/>
          <w:color w:val="auto"/>
          <w:highlight w:val="yellow"/>
        </w:rPr>
      </w:pPr>
      <w:r>
        <w:rPr>
          <w:rFonts w:hint="default" w:ascii="Times New Roman" w:hAnsi="Times New Roman" w:cs="Times New Roman"/>
          <w:color w:val="auto"/>
        </w:rPr>
        <w:t>本项目运营期进入黑膜沼气池污水量为36286.706m</w:t>
      </w:r>
      <w:r>
        <w:rPr>
          <w:rFonts w:hint="default" w:ascii="Times New Roman" w:hAnsi="Times New Roman" w:cs="Times New Roman"/>
          <w:color w:val="auto"/>
          <w:vertAlign w:val="superscript"/>
        </w:rPr>
        <w:t>3</w:t>
      </w:r>
      <w:r>
        <w:rPr>
          <w:rFonts w:hint="default" w:ascii="Times New Roman" w:hAnsi="Times New Roman" w:cs="Times New Roman"/>
          <w:color w:val="auto"/>
        </w:rPr>
        <w:t>/a，COD进水浓度为15000mg/L，出水浓度为3000mg/L，COD分解产生沼气量为0.35m</w:t>
      </w:r>
      <w:r>
        <w:rPr>
          <w:rFonts w:hint="default" w:ascii="Times New Roman" w:hAnsi="Times New Roman" w:cs="Times New Roman"/>
          <w:color w:val="auto"/>
          <w:vertAlign w:val="superscript"/>
        </w:rPr>
        <w:t>3</w:t>
      </w:r>
      <w:r>
        <w:rPr>
          <w:rFonts w:hint="default" w:ascii="Times New Roman" w:hAnsi="Times New Roman" w:cs="Times New Roman"/>
          <w:color w:val="auto"/>
        </w:rPr>
        <w:t>/kg，本项目夏季废水产生量为124.42m</w:t>
      </w:r>
      <w:r>
        <w:rPr>
          <w:rFonts w:hint="default" w:ascii="Times New Roman" w:hAnsi="Times New Roman" w:cs="Times New Roman"/>
          <w:color w:val="auto"/>
          <w:vertAlign w:val="superscript"/>
        </w:rPr>
        <w:t>3</w:t>
      </w:r>
      <w:r>
        <w:rPr>
          <w:rFonts w:hint="default" w:ascii="Times New Roman" w:hAnsi="Times New Roman" w:cs="Times New Roman"/>
          <w:color w:val="auto"/>
        </w:rPr>
        <w:t>/d，其他季节废水产生量为86.862m</w:t>
      </w:r>
      <w:r>
        <w:rPr>
          <w:rFonts w:hint="default" w:ascii="Times New Roman" w:hAnsi="Times New Roman" w:cs="Times New Roman"/>
          <w:color w:val="auto"/>
          <w:vertAlign w:val="superscript"/>
        </w:rPr>
        <w:t>3</w:t>
      </w:r>
      <w:r>
        <w:rPr>
          <w:rFonts w:hint="default" w:ascii="Times New Roman" w:hAnsi="Times New Roman" w:cs="Times New Roman"/>
          <w:color w:val="auto"/>
        </w:rPr>
        <w:t>/d，计算得沼气产生夏季522.56m</w:t>
      </w:r>
      <w:r>
        <w:rPr>
          <w:rFonts w:hint="default" w:ascii="Times New Roman" w:hAnsi="Times New Roman" w:cs="Times New Roman"/>
          <w:color w:val="auto"/>
          <w:vertAlign w:val="superscript"/>
        </w:rPr>
        <w:t>3</w:t>
      </w:r>
      <w:r>
        <w:rPr>
          <w:rFonts w:hint="default" w:ascii="Times New Roman" w:hAnsi="Times New Roman" w:cs="Times New Roman"/>
          <w:color w:val="auto"/>
        </w:rPr>
        <w:t>/d，其他季节平均364.82m</w:t>
      </w:r>
      <w:r>
        <w:rPr>
          <w:rFonts w:hint="default" w:ascii="Times New Roman" w:hAnsi="Times New Roman" w:cs="Times New Roman"/>
          <w:color w:val="auto"/>
          <w:vertAlign w:val="superscript"/>
        </w:rPr>
        <w:t>3</w:t>
      </w:r>
      <w:r>
        <w:rPr>
          <w:rFonts w:hint="default" w:ascii="Times New Roman" w:hAnsi="Times New Roman" w:cs="Times New Roman"/>
          <w:color w:val="auto"/>
        </w:rPr>
        <w:t>/d，则全年全场沼气产生量共计152403.58m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（4）沼气利用方案</w:t>
      </w:r>
    </w:p>
    <w:p>
      <w:pPr>
        <w:spacing w:line="360" w:lineRule="auto"/>
        <w:ind w:firstLine="482" w:firstLineChars="200"/>
        <w:rPr>
          <w:rFonts w:hint="default" w:ascii="Times New Roman" w:hAnsi="Times New Roman" w:cs="Times New Roman"/>
          <w:b/>
          <w:bCs/>
          <w:color w:val="auto"/>
          <w:sz w:val="24"/>
          <w:u w:val="single"/>
        </w:rPr>
      </w:pPr>
      <w:r>
        <w:rPr>
          <w:rFonts w:hint="default" w:ascii="Times New Roman" w:hAnsi="Times New Roman" w:cs="Times New Roman"/>
          <w:b/>
          <w:bCs/>
          <w:color w:val="auto"/>
          <w:sz w:val="24"/>
          <w:u w:val="single"/>
        </w:rPr>
        <w:t>①食堂灶台</w:t>
      </w:r>
    </w:p>
    <w:p>
      <w:pPr>
        <w:spacing w:line="360" w:lineRule="auto"/>
        <w:ind w:firstLine="482" w:firstLineChars="200"/>
        <w:rPr>
          <w:rFonts w:hint="default" w:ascii="Times New Roman" w:hAnsi="Times New Roman" w:cs="Times New Roman"/>
          <w:b/>
          <w:bCs/>
          <w:color w:val="auto"/>
          <w:sz w:val="24"/>
          <w:u w:val="single"/>
        </w:rPr>
      </w:pPr>
      <w:r>
        <w:rPr>
          <w:rFonts w:hint="default" w:ascii="Times New Roman" w:hAnsi="Times New Roman" w:cs="Times New Roman"/>
          <w:b/>
          <w:bCs/>
          <w:color w:val="auto"/>
          <w:sz w:val="24"/>
          <w:u w:val="single"/>
        </w:rPr>
        <w:t>根据《给水排水设计手册5</w:t>
      </w:r>
      <w:r>
        <w:rPr>
          <w:rFonts w:hint="default" w:ascii="Times New Roman" w:hAnsi="Times New Roman" w:cs="Times New Roman"/>
          <w:b/>
          <w:bCs/>
          <w:color w:val="auto"/>
          <w:sz w:val="24"/>
          <w:u w:val="single"/>
          <w:lang w:eastAsia="zh-CN"/>
        </w:rPr>
        <w:t>：</w:t>
      </w:r>
      <w:r>
        <w:rPr>
          <w:rFonts w:hint="default" w:ascii="Times New Roman" w:hAnsi="Times New Roman" w:cs="Times New Roman"/>
          <w:b/>
          <w:bCs/>
          <w:color w:val="auto"/>
          <w:sz w:val="24"/>
          <w:u w:val="single"/>
        </w:rPr>
        <w:t>城镇排水》（第二版，中国建筑工业出版社），项目职工食堂人均用沼气量按1.5m</w:t>
      </w:r>
      <w:r>
        <w:rPr>
          <w:rFonts w:hint="default" w:ascii="Times New Roman" w:hAnsi="Times New Roman" w:cs="Times New Roman"/>
          <w:b/>
          <w:bCs/>
          <w:color w:val="auto"/>
          <w:sz w:val="24"/>
          <w:u w:val="single"/>
          <w:vertAlign w:val="superscript"/>
        </w:rPr>
        <w:t>3</w:t>
      </w:r>
      <w:r>
        <w:rPr>
          <w:rFonts w:hint="default" w:ascii="Times New Roman" w:hAnsi="Times New Roman" w:cs="Times New Roman"/>
          <w:b/>
          <w:bCs/>
          <w:color w:val="auto"/>
          <w:sz w:val="24"/>
          <w:u w:val="single"/>
        </w:rPr>
        <w:t>/d，项目劳动定员</w:t>
      </w:r>
      <w:r>
        <w:rPr>
          <w:rFonts w:hint="default" w:ascii="Times New Roman" w:hAnsi="Times New Roman" w:cs="Times New Roman"/>
          <w:b/>
          <w:bCs/>
          <w:color w:val="auto"/>
          <w:sz w:val="24"/>
          <w:u w:val="single"/>
          <w:lang w:val="en-US" w:eastAsia="zh-CN"/>
        </w:rPr>
        <w:t>3</w:t>
      </w:r>
      <w:r>
        <w:rPr>
          <w:rFonts w:hint="default" w:ascii="Times New Roman" w:hAnsi="Times New Roman" w:cs="Times New Roman"/>
          <w:b/>
          <w:bCs/>
          <w:color w:val="auto"/>
          <w:sz w:val="24"/>
          <w:u w:val="single"/>
        </w:rPr>
        <w:t>0人，项目食堂灶台沼气用量为</w:t>
      </w:r>
      <w:r>
        <w:rPr>
          <w:rFonts w:hint="default" w:ascii="Times New Roman" w:hAnsi="Times New Roman" w:cs="Times New Roman"/>
          <w:b/>
          <w:bCs/>
          <w:color w:val="auto"/>
          <w:sz w:val="24"/>
          <w:u w:val="single"/>
          <w:lang w:val="en-US" w:eastAsia="zh-CN"/>
        </w:rPr>
        <w:t>45</w:t>
      </w:r>
      <w:r>
        <w:rPr>
          <w:rFonts w:hint="default" w:ascii="Times New Roman" w:hAnsi="Times New Roman" w:cs="Times New Roman"/>
          <w:b/>
          <w:bCs/>
          <w:color w:val="auto"/>
          <w:sz w:val="24"/>
          <w:u w:val="single"/>
        </w:rPr>
        <w:t>m</w:t>
      </w:r>
      <w:r>
        <w:rPr>
          <w:rFonts w:hint="default" w:ascii="Times New Roman" w:hAnsi="Times New Roman" w:cs="Times New Roman"/>
          <w:b/>
          <w:bCs/>
          <w:color w:val="auto"/>
          <w:sz w:val="24"/>
          <w:u w:val="single"/>
          <w:vertAlign w:val="superscript"/>
        </w:rPr>
        <w:t>3</w:t>
      </w:r>
      <w:r>
        <w:rPr>
          <w:rFonts w:hint="default" w:ascii="Times New Roman" w:hAnsi="Times New Roman" w:cs="Times New Roman"/>
          <w:b/>
          <w:bCs/>
          <w:color w:val="auto"/>
          <w:sz w:val="24"/>
          <w:u w:val="single"/>
        </w:rPr>
        <w:t>/d（</w:t>
      </w:r>
      <w:r>
        <w:rPr>
          <w:rFonts w:hint="default" w:ascii="Times New Roman" w:hAnsi="Times New Roman" w:cs="Times New Roman"/>
          <w:b/>
          <w:bCs/>
          <w:color w:val="auto"/>
          <w:sz w:val="24"/>
          <w:u w:val="single"/>
          <w:lang w:val="en-US" w:eastAsia="zh-CN"/>
        </w:rPr>
        <w:t>16425</w:t>
      </w:r>
      <w:r>
        <w:rPr>
          <w:rFonts w:hint="default" w:ascii="Times New Roman" w:hAnsi="Times New Roman" w:cs="Times New Roman"/>
          <w:b/>
          <w:bCs/>
          <w:color w:val="auto"/>
          <w:sz w:val="24"/>
          <w:u w:val="single"/>
        </w:rPr>
        <w:t>m</w:t>
      </w:r>
      <w:r>
        <w:rPr>
          <w:rFonts w:hint="default" w:ascii="Times New Roman" w:hAnsi="Times New Roman" w:cs="Times New Roman"/>
          <w:b/>
          <w:bCs/>
          <w:color w:val="auto"/>
          <w:sz w:val="24"/>
          <w:u w:val="single"/>
          <w:vertAlign w:val="superscript"/>
        </w:rPr>
        <w:t>3</w:t>
      </w:r>
      <w:r>
        <w:rPr>
          <w:rFonts w:hint="default" w:ascii="Times New Roman" w:hAnsi="Times New Roman" w:cs="Times New Roman"/>
          <w:b/>
          <w:bCs/>
          <w:color w:val="auto"/>
          <w:sz w:val="24"/>
          <w:u w:val="single"/>
        </w:rPr>
        <w:t>/a）。</w:t>
      </w:r>
    </w:p>
    <w:p>
      <w:pPr>
        <w:ind w:firstLine="480"/>
        <w:rPr>
          <w:rFonts w:hint="default" w:ascii="Times New Roman" w:hAnsi="Times New Roman" w:eastAsia="宋体" w:cs="Times New Roman"/>
          <w:b/>
          <w:bCs/>
          <w:color w:val="auto"/>
          <w:u w:val="single"/>
          <w:lang w:eastAsia="zh-CN"/>
        </w:rPr>
      </w:pPr>
      <w:r>
        <w:rPr>
          <w:rFonts w:hint="default" w:ascii="Times New Roman" w:hAnsi="Times New Roman" w:cs="Times New Roman"/>
          <w:b/>
          <w:bCs/>
          <w:color w:val="auto"/>
          <w:u w:val="single"/>
        </w:rPr>
        <w:fldChar w:fldCharType="begin"/>
      </w:r>
      <w:r>
        <w:rPr>
          <w:rFonts w:hint="default" w:ascii="Times New Roman" w:hAnsi="Times New Roman" w:cs="Times New Roman"/>
          <w:b/>
          <w:bCs/>
          <w:color w:val="auto"/>
          <w:u w:val="single"/>
        </w:rPr>
        <w:instrText xml:space="preserve"> = 2 \* GB3 \* MERGEFORMAT </w:instrText>
      </w:r>
      <w:r>
        <w:rPr>
          <w:rFonts w:hint="default" w:ascii="Times New Roman" w:hAnsi="Times New Roman" w:cs="Times New Roman"/>
          <w:b/>
          <w:bCs/>
          <w:color w:val="auto"/>
          <w:u w:val="single"/>
        </w:rPr>
        <w:fldChar w:fldCharType="separate"/>
      </w:r>
      <w:r>
        <w:rPr>
          <w:rFonts w:hint="default" w:ascii="Times New Roman" w:hAnsi="Times New Roman" w:cs="Times New Roman"/>
          <w:b/>
          <w:bCs/>
          <w:color w:val="auto"/>
          <w:u w:val="single"/>
        </w:rPr>
        <w:t>②</w:t>
      </w:r>
      <w:r>
        <w:rPr>
          <w:rFonts w:hint="default" w:ascii="Times New Roman" w:hAnsi="Times New Roman" w:cs="Times New Roman"/>
          <w:b/>
          <w:bCs/>
          <w:color w:val="auto"/>
          <w:u w:val="single"/>
        </w:rPr>
        <w:fldChar w:fldCharType="end"/>
      </w:r>
      <w:r>
        <w:rPr>
          <w:rFonts w:hint="default" w:ascii="Times New Roman" w:hAnsi="Times New Roman" w:cs="Times New Roman"/>
          <w:b/>
          <w:bCs/>
          <w:color w:val="auto"/>
          <w:u w:val="single"/>
        </w:rPr>
        <w:t>沼气热水炉</w:t>
      </w:r>
    </w:p>
    <w:p>
      <w:pPr>
        <w:spacing w:line="500" w:lineRule="exact"/>
        <w:ind w:firstLine="480" w:firstLineChars="200"/>
        <w:rPr>
          <w:sz w:val="24"/>
        </w:rPr>
      </w:pPr>
      <w:r>
        <w:drawing>
          <wp:anchor distT="0" distB="0" distL="114300" distR="114300" simplePos="0" relativeHeight="754126848" behindDoc="0" locked="0" layoutInCell="1" allowOverlap="1">
            <wp:simplePos x="0" y="0"/>
            <wp:positionH relativeFrom="column">
              <wp:posOffset>1966595</wp:posOffset>
            </wp:positionH>
            <wp:positionV relativeFrom="paragraph">
              <wp:posOffset>600075</wp:posOffset>
            </wp:positionV>
            <wp:extent cx="1666875" cy="704850"/>
            <wp:effectExtent l="0" t="0" r="9525" b="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8"/>
                    <a:stretch>
                      <a:fillRect/>
                    </a:stretch>
                  </pic:blipFill>
                  <pic:spPr>
                    <a:xfrm>
                      <a:off x="0" y="0"/>
                      <a:ext cx="1666875" cy="704850"/>
                    </a:xfrm>
                    <a:prstGeom prst="rect">
                      <a:avLst/>
                    </a:prstGeom>
                    <a:noFill/>
                    <a:ln>
                      <a:noFill/>
                    </a:ln>
                  </pic:spPr>
                </pic:pic>
              </a:graphicData>
            </a:graphic>
          </wp:anchor>
        </w:drawing>
      </w:r>
      <w:r>
        <w:rPr>
          <w:rFonts w:hint="default" w:ascii="Times New Roman" w:hAnsi="Times New Roman" w:cs="Times New Roman"/>
          <w:b/>
          <w:bCs/>
          <w:color w:val="auto"/>
          <w:u w:val="single"/>
        </w:rPr>
        <w:t>建设单位拟设置9台沼气热水炉，热水</w:t>
      </w:r>
      <w:r>
        <w:rPr>
          <w:rFonts w:hint="eastAsia" w:cs="Times New Roman"/>
          <w:b/>
          <w:bCs/>
          <w:color w:val="auto"/>
          <w:u w:val="single"/>
          <w:lang w:eastAsia="zh-CN"/>
        </w:rPr>
        <w:t>炉</w:t>
      </w:r>
      <w:r>
        <w:rPr>
          <w:rFonts w:hint="default" w:ascii="Times New Roman" w:hAnsi="Times New Roman" w:cs="Times New Roman"/>
          <w:b/>
          <w:bCs/>
          <w:color w:val="auto"/>
          <w:u w:val="single"/>
        </w:rPr>
        <w:t>额定功率为31kW，用于</w:t>
      </w:r>
      <w:r>
        <w:rPr>
          <w:rFonts w:hint="eastAsia" w:cs="Times New Roman"/>
          <w:b/>
          <w:bCs/>
          <w:color w:val="auto"/>
          <w:u w:val="single"/>
          <w:lang w:eastAsia="zh-CN"/>
        </w:rPr>
        <w:t>沼气工程废水升温及</w:t>
      </w:r>
      <w:r>
        <w:rPr>
          <w:rFonts w:hint="default" w:ascii="Times New Roman" w:hAnsi="Times New Roman" w:cs="Times New Roman"/>
          <w:b/>
          <w:bCs/>
          <w:color w:val="auto"/>
          <w:u w:val="single"/>
        </w:rPr>
        <w:t>员工洗澡水加热。</w:t>
      </w:r>
      <w:r>
        <w:rPr>
          <w:b/>
          <w:bCs/>
          <w:sz w:val="24"/>
          <w:u w:val="single"/>
        </w:rPr>
        <w:t>燃气量计算公式：</w:t>
      </w:r>
    </w:p>
    <w:p>
      <w:pPr>
        <w:pStyle w:val="2"/>
        <w:ind w:left="1470" w:right="1470"/>
      </w:pPr>
    </w:p>
    <w:p>
      <w:pPr>
        <w:tabs>
          <w:tab w:val="left" w:pos="1680"/>
        </w:tabs>
        <w:spacing w:line="500" w:lineRule="exact"/>
        <w:ind w:firstLine="480" w:firstLineChars="200"/>
        <w:rPr>
          <w:sz w:val="24"/>
          <w:szCs w:val="24"/>
        </w:rPr>
      </w:pPr>
    </w:p>
    <w:p>
      <w:pPr>
        <w:tabs>
          <w:tab w:val="left" w:pos="1680"/>
        </w:tabs>
        <w:spacing w:line="360" w:lineRule="auto"/>
        <w:ind w:firstLine="482" w:firstLineChars="200"/>
        <w:rPr>
          <w:b/>
          <w:bCs/>
          <w:sz w:val="24"/>
          <w:szCs w:val="24"/>
          <w:u w:val="single"/>
        </w:rPr>
      </w:pPr>
      <w:r>
        <w:rPr>
          <w:b/>
          <w:bCs/>
          <w:sz w:val="24"/>
          <w:szCs w:val="24"/>
          <w:u w:val="single"/>
        </w:rPr>
        <w:t>式中：B——燃气量，m</w:t>
      </w:r>
      <w:r>
        <w:rPr>
          <w:b/>
          <w:bCs/>
          <w:sz w:val="24"/>
          <w:szCs w:val="24"/>
          <w:u w:val="single"/>
          <w:vertAlign w:val="superscript"/>
        </w:rPr>
        <w:t>3</w:t>
      </w:r>
      <w:r>
        <w:rPr>
          <w:b/>
          <w:bCs/>
          <w:sz w:val="24"/>
          <w:szCs w:val="24"/>
          <w:u w:val="single"/>
        </w:rPr>
        <w:t>/h；</w:t>
      </w:r>
    </w:p>
    <w:p>
      <w:pPr>
        <w:tabs>
          <w:tab w:val="left" w:pos="1680"/>
        </w:tabs>
        <w:spacing w:line="360" w:lineRule="auto"/>
        <w:ind w:firstLine="1205" w:firstLineChars="500"/>
        <w:rPr>
          <w:b/>
          <w:bCs/>
          <w:sz w:val="24"/>
          <w:szCs w:val="24"/>
          <w:u w:val="single"/>
        </w:rPr>
      </w:pPr>
      <w:r>
        <w:rPr>
          <w:b/>
          <w:bCs/>
          <w:sz w:val="24"/>
          <w:szCs w:val="24"/>
          <w:u w:val="single"/>
        </w:rPr>
        <w:t>F——功率，KW；F =</w:t>
      </w:r>
      <w:r>
        <w:rPr>
          <w:rFonts w:hint="eastAsia"/>
          <w:b/>
          <w:bCs/>
          <w:sz w:val="24"/>
          <w:szCs w:val="24"/>
          <w:u w:val="single"/>
        </w:rPr>
        <w:t>31</w:t>
      </w:r>
      <w:r>
        <w:rPr>
          <w:b/>
          <w:bCs/>
          <w:sz w:val="24"/>
          <w:szCs w:val="24"/>
          <w:u w:val="single"/>
        </w:rPr>
        <w:t>KW；</w:t>
      </w:r>
    </w:p>
    <w:p>
      <w:pPr>
        <w:tabs>
          <w:tab w:val="left" w:pos="1680"/>
        </w:tabs>
        <w:spacing w:line="360" w:lineRule="auto"/>
        <w:ind w:firstLine="1205" w:firstLineChars="500"/>
        <w:rPr>
          <w:b/>
          <w:bCs/>
          <w:sz w:val="24"/>
          <w:szCs w:val="24"/>
          <w:u w:val="single"/>
        </w:rPr>
      </w:pPr>
      <w:r>
        <w:rPr>
          <w:b/>
          <w:bCs/>
          <w:sz w:val="24"/>
          <w:szCs w:val="24"/>
          <w:u w:val="single"/>
        </w:rPr>
        <w:t>Q——沼气的低位发热值，KJ/m</w:t>
      </w:r>
      <w:r>
        <w:rPr>
          <w:b/>
          <w:bCs/>
          <w:sz w:val="24"/>
          <w:szCs w:val="24"/>
          <w:u w:val="single"/>
          <w:vertAlign w:val="superscript"/>
        </w:rPr>
        <w:t>3</w:t>
      </w:r>
      <w:r>
        <w:rPr>
          <w:b/>
          <w:bCs/>
          <w:sz w:val="24"/>
          <w:szCs w:val="24"/>
          <w:u w:val="single"/>
        </w:rPr>
        <w:t>；</w:t>
      </w:r>
    </w:p>
    <w:p>
      <w:pPr>
        <w:tabs>
          <w:tab w:val="left" w:pos="1680"/>
        </w:tabs>
        <w:spacing w:line="360" w:lineRule="auto"/>
        <w:ind w:firstLine="1205" w:firstLineChars="500"/>
        <w:rPr>
          <w:b/>
          <w:bCs/>
          <w:sz w:val="24"/>
          <w:szCs w:val="24"/>
          <w:u w:val="single"/>
        </w:rPr>
      </w:pPr>
      <w:r>
        <w:rPr>
          <w:b/>
          <w:bCs/>
          <w:sz w:val="24"/>
          <w:szCs w:val="24"/>
          <w:u w:val="single"/>
        </w:rPr>
        <w:t>η——热效率，η取</w:t>
      </w:r>
      <w:r>
        <w:rPr>
          <w:rFonts w:hint="eastAsia"/>
          <w:b/>
          <w:bCs/>
          <w:sz w:val="24"/>
          <w:szCs w:val="24"/>
          <w:u w:val="single"/>
        </w:rPr>
        <w:t>8</w:t>
      </w:r>
      <w:r>
        <w:rPr>
          <w:b/>
          <w:bCs/>
          <w:sz w:val="24"/>
          <w:szCs w:val="24"/>
          <w:u w:val="single"/>
        </w:rPr>
        <w:t>0%。</w:t>
      </w:r>
    </w:p>
    <w:p>
      <w:pPr>
        <w:keepNext w:val="0"/>
        <w:keepLines w:val="0"/>
        <w:widowControl/>
        <w:suppressLineNumbers w:val="0"/>
        <w:spacing w:line="360" w:lineRule="auto"/>
        <w:jc w:val="left"/>
        <w:rPr>
          <w:rFonts w:hint="eastAsia" w:ascii="Times New Roman" w:hAnsi="Times New Roman" w:eastAsia="宋体" w:cs="Times New Roman"/>
          <w:b/>
          <w:bCs/>
          <w:color w:val="auto"/>
          <w:u w:val="single"/>
          <w:lang w:eastAsia="zh-CN"/>
        </w:rPr>
      </w:pPr>
      <w:r>
        <w:rPr>
          <w:rFonts w:hint="eastAsia" w:cs="Times New Roman"/>
          <w:b/>
          <w:bCs/>
          <w:color w:val="auto"/>
          <w:u w:val="single"/>
          <w:lang w:eastAsia="zh-CN"/>
        </w:rPr>
        <w:t>经计算，</w:t>
      </w:r>
      <w:r>
        <w:rPr>
          <w:rFonts w:hint="default" w:ascii="Times New Roman" w:hAnsi="Times New Roman" w:cs="Times New Roman"/>
          <w:b/>
          <w:bCs/>
          <w:color w:val="auto"/>
          <w:u w:val="single"/>
        </w:rPr>
        <w:t>本项目每台</w:t>
      </w:r>
      <w:r>
        <w:rPr>
          <w:rFonts w:hint="eastAsia" w:cs="Times New Roman"/>
          <w:b/>
          <w:bCs/>
          <w:color w:val="auto"/>
          <w:u w:val="single"/>
          <w:lang w:eastAsia="zh-CN"/>
        </w:rPr>
        <w:t>沼气热水炉</w:t>
      </w:r>
      <w:r>
        <w:rPr>
          <w:rFonts w:hint="default" w:ascii="Times New Roman" w:hAnsi="Times New Roman" w:cs="Times New Roman"/>
          <w:b/>
          <w:bCs/>
          <w:color w:val="auto"/>
          <w:u w:val="single"/>
        </w:rPr>
        <w:t>每小时燃气量为6.48m</w:t>
      </w:r>
      <w:r>
        <w:rPr>
          <w:rFonts w:hint="default" w:ascii="Times New Roman" w:hAnsi="Times New Roman" w:cs="Times New Roman"/>
          <w:b/>
          <w:bCs/>
          <w:color w:val="auto"/>
          <w:u w:val="single"/>
          <w:vertAlign w:val="superscript"/>
        </w:rPr>
        <w:t>3</w:t>
      </w:r>
      <w:r>
        <w:rPr>
          <w:rFonts w:hint="default" w:ascii="Times New Roman" w:hAnsi="Times New Roman" w:cs="Times New Roman"/>
          <w:b/>
          <w:bCs/>
          <w:color w:val="auto"/>
          <w:u w:val="single"/>
        </w:rPr>
        <w:t>/h，建设单位拟设置9台</w:t>
      </w:r>
      <w:r>
        <w:rPr>
          <w:rFonts w:hint="eastAsia" w:cs="Times New Roman"/>
          <w:b/>
          <w:bCs/>
          <w:color w:val="auto"/>
          <w:u w:val="single"/>
          <w:lang w:eastAsia="zh-CN"/>
        </w:rPr>
        <w:t>沼气热水炉</w:t>
      </w:r>
      <w:r>
        <w:rPr>
          <w:rFonts w:hint="default" w:ascii="Times New Roman" w:hAnsi="Times New Roman" w:cs="Times New Roman"/>
          <w:b/>
          <w:bCs/>
          <w:color w:val="auto"/>
          <w:u w:val="single"/>
        </w:rPr>
        <w:t>，</w:t>
      </w:r>
      <w:r>
        <w:rPr>
          <w:rFonts w:hint="eastAsia" w:cs="Times New Roman"/>
          <w:b/>
          <w:bCs/>
          <w:color w:val="auto"/>
          <w:u w:val="single"/>
          <w:lang w:eastAsia="zh-CN"/>
        </w:rPr>
        <w:t>夏季</w:t>
      </w:r>
      <w:r>
        <w:rPr>
          <w:rFonts w:hint="default" w:ascii="Times New Roman" w:hAnsi="Times New Roman" w:cs="Times New Roman"/>
          <w:b/>
          <w:bCs/>
          <w:color w:val="auto"/>
          <w:u w:val="single"/>
        </w:rPr>
        <w:t>平均每天运行</w:t>
      </w:r>
      <w:r>
        <w:rPr>
          <w:rFonts w:hint="eastAsia" w:cs="Times New Roman"/>
          <w:b/>
          <w:bCs/>
          <w:color w:val="auto"/>
          <w:u w:val="single"/>
          <w:lang w:val="en-US" w:eastAsia="zh-CN"/>
        </w:rPr>
        <w:t>8.5</w:t>
      </w:r>
      <w:r>
        <w:rPr>
          <w:rFonts w:hint="default" w:ascii="Times New Roman" w:hAnsi="Times New Roman" w:cs="Times New Roman"/>
          <w:b/>
          <w:bCs/>
          <w:color w:val="auto"/>
          <w:u w:val="single"/>
        </w:rPr>
        <w:t>h，</w:t>
      </w:r>
      <w:r>
        <w:rPr>
          <w:rFonts w:hint="eastAsia" w:cs="Times New Roman"/>
          <w:b/>
          <w:bCs/>
          <w:color w:val="auto"/>
          <w:u w:val="single"/>
          <w:lang w:eastAsia="zh-CN"/>
        </w:rPr>
        <w:t>其他季节每天运行</w:t>
      </w:r>
      <w:r>
        <w:rPr>
          <w:rFonts w:hint="eastAsia" w:cs="Times New Roman"/>
          <w:b/>
          <w:bCs/>
          <w:color w:val="auto"/>
          <w:u w:val="single"/>
          <w:lang w:val="en-US" w:eastAsia="zh-CN"/>
        </w:rPr>
        <w:t>6h，夏季</w:t>
      </w:r>
      <w:r>
        <w:rPr>
          <w:rFonts w:hint="default" w:ascii="Times New Roman" w:hAnsi="Times New Roman" w:cs="Times New Roman"/>
          <w:b/>
          <w:bCs/>
          <w:color w:val="auto"/>
          <w:u w:val="single"/>
        </w:rPr>
        <w:t>每天用气量为</w:t>
      </w:r>
      <w:r>
        <w:rPr>
          <w:rFonts w:hint="eastAsia" w:cs="Times New Roman"/>
          <w:b/>
          <w:bCs/>
          <w:color w:val="auto"/>
          <w:u w:val="single"/>
          <w:lang w:val="en-US" w:eastAsia="zh-CN"/>
        </w:rPr>
        <w:t>495.72</w:t>
      </w:r>
      <w:r>
        <w:rPr>
          <w:rFonts w:hint="default" w:ascii="Times New Roman" w:hAnsi="Times New Roman" w:cs="Times New Roman"/>
          <w:b/>
          <w:bCs/>
          <w:color w:val="auto"/>
          <w:u w:val="single"/>
        </w:rPr>
        <w:t>m</w:t>
      </w:r>
      <w:r>
        <w:rPr>
          <w:rFonts w:hint="default" w:ascii="Times New Roman" w:hAnsi="Times New Roman" w:cs="Times New Roman"/>
          <w:b/>
          <w:bCs/>
          <w:color w:val="auto"/>
          <w:u w:val="single"/>
          <w:vertAlign w:val="superscript"/>
        </w:rPr>
        <w:t>3</w:t>
      </w:r>
      <w:r>
        <w:rPr>
          <w:rFonts w:hint="default" w:ascii="Times New Roman" w:hAnsi="Times New Roman" w:cs="Times New Roman"/>
          <w:b/>
          <w:bCs/>
          <w:color w:val="auto"/>
          <w:u w:val="single"/>
        </w:rPr>
        <w:t>/d，</w:t>
      </w:r>
      <w:r>
        <w:rPr>
          <w:rFonts w:hint="eastAsia" w:cs="Times New Roman"/>
          <w:b/>
          <w:bCs/>
          <w:color w:val="auto"/>
          <w:u w:val="single"/>
          <w:lang w:eastAsia="zh-CN"/>
        </w:rPr>
        <w:t>其他季节每天用气量</w:t>
      </w:r>
      <w:r>
        <w:rPr>
          <w:rFonts w:hint="eastAsia" w:cs="Times New Roman"/>
          <w:b/>
          <w:bCs/>
          <w:color w:val="auto"/>
          <w:u w:val="single"/>
          <w:lang w:val="en-US" w:eastAsia="zh-CN"/>
        </w:rPr>
        <w:t>349</w:t>
      </w:r>
      <w:r>
        <w:rPr>
          <w:rFonts w:hint="default" w:ascii="Times New Roman" w:hAnsi="Times New Roman" w:cs="Times New Roman"/>
          <w:b/>
          <w:bCs/>
          <w:color w:val="auto"/>
          <w:u w:val="single"/>
        </w:rPr>
        <w:t>m</w:t>
      </w:r>
      <w:r>
        <w:rPr>
          <w:rFonts w:hint="default" w:ascii="Times New Roman" w:hAnsi="Times New Roman" w:cs="Times New Roman"/>
          <w:b/>
          <w:bCs/>
          <w:color w:val="auto"/>
          <w:u w:val="single"/>
          <w:vertAlign w:val="superscript"/>
        </w:rPr>
        <w:t>3</w:t>
      </w:r>
      <w:r>
        <w:rPr>
          <w:rFonts w:hint="default" w:ascii="Times New Roman" w:hAnsi="Times New Roman" w:cs="Times New Roman"/>
          <w:b/>
          <w:bCs/>
          <w:color w:val="auto"/>
          <w:u w:val="single"/>
        </w:rPr>
        <w:t>/d</w:t>
      </w:r>
      <w:r>
        <w:rPr>
          <w:rFonts w:hint="eastAsia" w:cs="Times New Roman"/>
          <w:b/>
          <w:bCs/>
          <w:color w:val="auto"/>
          <w:u w:val="single"/>
          <w:lang w:eastAsia="zh-CN"/>
        </w:rPr>
        <w:t>，</w:t>
      </w:r>
      <w:r>
        <w:rPr>
          <w:b/>
          <w:bCs/>
          <w:color w:val="000000"/>
          <w:sz w:val="24"/>
          <w:u w:val="single"/>
        </w:rPr>
        <w:t>本项目的沼气</w:t>
      </w:r>
      <w:r>
        <w:rPr>
          <w:rFonts w:hint="eastAsia"/>
          <w:b/>
          <w:bCs/>
          <w:color w:val="000000"/>
          <w:sz w:val="24"/>
          <w:u w:val="single"/>
        </w:rPr>
        <w:t>可以</w:t>
      </w:r>
      <w:r>
        <w:rPr>
          <w:b/>
          <w:bCs/>
          <w:color w:val="000000"/>
          <w:sz w:val="24"/>
          <w:u w:val="single"/>
        </w:rPr>
        <w:t>全部综合利用</w:t>
      </w:r>
      <w:r>
        <w:rPr>
          <w:rFonts w:hint="eastAsia"/>
          <w:b/>
          <w:bCs/>
          <w:color w:val="000000"/>
          <w:sz w:val="24"/>
          <w:u w:val="single"/>
          <w:lang w:eastAsia="zh-CN"/>
        </w:rPr>
        <w:t>。</w:t>
      </w:r>
    </w:p>
    <w:p>
      <w:pPr>
        <w:ind w:firstLine="480"/>
        <w:outlineLvl w:val="3"/>
        <w:rPr>
          <w:rFonts w:hint="default" w:ascii="Times New Roman" w:hAnsi="Times New Roman" w:cs="Times New Roman"/>
          <w:color w:val="auto"/>
        </w:rPr>
      </w:pPr>
      <w:r>
        <w:rPr>
          <w:rFonts w:hint="default" w:ascii="Times New Roman" w:hAnsi="Times New Roman" w:cs="Times New Roman"/>
          <w:color w:val="auto"/>
        </w:rPr>
        <w:t>3.2.3.5 沼液利用</w:t>
      </w:r>
    </w:p>
    <w:p>
      <w:pPr>
        <w:widowControl/>
        <w:ind w:firstLine="480"/>
        <w:jc w:val="left"/>
        <w:rPr>
          <w:rFonts w:hint="default" w:ascii="Times New Roman" w:hAnsi="Times New Roman" w:cs="Times New Roman"/>
          <w:color w:val="auto"/>
        </w:rPr>
      </w:pPr>
      <w:r>
        <w:rPr>
          <w:rFonts w:hint="default" w:ascii="Times New Roman" w:hAnsi="Times New Roman" w:cs="Times New Roman"/>
          <w:color w:val="auto"/>
        </w:rPr>
        <w:t>经场内污水处理站处理后的沼液储存于</w:t>
      </w:r>
      <w:r>
        <w:rPr>
          <w:rFonts w:hint="default" w:ascii="Times New Roman" w:hAnsi="Times New Roman" w:cs="Times New Roman"/>
          <w:color w:val="auto"/>
          <w:lang w:eastAsia="zh-CN"/>
        </w:rPr>
        <w:t>沼液存储池</w:t>
      </w:r>
      <w:r>
        <w:rPr>
          <w:rFonts w:hint="default" w:ascii="Times New Roman" w:hAnsi="Times New Roman" w:cs="Times New Roman"/>
          <w:color w:val="auto"/>
        </w:rPr>
        <w:t>，由于其含有丰富的机质、腐殖酸、粗蛋白、氮、磷、钾和多种微量元素等，是缓速兼备的优质</w:t>
      </w:r>
      <w:r>
        <w:rPr>
          <w:rFonts w:hint="default" w:ascii="Times New Roman" w:hAnsi="Times New Roman" w:cs="Times New Roman"/>
          <w:color w:val="auto"/>
          <w:lang w:eastAsia="zh-CN"/>
        </w:rPr>
        <w:t>农家肥</w:t>
      </w:r>
      <w:r>
        <w:rPr>
          <w:rFonts w:hint="default" w:ascii="Times New Roman" w:hAnsi="Times New Roman" w:cs="Times New Roman"/>
          <w:color w:val="auto"/>
        </w:rPr>
        <w:t>，因此，沼液可作为液肥用于农田，实现资源化利用。项目利用场区周围500亩农田作为沼液的消纳地，均与农户签订消纳协议。</w:t>
      </w:r>
    </w:p>
    <w:p>
      <w:pPr>
        <w:ind w:firstLine="480"/>
        <w:outlineLvl w:val="3"/>
        <w:rPr>
          <w:rFonts w:hint="default" w:ascii="Times New Roman" w:hAnsi="Times New Roman" w:cs="Times New Roman"/>
          <w:color w:val="auto"/>
        </w:rPr>
      </w:pPr>
      <w:r>
        <w:rPr>
          <w:rFonts w:hint="default" w:ascii="Times New Roman" w:hAnsi="Times New Roman" w:cs="Times New Roman"/>
          <w:color w:val="auto"/>
        </w:rPr>
        <w:t>3.2.3.6 病死猪处理工程</w:t>
      </w:r>
    </w:p>
    <w:p>
      <w:pPr>
        <w:widowControl/>
        <w:ind w:firstLine="480"/>
        <w:rPr>
          <w:rFonts w:hint="default" w:ascii="Times New Roman" w:hAnsi="Times New Roman" w:cs="Times New Roman"/>
          <w:bCs/>
          <w:iCs/>
          <w:color w:val="auto"/>
        </w:rPr>
      </w:pPr>
      <w:r>
        <w:rPr>
          <w:rFonts w:hint="default" w:ascii="Times New Roman" w:hAnsi="Times New Roman" w:cs="Times New Roman"/>
          <w:bCs/>
          <w:iCs/>
          <w:color w:val="auto"/>
        </w:rPr>
        <w:t>病猪进入隔离猪舍进行注射治疗；一旦发现疫猪（疫死猪），第一时间对疫猪及所在猪舍进行隔离，及时将病死猪交进行处理，并对猪舍进行消毒，防止疫情扩散。</w:t>
      </w:r>
    </w:p>
    <w:p>
      <w:pPr>
        <w:ind w:firstLine="480"/>
        <w:rPr>
          <w:rFonts w:hint="default" w:ascii="Times New Roman" w:hAnsi="Times New Roman" w:cs="Times New Roman"/>
          <w:color w:val="auto"/>
        </w:rPr>
      </w:pPr>
      <w:r>
        <w:rPr>
          <w:rFonts w:hint="default" w:ascii="Times New Roman" w:hAnsi="Times New Roman" w:cs="Times New Roman"/>
          <w:color w:val="auto"/>
        </w:rPr>
        <w:t>根据《畜禽养殖业污染防治技术政策》（环发[2010]151号）中有关内容，畜禽尸体应按照有关卫生防疫规定单独进行妥善处置。染疫畜禽及其排泄物、染疫畜禽产品，病死或者死因不明的畜禽尸体等污染物，应就地进行无害化处理。</w:t>
      </w:r>
    </w:p>
    <w:p>
      <w:pPr>
        <w:ind w:firstLine="480"/>
        <w:rPr>
          <w:rFonts w:hint="default" w:ascii="Times New Roman" w:hAnsi="Times New Roman" w:cs="Times New Roman"/>
          <w:color w:val="auto"/>
        </w:rPr>
      </w:pPr>
      <w:r>
        <w:rPr>
          <w:rFonts w:hint="default" w:ascii="Times New Roman" w:hAnsi="Times New Roman" w:cs="Times New Roman"/>
          <w:color w:val="auto"/>
        </w:rPr>
        <w:t>根据《畜禽规模养殖污染防治条例》（中华人民共和国国务院令第643号）的有关内容，染疫畜禽以及染疫畜禽排泄物、染疫畜禽产品、病死或者死因不明的畜禽尸体等病害畜禽养殖废弃物，应当按照有关法律、法规和国务院农牧主管部门的规定，进行深埋、化制、焚烧等无害化处理，不得随意处置；国家鼓励和支持对染疫畜禽、病死或者死因不明畜禽尸体进行集中无害化处理，并按照国家有关规定对处理费用、养殖损失给予适当补助。</w:t>
      </w:r>
    </w:p>
    <w:p>
      <w:pPr>
        <w:ind w:firstLine="480"/>
        <w:rPr>
          <w:rFonts w:hint="default" w:ascii="Times New Roman" w:hAnsi="Times New Roman" w:cs="Times New Roman"/>
          <w:b/>
          <w:bCs/>
          <w:color w:val="auto"/>
          <w:u w:val="single"/>
        </w:rPr>
      </w:pPr>
      <w:r>
        <w:rPr>
          <w:rFonts w:hint="default" w:ascii="Times New Roman" w:hAnsi="Times New Roman" w:cs="Times New Roman"/>
          <w:color w:val="auto"/>
        </w:rPr>
        <w:t>本项目厂区内设置1台2T病死动物无害化高温处理机，用于处理本养殖场产生的病死猪。</w:t>
      </w:r>
      <w:r>
        <w:rPr>
          <w:rFonts w:hint="default" w:ascii="Times New Roman" w:hAnsi="Times New Roman" w:cs="Times New Roman"/>
          <w:b/>
          <w:bCs/>
          <w:color w:val="auto"/>
          <w:u w:val="single"/>
        </w:rPr>
        <w:t>动物无害化高温处理机</w:t>
      </w:r>
      <w:r>
        <w:rPr>
          <w:rFonts w:hint="default" w:ascii="Times New Roman" w:hAnsi="Times New Roman" w:cs="Times New Roman"/>
          <w:b/>
          <w:bCs/>
          <w:color w:val="auto"/>
          <w:u w:val="single"/>
          <w:lang w:eastAsia="zh-CN"/>
        </w:rPr>
        <w:t>采用电加热方式。</w:t>
      </w:r>
      <w:r>
        <w:rPr>
          <w:rFonts w:hint="default" w:ascii="Times New Roman" w:hAnsi="Times New Roman" w:cs="Times New Roman"/>
          <w:color w:val="auto"/>
        </w:rPr>
        <w:t>病死动物无害化高温处理机采用高温生物发酵技术原理，利用设备产生的连续24小时的高温环境实现灭活病原体，菌种主要是通过自身分泌高活性的蛋白酶及脂肪酶等酶系，释放到细胞外部，并与动物尸体接触后发生酶解作用，将动物尸体中的主要成分：蛋白质、脂肪等高分子物质逐步酶解成为低分子物质如短肽及脂肪酸，并通过多次循环作用将短肽及脂肪酸进一步降解为氨基酸、乙酰辅酶 A 等单体。这些单体物质进入菌种体内，被菌种体内的三羧酸循环等代谢途径彻底分解为二氧化碳、水等物质，从而实现动物尸体的降解。设备综合分切、绞碎、发酵、杀菌、干燥等多个同步环节，把畜禽尸体等废</w:t>
      </w:r>
      <w:r>
        <w:rPr>
          <w:rFonts w:hint="default" w:ascii="Times New Roman" w:hAnsi="Times New Roman" w:cs="Times New Roman"/>
          <w:b/>
          <w:bCs/>
          <w:color w:val="auto"/>
          <w:u w:val="single"/>
        </w:rPr>
        <w:t>弃物快速降解处理为有机肥原料。主要技术流程为：</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b/>
          <w:bCs/>
          <w:color w:val="auto"/>
          <w:u w:val="single"/>
        </w:rPr>
      </w:pPr>
      <w:r>
        <w:rPr>
          <w:rFonts w:hint="default" w:ascii="Times New Roman" w:hAnsi="Times New Roman" w:cs="Times New Roman"/>
          <w:b/>
          <w:bCs/>
          <w:color w:val="auto"/>
          <w:u w:val="single"/>
          <w:lang w:eastAsia="zh-CN"/>
        </w:rPr>
        <w:t>（</w:t>
      </w:r>
      <w:r>
        <w:rPr>
          <w:rFonts w:hint="default" w:ascii="Times New Roman" w:hAnsi="Times New Roman" w:cs="Times New Roman"/>
          <w:b/>
          <w:bCs/>
          <w:color w:val="auto"/>
          <w:u w:val="single"/>
          <w:lang w:val="en-US" w:eastAsia="zh-CN"/>
        </w:rPr>
        <w:t>1</w:t>
      </w:r>
      <w:r>
        <w:rPr>
          <w:rFonts w:hint="default" w:ascii="Times New Roman" w:hAnsi="Times New Roman" w:cs="Times New Roman"/>
          <w:b/>
          <w:bCs/>
          <w:color w:val="auto"/>
          <w:u w:val="single"/>
          <w:lang w:eastAsia="zh-CN"/>
        </w:rPr>
        <w:t>）</w:t>
      </w:r>
      <w:r>
        <w:rPr>
          <w:rFonts w:hint="default" w:ascii="Times New Roman" w:hAnsi="Times New Roman" w:cs="Times New Roman"/>
          <w:b/>
          <w:bCs/>
          <w:color w:val="auto"/>
          <w:u w:val="single"/>
        </w:rPr>
        <w:t>进料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b/>
          <w:bCs/>
          <w:color w:val="auto"/>
          <w:u w:val="single"/>
        </w:rPr>
      </w:pPr>
      <w:r>
        <w:rPr>
          <w:rFonts w:hint="default" w:ascii="Times New Roman" w:hAnsi="Times New Roman" w:cs="Times New Roman"/>
          <w:b/>
          <w:bCs/>
          <w:color w:val="auto"/>
          <w:u w:val="single"/>
        </w:rPr>
        <w:t>需要处理的病死猪由人工搬运至传送带上，传送带将病死猪传送进入破碎机进料口。</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b/>
          <w:bCs/>
          <w:color w:val="auto"/>
          <w:u w:val="single"/>
        </w:rPr>
      </w:pPr>
      <w:r>
        <w:rPr>
          <w:rFonts w:hint="default" w:ascii="Times New Roman" w:hAnsi="Times New Roman" w:cs="Times New Roman"/>
          <w:b/>
          <w:bCs/>
          <w:color w:val="auto"/>
          <w:u w:val="single"/>
          <w:lang w:eastAsia="zh-CN"/>
        </w:rPr>
        <w:t>（</w:t>
      </w:r>
      <w:r>
        <w:rPr>
          <w:rFonts w:hint="default" w:ascii="Times New Roman" w:hAnsi="Times New Roman" w:cs="Times New Roman"/>
          <w:b/>
          <w:bCs/>
          <w:color w:val="auto"/>
          <w:u w:val="single"/>
          <w:lang w:val="en-US" w:eastAsia="zh-CN"/>
        </w:rPr>
        <w:t>2</w:t>
      </w:r>
      <w:r>
        <w:rPr>
          <w:rFonts w:hint="default" w:ascii="Times New Roman" w:hAnsi="Times New Roman" w:cs="Times New Roman"/>
          <w:b/>
          <w:bCs/>
          <w:color w:val="auto"/>
          <w:u w:val="single"/>
          <w:lang w:eastAsia="zh-CN"/>
        </w:rPr>
        <w:t>）</w:t>
      </w:r>
      <w:r>
        <w:rPr>
          <w:rFonts w:hint="default" w:ascii="Times New Roman" w:hAnsi="Times New Roman" w:cs="Times New Roman"/>
          <w:b/>
          <w:bCs/>
          <w:color w:val="auto"/>
          <w:u w:val="single"/>
        </w:rPr>
        <w:t>破碎</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b/>
          <w:bCs/>
          <w:color w:val="auto"/>
          <w:u w:val="single"/>
        </w:rPr>
      </w:pPr>
      <w:r>
        <w:rPr>
          <w:rFonts w:hint="default" w:ascii="Times New Roman" w:hAnsi="Times New Roman" w:cs="Times New Roman"/>
          <w:b/>
          <w:bCs/>
          <w:color w:val="auto"/>
          <w:u w:val="single"/>
        </w:rPr>
        <w:t>破碎机内主要进行病死猪尸体的切割、绞碎。经破碎后的肉块通过管道输送进入高温处理设备内。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b/>
          <w:bCs/>
          <w:color w:val="auto"/>
          <w:u w:val="single"/>
        </w:rPr>
      </w:pPr>
      <w:r>
        <w:rPr>
          <w:rFonts w:hint="default" w:ascii="Times New Roman" w:hAnsi="Times New Roman" w:cs="Times New Roman"/>
          <w:b/>
          <w:bCs/>
          <w:color w:val="auto"/>
          <w:u w:val="single"/>
        </w:rPr>
        <w:t>（3）高温处理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b/>
          <w:bCs/>
          <w:color w:val="auto"/>
          <w:u w:val="single"/>
        </w:rPr>
      </w:pPr>
      <w:r>
        <w:rPr>
          <w:rFonts w:hint="default" w:ascii="Times New Roman" w:hAnsi="Times New Roman" w:cs="Times New Roman"/>
          <w:b/>
          <w:bCs/>
          <w:color w:val="auto"/>
          <w:u w:val="single"/>
        </w:rPr>
        <w:t>高温处理机通过导热油电加热。高温处理机内事先开机升温到80℃，再投入经破碎的病死猪和专用益生菌。物料在高温处理机内搅拌发酵时间为18~24小时。加热过程中整个机箱为密闭，加热过程中产生的高温蒸汽，经冷凝器冷凝，冷凝废水进入污水处理站。经冷凝后的废气经光氧催化氧化除臭后通过排气筒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b/>
          <w:bCs/>
          <w:color w:val="auto"/>
          <w:u w:val="single"/>
        </w:rPr>
      </w:pPr>
      <w:r>
        <w:rPr>
          <w:rFonts w:hint="default" w:ascii="Times New Roman" w:hAnsi="Times New Roman" w:cs="Times New Roman"/>
          <w:b/>
          <w:bCs/>
          <w:color w:val="auto"/>
          <w:u w:val="single"/>
          <w:lang w:eastAsia="zh-CN"/>
        </w:rPr>
        <w:t>（</w:t>
      </w:r>
      <w:r>
        <w:rPr>
          <w:rFonts w:hint="default" w:ascii="Times New Roman" w:hAnsi="Times New Roman" w:cs="Times New Roman"/>
          <w:b/>
          <w:bCs/>
          <w:color w:val="auto"/>
          <w:u w:val="single"/>
          <w:lang w:val="en-US" w:eastAsia="zh-CN"/>
        </w:rPr>
        <w:t>4</w:t>
      </w:r>
      <w:r>
        <w:rPr>
          <w:rFonts w:hint="default" w:ascii="Times New Roman" w:hAnsi="Times New Roman" w:cs="Times New Roman"/>
          <w:b/>
          <w:bCs/>
          <w:color w:val="auto"/>
          <w:u w:val="single"/>
          <w:lang w:eastAsia="zh-CN"/>
        </w:rPr>
        <w:t>）</w:t>
      </w:r>
      <w:r>
        <w:rPr>
          <w:rFonts w:hint="default" w:ascii="Times New Roman" w:hAnsi="Times New Roman" w:cs="Times New Roman"/>
          <w:b/>
          <w:bCs/>
          <w:color w:val="auto"/>
          <w:u w:val="single"/>
        </w:rPr>
        <w:t>出料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b/>
          <w:bCs/>
          <w:color w:val="auto"/>
          <w:u w:val="single"/>
        </w:rPr>
        <w:t>发酵好的物料，通过箱体下部的出口排出，在骨渣储存区存储，打包外售。</w:t>
      </w:r>
      <w:r>
        <w:rPr>
          <w:rFonts w:hint="default" w:ascii="Times New Roman" w:hAnsi="Times New Roman" w:cs="Times New Roman"/>
          <w:color w:val="auto"/>
        </w:rPr>
        <w:t>工艺流程见图3-</w:t>
      </w:r>
      <w:r>
        <w:rPr>
          <w:rFonts w:hint="default" w:ascii="Times New Roman" w:hAnsi="Times New Roman" w:cs="Times New Roman"/>
          <w:color w:val="auto"/>
          <w:lang w:val="en-US" w:eastAsia="zh-CN"/>
        </w:rPr>
        <w:t>9</w:t>
      </w:r>
      <w:r>
        <w:rPr>
          <w:rFonts w:hint="default" w:ascii="Times New Roman" w:hAnsi="Times New Roman" w:cs="Times New Roman"/>
          <w:color w:val="auto"/>
        </w:rPr>
        <w:t>。</w:t>
      </w:r>
    </w:p>
    <w:p>
      <w:pPr>
        <w:adjustRightInd/>
        <w:snapToGrid/>
        <w:ind w:left="0" w:leftChars="0" w:firstLine="0" w:firstLineChars="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543550" cy="1434465"/>
            <wp:effectExtent l="9525" t="9525" r="9525" b="22860"/>
            <wp:docPr id="3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2"/>
                    <pic:cNvPicPr>
                      <a:picLocks noChangeAspect="1"/>
                    </pic:cNvPicPr>
                  </pic:nvPicPr>
                  <pic:blipFill>
                    <a:blip r:embed="rId39" cstate="print"/>
                    <a:stretch>
                      <a:fillRect/>
                    </a:stretch>
                  </pic:blipFill>
                  <pic:spPr>
                    <a:xfrm>
                      <a:off x="0" y="0"/>
                      <a:ext cx="5543550" cy="1434465"/>
                    </a:xfrm>
                    <a:prstGeom prst="rect">
                      <a:avLst/>
                    </a:prstGeom>
                    <a:noFill/>
                    <a:ln w="9525" cap="flat" cmpd="sng">
                      <a:solidFill>
                        <a:srgbClr val="000000"/>
                      </a:solidFill>
                      <a:prstDash val="solid"/>
                      <a:miter/>
                      <a:headEnd type="none" w="med" len="med"/>
                      <a:tailEnd type="none" w="med" len="med"/>
                    </a:ln>
                  </pic:spPr>
                </pic:pic>
              </a:graphicData>
            </a:graphic>
          </wp:inline>
        </w:drawing>
      </w:r>
    </w:p>
    <w:p>
      <w:pPr>
        <w:ind w:right="110" w:firstLine="482"/>
        <w:jc w:val="center"/>
        <w:rPr>
          <w:rFonts w:hint="default" w:ascii="Times New Roman" w:hAnsi="Times New Roman" w:cs="Times New Roman"/>
          <w:color w:val="auto"/>
        </w:rPr>
      </w:pPr>
      <w:r>
        <w:rPr>
          <w:rFonts w:hint="default" w:ascii="Times New Roman" w:hAnsi="Times New Roman" w:cs="Times New Roman"/>
          <w:b/>
          <w:bCs/>
          <w:color w:val="auto"/>
        </w:rPr>
        <w:t>图 3-</w:t>
      </w:r>
      <w:r>
        <w:rPr>
          <w:rFonts w:hint="default" w:ascii="Times New Roman" w:hAnsi="Times New Roman" w:cs="Times New Roman"/>
          <w:b/>
          <w:bCs/>
          <w:color w:val="auto"/>
          <w:lang w:val="en-US" w:eastAsia="zh-CN"/>
        </w:rPr>
        <w:t>9</w:t>
      </w:r>
      <w:r>
        <w:rPr>
          <w:rFonts w:hint="default" w:ascii="Times New Roman" w:hAnsi="Times New Roman" w:eastAsia="Times New Roman" w:cs="Times New Roman"/>
          <w:b/>
          <w:bCs/>
          <w:color w:val="auto"/>
          <w:spacing w:val="27"/>
        </w:rPr>
        <w:t xml:space="preserve"> </w:t>
      </w:r>
      <w:r>
        <w:rPr>
          <w:rFonts w:hint="default" w:ascii="Times New Roman" w:hAnsi="Times New Roman" w:cs="Times New Roman"/>
          <w:b/>
          <w:bCs/>
          <w:color w:val="auto"/>
        </w:rPr>
        <w:t>高温处理机工艺流程</w:t>
      </w:r>
    </w:p>
    <w:p>
      <w:pPr>
        <w:pStyle w:val="11"/>
        <w:adjustRightInd/>
        <w:snapToGrid/>
        <w:spacing w:after="0"/>
        <w:ind w:firstLine="488"/>
        <w:rPr>
          <w:rFonts w:hint="default" w:ascii="Times New Roman" w:hAnsi="Times New Roman" w:cs="Times New Roman"/>
          <w:color w:val="auto"/>
        </w:rPr>
      </w:pPr>
      <w:r>
        <w:rPr>
          <w:rFonts w:hint="default" w:ascii="Times New Roman" w:hAnsi="Times New Roman" w:cs="Times New Roman"/>
          <w:color w:val="auto"/>
          <w:spacing w:val="2"/>
        </w:rPr>
        <w:t>动物尸体在无害化降解处理过程中产生一定量的恶臭气体，臭气成分主要由硫化氢、氨气等气体组成，较为复杂。排出的水蒸汽经冷凝器冷凝，在经过</w:t>
      </w:r>
      <w:r>
        <w:rPr>
          <w:rFonts w:hint="default" w:ascii="Times New Roman" w:hAnsi="Times New Roman" w:cs="Times New Roman"/>
          <w:color w:val="auto"/>
          <w:spacing w:val="-52"/>
        </w:rPr>
        <w:t xml:space="preserve"> </w:t>
      </w:r>
      <w:r>
        <w:rPr>
          <w:rFonts w:hint="default" w:ascii="Times New Roman" w:hAnsi="Times New Roman" w:eastAsia="Times New Roman" w:cs="Times New Roman"/>
          <w:color w:val="auto"/>
        </w:rPr>
        <w:t>UV</w:t>
      </w:r>
      <w:r>
        <w:rPr>
          <w:rFonts w:hint="default" w:ascii="Times New Roman" w:hAnsi="Times New Roman" w:cs="Times New Roman"/>
          <w:color w:val="auto"/>
        </w:rPr>
        <w:t>光解</w:t>
      </w:r>
      <w:r>
        <w:rPr>
          <w:rFonts w:hint="default" w:ascii="Times New Roman" w:hAnsi="Times New Roman" w:cs="Times New Roman"/>
          <w:color w:val="auto"/>
          <w:spacing w:val="2"/>
        </w:rPr>
        <w:t>催化氧化后通过排气筒排放。根据厂家实验处理一批次动物尸体，冷凝水的产生量</w:t>
      </w:r>
      <w:r>
        <w:rPr>
          <w:rFonts w:hint="default" w:ascii="Times New Roman" w:hAnsi="Times New Roman" w:cs="Times New Roman"/>
          <w:color w:val="auto"/>
        </w:rPr>
        <w:t>为75</w:t>
      </w:r>
      <w:r>
        <w:rPr>
          <w:rFonts w:hint="default" w:ascii="Times New Roman" w:hAnsi="Times New Roman" w:eastAsia="Times New Roman" w:cs="Times New Roman"/>
          <w:color w:val="auto"/>
        </w:rPr>
        <w:t>L</w:t>
      </w:r>
      <w:r>
        <w:rPr>
          <w:rFonts w:hint="default" w:ascii="Times New Roman" w:hAnsi="Times New Roman" w:cs="Times New Roman"/>
          <w:color w:val="auto"/>
        </w:rPr>
        <w:t>。</w:t>
      </w:r>
    </w:p>
    <w:p>
      <w:pPr>
        <w:pStyle w:val="11"/>
        <w:adjustRightInd/>
        <w:snapToGrid/>
        <w:spacing w:after="0"/>
        <w:ind w:firstLine="488"/>
        <w:rPr>
          <w:rFonts w:hint="default" w:ascii="Times New Roman" w:hAnsi="Times New Roman" w:cs="Times New Roman"/>
          <w:color w:val="auto"/>
        </w:rPr>
      </w:pPr>
      <w:r>
        <w:rPr>
          <w:rFonts w:hint="default" w:ascii="Times New Roman" w:hAnsi="Times New Roman" w:cs="Times New Roman"/>
          <w:color w:val="auto"/>
          <w:spacing w:val="2"/>
        </w:rPr>
        <w:t>高温处理机配套</w:t>
      </w:r>
      <w:r>
        <w:rPr>
          <w:rFonts w:hint="default" w:ascii="Times New Roman" w:hAnsi="Times New Roman" w:eastAsia="Times New Roman" w:cs="Times New Roman"/>
          <w:color w:val="auto"/>
        </w:rPr>
        <w:t>UV</w:t>
      </w:r>
      <w:r>
        <w:rPr>
          <w:rFonts w:hint="default" w:ascii="Times New Roman" w:hAnsi="Times New Roman" w:cs="Times New Roman"/>
          <w:color w:val="auto"/>
          <w:spacing w:val="2"/>
        </w:rPr>
        <w:t>光解催化氧化除臭设备。动物尸体在降解的过程中产生的</w:t>
      </w:r>
      <w:r>
        <w:rPr>
          <w:rFonts w:hint="default" w:ascii="Times New Roman" w:hAnsi="Times New Roman" w:cs="Times New Roman"/>
          <w:color w:val="auto"/>
        </w:rPr>
        <w:t>恶臭气体进入</w:t>
      </w:r>
      <w:r>
        <w:rPr>
          <w:rFonts w:hint="default" w:ascii="Times New Roman" w:hAnsi="Times New Roman" w:eastAsia="Times New Roman" w:cs="Times New Roman"/>
          <w:color w:val="auto"/>
          <w:spacing w:val="-3"/>
        </w:rPr>
        <w:t>TiO</w:t>
      </w:r>
      <w:r>
        <w:rPr>
          <w:rFonts w:hint="default" w:ascii="Times New Roman" w:hAnsi="Times New Roman" w:eastAsia="Times New Roman" w:cs="Times New Roman"/>
          <w:color w:val="auto"/>
          <w:spacing w:val="-3"/>
          <w:vertAlign w:val="subscript"/>
        </w:rPr>
        <w:t>2</w:t>
      </w:r>
      <w:r>
        <w:rPr>
          <w:rFonts w:hint="default" w:ascii="Times New Roman" w:hAnsi="Times New Roman" w:cs="Times New Roman"/>
          <w:color w:val="auto"/>
          <w:spacing w:val="-4"/>
        </w:rPr>
        <w:t>紫外光解催化氧化除臭设备内进行除臭。高能紫外线光束与空气、</w:t>
      </w:r>
      <w:r>
        <w:rPr>
          <w:rFonts w:hint="default" w:ascii="Times New Roman" w:hAnsi="Times New Roman" w:eastAsia="Times New Roman" w:cs="Times New Roman"/>
          <w:color w:val="auto"/>
          <w:spacing w:val="-3"/>
        </w:rPr>
        <w:t>TiO</w:t>
      </w:r>
      <w:r>
        <w:rPr>
          <w:rFonts w:hint="default" w:ascii="Times New Roman" w:hAnsi="Times New Roman" w:eastAsia="Times New Roman" w:cs="Times New Roman"/>
          <w:color w:val="auto"/>
          <w:spacing w:val="-3"/>
          <w:vertAlign w:val="subscript"/>
        </w:rPr>
        <w:t>2</w:t>
      </w:r>
      <w:r>
        <w:rPr>
          <w:rFonts w:hint="default" w:ascii="Times New Roman" w:hAnsi="Times New Roman" w:cs="Times New Roman"/>
          <w:color w:val="auto"/>
          <w:spacing w:val="-4"/>
        </w:rPr>
        <w:t>反应产生的臭氧、</w:t>
      </w:r>
      <w:r>
        <w:rPr>
          <w:rFonts w:hint="default" w:ascii="Times New Roman" w:hAnsi="Times New Roman" w:eastAsia="Times New Roman" w:cs="Times New Roman"/>
          <w:color w:val="auto"/>
          <w:spacing w:val="-4"/>
        </w:rPr>
        <w:t>•OH</w:t>
      </w:r>
      <w:r>
        <w:rPr>
          <w:rFonts w:hint="default" w:ascii="Times New Roman" w:hAnsi="Times New Roman" w:cs="Times New Roman"/>
          <w:color w:val="auto"/>
          <w:spacing w:val="-4"/>
        </w:rPr>
        <w:t>（羟基自由基）对恶臭气体进行协同分解氧化反应，同时</w:t>
      </w:r>
      <w:r>
        <w:rPr>
          <w:rFonts w:hint="default" w:ascii="Times New Roman" w:hAnsi="Times New Roman" w:cs="Times New Roman"/>
          <w:color w:val="auto"/>
          <w:spacing w:val="2"/>
        </w:rPr>
        <w:t>大分子恶臭气体在紫外线作用下使其链结构断裂，使恶臭气体物质转化为无臭味的小分子化合物或者完全矿化，生成水和</w:t>
      </w:r>
      <w:r>
        <w:rPr>
          <w:rFonts w:hint="default" w:ascii="Times New Roman" w:hAnsi="Times New Roman" w:eastAsia="Times New Roman" w:cs="Times New Roman"/>
          <w:color w:val="auto"/>
        </w:rPr>
        <w:t>CO</w:t>
      </w:r>
      <w:r>
        <w:rPr>
          <w:rFonts w:hint="default" w:ascii="Times New Roman" w:hAnsi="Times New Roman" w:eastAsia="Times New Roman" w:cs="Times New Roman"/>
          <w:color w:val="auto"/>
          <w:vertAlign w:val="subscript"/>
        </w:rPr>
        <w:t>2</w:t>
      </w:r>
      <w:r>
        <w:rPr>
          <w:rFonts w:hint="default" w:ascii="Times New Roman" w:hAnsi="Times New Roman" w:cs="Times New Roman"/>
          <w:color w:val="auto"/>
        </w:rPr>
        <w:t>，达标后经排风管排入大气。</w:t>
      </w:r>
    </w:p>
    <w:p>
      <w:pPr>
        <w:ind w:firstLine="482"/>
        <w:outlineLvl w:val="3"/>
        <w:rPr>
          <w:rFonts w:hint="default" w:ascii="Times New Roman" w:hAnsi="Times New Roman" w:cs="Times New Roman"/>
          <w:b/>
          <w:bCs/>
          <w:color w:val="auto"/>
        </w:rPr>
      </w:pPr>
      <w:bookmarkStart w:id="300" w:name="_Toc388881910"/>
      <w:r>
        <w:rPr>
          <w:rFonts w:hint="default" w:ascii="Times New Roman" w:hAnsi="Times New Roman" w:cs="Times New Roman"/>
          <w:b/>
          <w:bCs/>
          <w:color w:val="auto"/>
        </w:rPr>
        <w:t>3.2.3.7有机肥生产</w:t>
      </w:r>
      <w:bookmarkEnd w:id="300"/>
    </w:p>
    <w:p>
      <w:pPr>
        <w:ind w:firstLine="480"/>
        <w:outlineLvl w:val="4"/>
        <w:rPr>
          <w:rFonts w:hint="default" w:ascii="Times New Roman" w:hAnsi="Times New Roman" w:cs="Times New Roman"/>
          <w:color w:val="auto"/>
        </w:rPr>
      </w:pPr>
      <w:r>
        <w:rPr>
          <w:rFonts w:hint="default" w:ascii="Times New Roman" w:hAnsi="Times New Roman" w:cs="Times New Roman"/>
          <w:color w:val="auto"/>
        </w:rPr>
        <w:t>（1）堆肥工艺比较</w:t>
      </w:r>
    </w:p>
    <w:p>
      <w:pPr>
        <w:ind w:firstLine="480"/>
        <w:rPr>
          <w:rFonts w:hint="default" w:ascii="Times New Roman" w:hAnsi="Times New Roman" w:cs="Times New Roman"/>
          <w:color w:val="auto"/>
        </w:rPr>
      </w:pPr>
      <w:r>
        <w:rPr>
          <w:rFonts w:hint="default" w:ascii="Times New Roman" w:hAnsi="Times New Roman" w:cs="Times New Roman"/>
          <w:color w:val="auto"/>
        </w:rPr>
        <w:t>根据堆肥技术的复杂程度以及使用情况，目前我国主要有三大类堆肥系统：条垛式、静态垛式和反应器系统。</w:t>
      </w:r>
    </w:p>
    <w:p>
      <w:pPr>
        <w:ind w:firstLine="480"/>
        <w:rPr>
          <w:rFonts w:hint="default" w:ascii="Times New Roman" w:hAnsi="Times New Roman" w:cs="Times New Roman"/>
          <w:color w:val="auto"/>
        </w:rPr>
      </w:pPr>
      <w:r>
        <w:rPr>
          <w:rFonts w:hint="default" w:ascii="Times New Roman" w:hAnsi="Times New Roman" w:cs="Times New Roman"/>
          <w:color w:val="auto"/>
        </w:rPr>
        <w:t>条垛式是在露天或棚架下，将混合好的原料堆成条垛状，在好氧条件下进行分解的一种堆肥化方式。条垛式堆肥一次发酵周期为1个月。</w:t>
      </w:r>
    </w:p>
    <w:p>
      <w:pPr>
        <w:ind w:firstLine="480"/>
        <w:rPr>
          <w:rFonts w:hint="default" w:ascii="Times New Roman" w:hAnsi="Times New Roman" w:cs="Times New Roman"/>
          <w:color w:val="auto"/>
        </w:rPr>
      </w:pPr>
      <w:r>
        <w:rPr>
          <w:rFonts w:hint="default" w:ascii="Times New Roman" w:hAnsi="Times New Roman" w:cs="Times New Roman"/>
          <w:color w:val="auto"/>
        </w:rPr>
        <w:t>静态通风堆系统是条形堆的改进形式。它主要用于湿基质的堆肥，堆肥过程中不进行物料的翻堆，通风使堆体保持好氧状态。</w:t>
      </w:r>
    </w:p>
    <w:p>
      <w:pPr>
        <w:ind w:firstLine="480"/>
        <w:rPr>
          <w:rFonts w:hint="default" w:ascii="Times New Roman" w:hAnsi="Times New Roman" w:cs="Times New Roman"/>
          <w:color w:val="auto"/>
        </w:rPr>
      </w:pPr>
      <w:r>
        <w:rPr>
          <w:rFonts w:hint="default" w:ascii="Times New Roman" w:hAnsi="Times New Roman" w:cs="Times New Roman"/>
          <w:color w:val="auto"/>
        </w:rPr>
        <w:t>反应器堆肥系统是将物料在部分或全部封闭的发酵装置（如发酵仓、发酵塔等）内，通过控制通气和水分条件，使物料进行生物降解和转化。</w:t>
      </w:r>
    </w:p>
    <w:p>
      <w:pPr>
        <w:ind w:firstLine="480"/>
        <w:rPr>
          <w:rFonts w:hint="default" w:ascii="Times New Roman" w:hAnsi="Times New Roman" w:cs="Times New Roman"/>
          <w:color w:val="auto"/>
        </w:rPr>
      </w:pPr>
      <w:r>
        <w:rPr>
          <w:rFonts w:hint="default" w:ascii="Times New Roman" w:hAnsi="Times New Roman" w:cs="Times New Roman"/>
          <w:color w:val="auto"/>
        </w:rPr>
        <w:t>各种堆肥系统的优缺点比较：</w:t>
      </w:r>
    </w:p>
    <w:p>
      <w:pPr>
        <w:spacing w:afterLines="30"/>
        <w:ind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表3.2-1                 各种堆肥系统的优缺点比较表</w:t>
      </w:r>
    </w:p>
    <w:tbl>
      <w:tblPr>
        <w:tblStyle w:val="25"/>
        <w:tblW w:w="894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58"/>
        <w:gridCol w:w="1650"/>
        <w:gridCol w:w="2017"/>
        <w:gridCol w:w="202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258"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堆肥工艺</w:t>
            </w:r>
          </w:p>
        </w:tc>
        <w:tc>
          <w:tcPr>
            <w:tcW w:w="1650"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条垛堆肥</w:t>
            </w:r>
          </w:p>
        </w:tc>
        <w:tc>
          <w:tcPr>
            <w:tcW w:w="201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静态通风堆肥</w:t>
            </w:r>
          </w:p>
        </w:tc>
        <w:tc>
          <w:tcPr>
            <w:tcW w:w="2021"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反应器堆肥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258"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投资成本</w:t>
            </w:r>
          </w:p>
        </w:tc>
        <w:tc>
          <w:tcPr>
            <w:tcW w:w="1650"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低</w:t>
            </w:r>
          </w:p>
        </w:tc>
        <w:tc>
          <w:tcPr>
            <w:tcW w:w="201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低</w:t>
            </w:r>
          </w:p>
        </w:tc>
        <w:tc>
          <w:tcPr>
            <w:tcW w:w="2021"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258"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运行和维护费用</w:t>
            </w:r>
          </w:p>
        </w:tc>
        <w:tc>
          <w:tcPr>
            <w:tcW w:w="1650"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较低</w:t>
            </w:r>
          </w:p>
        </w:tc>
        <w:tc>
          <w:tcPr>
            <w:tcW w:w="201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低</w:t>
            </w:r>
          </w:p>
        </w:tc>
        <w:tc>
          <w:tcPr>
            <w:tcW w:w="2021"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258"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操作难度</w:t>
            </w:r>
          </w:p>
        </w:tc>
        <w:tc>
          <w:tcPr>
            <w:tcW w:w="1650"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低</w:t>
            </w:r>
          </w:p>
        </w:tc>
        <w:tc>
          <w:tcPr>
            <w:tcW w:w="201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较低</w:t>
            </w:r>
          </w:p>
        </w:tc>
        <w:tc>
          <w:tcPr>
            <w:tcW w:w="2021"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258"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受气候条件影响大小</w:t>
            </w:r>
          </w:p>
        </w:tc>
        <w:tc>
          <w:tcPr>
            <w:tcW w:w="1650"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大</w:t>
            </w:r>
          </w:p>
        </w:tc>
        <w:tc>
          <w:tcPr>
            <w:tcW w:w="201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较大</w:t>
            </w:r>
          </w:p>
        </w:tc>
        <w:tc>
          <w:tcPr>
            <w:tcW w:w="2021"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258"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臭味处理</w:t>
            </w:r>
          </w:p>
        </w:tc>
        <w:tc>
          <w:tcPr>
            <w:tcW w:w="1650"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难</w:t>
            </w:r>
          </w:p>
        </w:tc>
        <w:tc>
          <w:tcPr>
            <w:tcW w:w="201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较易</w:t>
            </w:r>
          </w:p>
        </w:tc>
        <w:tc>
          <w:tcPr>
            <w:tcW w:w="2021"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258"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占地面积</w:t>
            </w:r>
          </w:p>
        </w:tc>
        <w:tc>
          <w:tcPr>
            <w:tcW w:w="1650"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大</w:t>
            </w:r>
          </w:p>
        </w:tc>
        <w:tc>
          <w:tcPr>
            <w:tcW w:w="201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中</w:t>
            </w:r>
          </w:p>
        </w:tc>
        <w:tc>
          <w:tcPr>
            <w:tcW w:w="2021"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258"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堆肥时间</w:t>
            </w:r>
          </w:p>
        </w:tc>
        <w:tc>
          <w:tcPr>
            <w:tcW w:w="1650"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长</w:t>
            </w:r>
          </w:p>
        </w:tc>
        <w:tc>
          <w:tcPr>
            <w:tcW w:w="201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中</w:t>
            </w:r>
          </w:p>
        </w:tc>
        <w:tc>
          <w:tcPr>
            <w:tcW w:w="2021"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258"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堆肥产品质量</w:t>
            </w:r>
          </w:p>
        </w:tc>
        <w:tc>
          <w:tcPr>
            <w:tcW w:w="1650"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良</w:t>
            </w:r>
          </w:p>
        </w:tc>
        <w:tc>
          <w:tcPr>
            <w:tcW w:w="201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优</w:t>
            </w:r>
          </w:p>
        </w:tc>
        <w:tc>
          <w:tcPr>
            <w:tcW w:w="2021"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良</w:t>
            </w:r>
          </w:p>
        </w:tc>
      </w:tr>
    </w:tbl>
    <w:p>
      <w:pPr>
        <w:ind w:firstLine="480"/>
        <w:rPr>
          <w:rFonts w:hint="default" w:ascii="Times New Roman" w:hAnsi="Times New Roman" w:cs="Times New Roman"/>
          <w:color w:val="auto"/>
          <w:kern w:val="0"/>
        </w:rPr>
      </w:pPr>
      <w:r>
        <w:rPr>
          <w:rFonts w:hint="default" w:ascii="Times New Roman" w:hAnsi="Times New Roman" w:cs="Times New Roman"/>
          <w:color w:val="auto"/>
          <w:kern w:val="0"/>
        </w:rPr>
        <w:t>从投资成本、操作难度等方面比较，反应器堆肥成本较高，操作难度大。本项目为畜牧业属第一产业，且项目主体是生猪养殖，有机肥制作只是项目的副产品，从经济可行性上分析，不选用反应器堆肥方式。本项目采用条垛堆肥方式。</w:t>
      </w:r>
    </w:p>
    <w:p>
      <w:pPr>
        <w:ind w:firstLine="480"/>
        <w:outlineLvl w:val="4"/>
        <w:rPr>
          <w:rFonts w:hint="default" w:ascii="Times New Roman" w:hAnsi="Times New Roman" w:cs="Times New Roman"/>
          <w:color w:val="auto"/>
        </w:rPr>
      </w:pPr>
      <w:r>
        <w:rPr>
          <w:rFonts w:hint="default" w:ascii="Times New Roman" w:hAnsi="Times New Roman" w:cs="Times New Roman"/>
          <w:color w:val="auto"/>
        </w:rPr>
        <w:t>（2）堆肥工艺介绍</w:t>
      </w:r>
    </w:p>
    <w:p>
      <w:pPr>
        <w:ind w:firstLine="480"/>
        <w:rPr>
          <w:rFonts w:hint="default" w:ascii="Times New Roman" w:hAnsi="Times New Roman" w:cs="Times New Roman"/>
          <w:bCs/>
          <w:color w:val="auto"/>
        </w:rPr>
      </w:pPr>
      <w:r>
        <w:rPr>
          <w:rFonts w:hint="default" w:ascii="Times New Roman" w:hAnsi="Times New Roman" w:cs="Times New Roman"/>
          <w:bCs/>
          <w:color w:val="auto"/>
        </w:rPr>
        <w:t>本项目采用条垛堆肥工艺进行粪污堆肥处理，处理工艺具体如下：</w:t>
      </w:r>
    </w:p>
    <w:p>
      <w:pPr>
        <w:ind w:firstLine="480"/>
        <w:rPr>
          <w:rFonts w:hint="default" w:ascii="Times New Roman" w:hAnsi="Times New Roman" w:cs="Times New Roman"/>
          <w:bCs/>
          <w:color w:val="auto"/>
        </w:rPr>
      </w:pPr>
      <w:r>
        <w:rPr>
          <w:rFonts w:hint="default" w:ascii="Times New Roman" w:hAnsi="Times New Roman" w:cs="Times New Roman"/>
          <w:bCs/>
          <w:color w:val="auto"/>
        </w:rPr>
        <w:t>①原料预处理</w:t>
      </w:r>
    </w:p>
    <w:p>
      <w:pPr>
        <w:ind w:firstLine="480"/>
        <w:rPr>
          <w:rFonts w:hint="default" w:ascii="Times New Roman" w:hAnsi="Times New Roman" w:cs="Times New Roman"/>
          <w:bCs/>
          <w:color w:val="auto"/>
        </w:rPr>
      </w:pPr>
      <w:r>
        <w:rPr>
          <w:rFonts w:hint="default" w:ascii="Times New Roman" w:hAnsi="Times New Roman" w:cs="Times New Roman"/>
          <w:bCs/>
          <w:color w:val="auto"/>
        </w:rPr>
        <w:t>固液分离机分离出的猪粪</w:t>
      </w:r>
      <w:r>
        <w:rPr>
          <w:rFonts w:hint="default" w:ascii="Times New Roman" w:hAnsi="Times New Roman" w:cs="Times New Roman"/>
          <w:bCs/>
          <w:color w:val="auto"/>
          <w:lang w:eastAsia="zh-CN"/>
        </w:rPr>
        <w:t>、沼渣</w:t>
      </w:r>
      <w:r>
        <w:rPr>
          <w:rFonts w:hint="default" w:ascii="Times New Roman" w:hAnsi="Times New Roman" w:cs="Times New Roman"/>
          <w:bCs/>
          <w:color w:val="auto"/>
        </w:rPr>
        <w:t>运至固粪处理区按一定的比例添加菌种进行发酵，后续生产的新鲜猪粪和和半成品有机肥（发酵15天左右的猪粪，含水率约为40%左右）按照9：1的比例进行混合，既起到接种的目的，又解决了新鲜猪粪含水率高的问题，避免了渗滤液的产生。</w:t>
      </w:r>
    </w:p>
    <w:p>
      <w:pPr>
        <w:ind w:firstLine="480"/>
        <w:rPr>
          <w:rFonts w:hint="default" w:ascii="Times New Roman" w:hAnsi="Times New Roman" w:cs="Times New Roman"/>
          <w:color w:val="auto"/>
        </w:rPr>
      </w:pPr>
      <w:r>
        <w:rPr>
          <w:rFonts w:hint="default" w:ascii="Times New Roman" w:hAnsi="Times New Roman" w:cs="Times New Roman"/>
          <w:bCs/>
          <w:color w:val="auto"/>
        </w:rPr>
        <w:t>②</w:t>
      </w:r>
      <w:r>
        <w:rPr>
          <w:rFonts w:hint="default" w:ascii="Times New Roman" w:hAnsi="Times New Roman" w:cs="Times New Roman"/>
          <w:color w:val="auto"/>
        </w:rPr>
        <w:t>发酵</w:t>
      </w:r>
    </w:p>
    <w:p>
      <w:pPr>
        <w:ind w:firstLine="480"/>
        <w:rPr>
          <w:rFonts w:hint="default" w:ascii="Times New Roman" w:hAnsi="Times New Roman" w:cs="Times New Roman"/>
          <w:color w:val="auto"/>
        </w:rPr>
      </w:pPr>
      <w:r>
        <w:rPr>
          <w:rFonts w:hint="default" w:ascii="Times New Roman" w:hAnsi="Times New Roman" w:cs="Times New Roman"/>
          <w:color w:val="auto"/>
        </w:rPr>
        <w:t>本项目发酵为好氧发酵，发酵时间为7-15天。好氧发酵是在有氧气存在的条件下，利用好氧微生物的外酶将物料分解为溶解性有机质，溶解性有机质可以渗入微生物细胞内，微生物通过新陈代谢把一部分溶解性有机质氧化为简单的无机物，为微生物的生命活动提供能量，其余溶解性有机物被转化为营养物质，形成新的细胞体，使微生物不断繁殖，从而促进物料中可被生物降解的有机质向稳定的腐殖质转化。</w:t>
      </w:r>
    </w:p>
    <w:p>
      <w:pPr>
        <w:ind w:firstLine="480"/>
        <w:rPr>
          <w:rFonts w:hint="default" w:ascii="Times New Roman" w:hAnsi="Times New Roman" w:cs="Times New Roman"/>
          <w:color w:val="auto"/>
        </w:rPr>
      </w:pPr>
      <w:r>
        <w:rPr>
          <w:rFonts w:hint="default" w:ascii="Times New Roman" w:hAnsi="Times New Roman" w:cs="Times New Roman"/>
          <w:color w:val="auto"/>
        </w:rPr>
        <w:t>本项目混合后的物料用铲车在发酵区堆成条垛状，条垛每条宽约1.8m，高1.2-1.6m。每天翻堆一次，使物料充氧充分，可使堆体在1-3天内温度上升至25-45℃，堆体温度达到60-70℃后发酵稳定，物料中纤维素和木质素也开始分解，腐殖质开始形成。堆体温度最高能达到80℃，充分发酵后温度逐步降低。</w:t>
      </w:r>
    </w:p>
    <w:p>
      <w:pPr>
        <w:ind w:firstLine="480"/>
        <w:rPr>
          <w:rFonts w:hint="default" w:ascii="Times New Roman" w:hAnsi="Times New Roman" w:cs="Times New Roman"/>
          <w:color w:val="auto"/>
        </w:rPr>
      </w:pPr>
      <w:r>
        <w:rPr>
          <w:rFonts w:hint="default" w:ascii="Times New Roman" w:hAnsi="Times New Roman" w:cs="Times New Roman"/>
          <w:color w:val="auto"/>
        </w:rPr>
        <w:t>翻堆的同时可将物料充分混合均匀，经一次发酵后的物料含水率约为40%。</w:t>
      </w:r>
    </w:p>
    <w:p>
      <w:pPr>
        <w:ind w:firstLine="480"/>
        <w:rPr>
          <w:rFonts w:hint="default" w:ascii="Times New Roman" w:hAnsi="Times New Roman" w:cs="Times New Roman"/>
          <w:color w:val="auto"/>
        </w:rPr>
      </w:pPr>
      <w:r>
        <w:rPr>
          <w:rFonts w:hint="default" w:ascii="Times New Roman" w:hAnsi="Times New Roman" w:cs="Times New Roman"/>
          <w:color w:val="auto"/>
        </w:rPr>
        <w:t>本项目堆肥发酵过程分为4个阶段：</w:t>
      </w:r>
    </w:p>
    <w:p>
      <w:pPr>
        <w:ind w:firstLine="480"/>
        <w:rPr>
          <w:rFonts w:hint="default" w:ascii="Times New Roman" w:hAnsi="Times New Roman" w:cs="Times New Roman"/>
          <w:color w:val="auto"/>
        </w:rPr>
      </w:pPr>
      <w:r>
        <w:rPr>
          <w:rFonts w:hint="default" w:ascii="Times New Roman" w:hAnsi="Times New Roman" w:cs="Times New Roman"/>
          <w:color w:val="auto"/>
        </w:rPr>
        <w:t>（1）升温阶段</w:t>
      </w:r>
    </w:p>
    <w:p>
      <w:pPr>
        <w:ind w:firstLine="480"/>
        <w:rPr>
          <w:rFonts w:hint="default" w:ascii="Times New Roman" w:hAnsi="Times New Roman" w:cs="Times New Roman"/>
          <w:color w:val="auto"/>
        </w:rPr>
      </w:pPr>
      <w:r>
        <w:rPr>
          <w:rFonts w:hint="default" w:ascii="Times New Roman" w:hAnsi="Times New Roman" w:cs="Times New Roman"/>
          <w:color w:val="auto"/>
        </w:rPr>
        <w:t>这个过程一般指堆肥过程的初期，在该阶段，堆肥温度逐步从环境温度上升到45℃左右，主导微生物以嗜温性微生物为主，包括细菌、真菌和放线菌，分解底物以糖类和淀粉为主，期间能发现真菌的子实体，也有动物及原生动物参与分解。</w:t>
      </w:r>
    </w:p>
    <w:p>
      <w:pPr>
        <w:ind w:firstLine="480"/>
        <w:rPr>
          <w:rFonts w:hint="default" w:ascii="Times New Roman" w:hAnsi="Times New Roman" w:cs="Times New Roman"/>
          <w:color w:val="auto"/>
        </w:rPr>
      </w:pPr>
      <w:r>
        <w:rPr>
          <w:rFonts w:hint="default" w:ascii="Times New Roman" w:hAnsi="Times New Roman" w:cs="Times New Roman"/>
          <w:color w:val="auto"/>
        </w:rPr>
        <w:t>（2）高温阶段</w:t>
      </w:r>
    </w:p>
    <w:p>
      <w:pPr>
        <w:ind w:firstLine="480"/>
        <w:rPr>
          <w:rFonts w:hint="default" w:ascii="Times New Roman" w:hAnsi="Times New Roman" w:cs="Times New Roman"/>
          <w:color w:val="auto"/>
        </w:rPr>
      </w:pPr>
      <w:r>
        <w:rPr>
          <w:rFonts w:hint="default" w:ascii="Times New Roman" w:hAnsi="Times New Roman" w:cs="Times New Roman"/>
          <w:color w:val="auto"/>
        </w:rPr>
        <w:t>堆温升至45℃以上即进入高温阶段，在这一阶段，嗜温微生物受到抑制甚至死亡，而嗜热微生物则上升为主导微生物。堆肥中残留的和新生成的可溶性有机物质继续被氧化分解，复杂的有机物如半纤维素-纤维素和蛋白质也开始被强烈分解。微生物的活动交替出现，通常在50℃左右时最活跃的是嗜热性真菌和放线菌，温度上升到60℃时真菌几乎完全停止活动，仅有嗜热性细菌和放线菌活动，温度升到70℃时大多数嗜热性微生物已不再适应，并大批进入休眠和死亡阶段。</w:t>
      </w:r>
    </w:p>
    <w:p>
      <w:pPr>
        <w:ind w:firstLine="480"/>
        <w:rPr>
          <w:rFonts w:hint="default" w:ascii="Times New Roman" w:hAnsi="Times New Roman" w:cs="Times New Roman"/>
          <w:color w:val="auto"/>
        </w:rPr>
      </w:pPr>
      <w:r>
        <w:rPr>
          <w:rFonts w:hint="default" w:ascii="Times New Roman" w:hAnsi="Times New Roman" w:cs="Times New Roman"/>
          <w:color w:val="auto"/>
        </w:rPr>
        <w:t>牧原公司采用现代化的工艺生产有机肥，最佳温度为55℃，这是因为大多数微生物在该温度范围内最活跃，最易分解有机物，而病原菌和寄生虫大多数可被杀死。</w:t>
      </w:r>
    </w:p>
    <w:p>
      <w:pPr>
        <w:ind w:firstLine="480"/>
        <w:rPr>
          <w:rFonts w:hint="default" w:ascii="Times New Roman" w:hAnsi="Times New Roman" w:cs="Times New Roman"/>
          <w:color w:val="auto"/>
        </w:rPr>
      </w:pPr>
      <w:r>
        <w:rPr>
          <w:rFonts w:hint="default" w:ascii="Times New Roman" w:hAnsi="Times New Roman" w:cs="Times New Roman"/>
          <w:color w:val="auto"/>
        </w:rPr>
        <w:t>（3）降温阶段</w:t>
      </w:r>
    </w:p>
    <w:p>
      <w:pPr>
        <w:ind w:firstLine="480"/>
        <w:rPr>
          <w:rFonts w:hint="default" w:ascii="Times New Roman" w:hAnsi="Times New Roman" w:cs="Times New Roman"/>
          <w:color w:val="auto"/>
        </w:rPr>
      </w:pPr>
      <w:r>
        <w:rPr>
          <w:rFonts w:hint="default" w:ascii="Times New Roman" w:hAnsi="Times New Roman" w:cs="Times New Roman"/>
          <w:color w:val="auto"/>
        </w:rPr>
        <w:t>高温阶段必然造成微生物的死亡和活动减少，自然进入低温阶段。在这一阶段，嗜温性微生物又开始占据优势，对残余较难分解的有机物作进一步的分解，但微生物活性普遍下降，堆体发热量减少，温度开始下降，有机物趋于稳定化，需氧量大大减少，堆肥进入腐熟或后熟阶段。</w:t>
      </w:r>
    </w:p>
    <w:p>
      <w:pPr>
        <w:ind w:firstLine="480"/>
        <w:rPr>
          <w:rFonts w:hint="default" w:ascii="Times New Roman" w:hAnsi="Times New Roman" w:cs="Times New Roman"/>
          <w:color w:val="auto"/>
        </w:rPr>
      </w:pPr>
      <w:r>
        <w:rPr>
          <w:rFonts w:hint="default" w:ascii="Times New Roman" w:hAnsi="Times New Roman" w:cs="Times New Roman"/>
          <w:color w:val="auto"/>
        </w:rPr>
        <w:t>（4）腐熟保肥阶段</w:t>
      </w:r>
    </w:p>
    <w:p>
      <w:pPr>
        <w:ind w:firstLine="480"/>
        <w:rPr>
          <w:rFonts w:hint="default" w:ascii="Times New Roman" w:hAnsi="Times New Roman" w:cs="Times New Roman"/>
          <w:color w:val="auto"/>
        </w:rPr>
      </w:pPr>
      <w:r>
        <w:rPr>
          <w:rFonts w:hint="default" w:ascii="Times New Roman" w:hAnsi="Times New Roman" w:cs="Times New Roman"/>
          <w:color w:val="auto"/>
        </w:rPr>
        <w:t>有机物大部分已经分解和稳定，温度下降，为了保持已形成的腐殖质和微量的氮、磷、钾肥等，要使腐熟的肥料保持平衡。堆肥腐熟后，体积缩小，堆温下降至稍高于气温，应将堆体压紧，有机成分处于厌氧条件下，防止出现矿质化，以利于肥力的保存。</w:t>
      </w:r>
    </w:p>
    <w:p>
      <w:pPr>
        <w:ind w:firstLine="480"/>
        <w:rPr>
          <w:rFonts w:hint="default" w:ascii="Times New Roman" w:hAnsi="Times New Roman" w:cs="Times New Roman"/>
          <w:color w:val="auto"/>
        </w:rPr>
      </w:pPr>
      <w:r>
        <w:rPr>
          <w:rFonts w:hint="default" w:ascii="Times New Roman" w:hAnsi="Times New Roman" w:cs="Times New Roman"/>
          <w:color w:val="auto"/>
        </w:rPr>
        <w:t>发酵后的固体有机肥</w:t>
      </w:r>
      <w:r>
        <w:rPr>
          <w:rFonts w:hint="default" w:ascii="Times New Roman" w:hAnsi="Times New Roman" w:cs="Times New Roman"/>
          <w:color w:val="auto"/>
          <w:lang w:eastAsia="zh-CN"/>
        </w:rPr>
        <w:t>基料</w:t>
      </w:r>
      <w:r>
        <w:rPr>
          <w:rFonts w:hint="default" w:ascii="Times New Roman" w:hAnsi="Times New Roman" w:cs="Times New Roman"/>
          <w:color w:val="auto"/>
        </w:rPr>
        <w:t>作为有机肥半成品外售为其他有机肥料厂。本项目经发酵产生的有机肥半成品，不在场区长期堆存，发酵场兼作临时堆放区，应做到有机肥半成品及时外运销售。</w:t>
      </w:r>
    </w:p>
    <w:p>
      <w:pPr>
        <w:ind w:firstLine="480"/>
        <w:rPr>
          <w:rFonts w:hint="default" w:ascii="Times New Roman" w:hAnsi="Times New Roman" w:cs="Times New Roman"/>
          <w:color w:val="auto"/>
        </w:rPr>
      </w:pPr>
      <w:r>
        <w:rPr>
          <w:rFonts w:hint="default" w:ascii="Times New Roman" w:hAnsi="Times New Roman" w:cs="Times New Roman"/>
          <w:color w:val="auto"/>
        </w:rPr>
        <w:t>本项目发酵主要是对猪粪进行发酵，有机肥工艺流程及产污环节图如下：</w:t>
      </w:r>
    </w:p>
    <w:p>
      <w:pPr>
        <w:ind w:firstLine="0" w:firstLineChars="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541010" cy="1564005"/>
            <wp:effectExtent l="9525" t="9525" r="12065" b="26670"/>
            <wp:docPr id="4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6"/>
                    <pic:cNvPicPr>
                      <a:picLocks noChangeAspect="1"/>
                    </pic:cNvPicPr>
                  </pic:nvPicPr>
                  <pic:blipFill>
                    <a:blip r:embed="rId40" cstate="print"/>
                    <a:stretch>
                      <a:fillRect/>
                    </a:stretch>
                  </pic:blipFill>
                  <pic:spPr>
                    <a:xfrm>
                      <a:off x="0" y="0"/>
                      <a:ext cx="5541010" cy="1564005"/>
                    </a:xfrm>
                    <a:prstGeom prst="rect">
                      <a:avLst/>
                    </a:prstGeom>
                    <a:noFill/>
                    <a:ln>
                      <a:solidFill>
                        <a:schemeClr val="tx1"/>
                      </a:solidFill>
                    </a:ln>
                  </pic:spPr>
                </pic:pic>
              </a:graphicData>
            </a:graphic>
          </wp:inline>
        </w:drawing>
      </w:r>
    </w:p>
    <w:p>
      <w:pPr>
        <w:kinsoku w:val="0"/>
        <w:overflowPunct w:val="0"/>
        <w:ind w:firstLine="480"/>
        <w:jc w:val="center"/>
        <w:rPr>
          <w:rFonts w:hint="default" w:ascii="Times New Roman" w:hAnsi="Times New Roman" w:eastAsia="黑体" w:cs="Times New Roman"/>
          <w:color w:val="auto"/>
        </w:rPr>
      </w:pPr>
      <w:r>
        <w:rPr>
          <w:rFonts w:hint="default" w:ascii="Times New Roman" w:hAnsi="Times New Roman" w:eastAsia="黑体" w:cs="Times New Roman"/>
          <w:color w:val="auto"/>
        </w:rPr>
        <w:t>图3-</w:t>
      </w:r>
      <w:r>
        <w:rPr>
          <w:rFonts w:hint="default" w:ascii="Times New Roman" w:hAnsi="Times New Roman" w:eastAsia="黑体" w:cs="Times New Roman"/>
          <w:color w:val="auto"/>
          <w:lang w:val="en-US" w:eastAsia="zh-CN"/>
        </w:rPr>
        <w:t>10</w:t>
      </w:r>
      <w:r>
        <w:rPr>
          <w:rFonts w:hint="default" w:ascii="Times New Roman" w:hAnsi="Times New Roman" w:eastAsia="黑体" w:cs="Times New Roman"/>
          <w:color w:val="auto"/>
        </w:rPr>
        <w:t xml:space="preserve">  本项目有机肥工艺流程及产污环节图</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根据后续分析，本项目猪粪量为9.27t/d，发酵原料按照一定比例掺入半成品有机肥（第一次使用菌种），有机肥产生量按原料总量的25%计，有机肥产量约为2.32t/d、846.15t/a。</w:t>
      </w:r>
    </w:p>
    <w:p>
      <w:pPr>
        <w:ind w:left="480" w:leftChars="200" w:firstLine="0" w:firstLineChars="0"/>
        <w:rPr>
          <w:rFonts w:hint="default" w:ascii="Times New Roman" w:hAnsi="Times New Roman" w:cs="Times New Roman"/>
          <w:b/>
          <w:bCs/>
          <w:color w:val="auto"/>
          <w:u w:val="single"/>
        </w:rPr>
      </w:pPr>
      <w:r>
        <w:rPr>
          <w:rFonts w:hint="default" w:ascii="Times New Roman" w:hAnsi="Times New Roman" w:cs="Times New Roman"/>
          <w:b/>
          <w:bCs/>
          <w:color w:val="auto"/>
          <w:u w:val="single"/>
        </w:rPr>
        <w:t>（3）</w:t>
      </w:r>
      <w:r>
        <w:rPr>
          <w:rFonts w:hint="default" w:ascii="Times New Roman" w:hAnsi="Times New Roman" w:cs="Times New Roman"/>
          <w:b/>
          <w:bCs/>
          <w:color w:val="auto"/>
          <w:u w:val="single"/>
          <w:lang w:eastAsia="zh-CN"/>
        </w:rPr>
        <w:t>固粪处理区</w:t>
      </w:r>
      <w:r>
        <w:rPr>
          <w:rFonts w:hint="default" w:ascii="Times New Roman" w:hAnsi="Times New Roman" w:cs="Times New Roman"/>
          <w:b/>
          <w:bCs/>
          <w:color w:val="auto"/>
          <w:u w:val="single"/>
        </w:rPr>
        <w:t>的设置和布局</w:t>
      </w:r>
      <w:bookmarkStart w:id="301" w:name="_Toc241388313"/>
      <w:bookmarkStart w:id="302" w:name="_Toc239913683"/>
      <w:bookmarkStart w:id="303" w:name="_Toc237749132"/>
      <w:bookmarkStart w:id="304" w:name="_Toc252554301"/>
      <w:bookmarkStart w:id="305" w:name="_Toc238488158"/>
      <w:bookmarkStart w:id="306" w:name="_Toc238894179"/>
      <w:bookmarkStart w:id="307" w:name="_Toc252554428"/>
      <w:bookmarkStart w:id="308" w:name="_Toc253231260"/>
      <w:bookmarkStart w:id="309" w:name="_Toc388881911"/>
      <w:bookmarkStart w:id="310" w:name="_Toc413166130"/>
      <w:bookmarkStart w:id="311" w:name="_Toc468115366"/>
      <w:bookmarkStart w:id="312" w:name="_Toc407001403"/>
      <w:bookmarkStart w:id="313" w:name="_Toc443924635"/>
      <w:bookmarkStart w:id="314" w:name="_Toc252632549"/>
      <w:bookmarkStart w:id="315" w:name="_Toc311979808"/>
      <w:bookmarkStart w:id="316" w:name="_Toc269400678"/>
      <w:bookmarkStart w:id="317" w:name="_Toc406847410"/>
      <w:bookmarkStart w:id="318" w:name="_Toc311979922"/>
      <w:bookmarkStart w:id="319" w:name="_Toc485579834"/>
      <w:bookmarkStart w:id="320" w:name="_Toc311979854"/>
    </w:p>
    <w:p>
      <w:pPr>
        <w:ind w:firstLine="480"/>
        <w:rPr>
          <w:rFonts w:hint="default" w:ascii="Times New Roman" w:hAnsi="Times New Roman" w:eastAsia="宋体" w:cs="Times New Roman"/>
          <w:b/>
          <w:bCs/>
          <w:color w:val="auto"/>
          <w:u w:val="single"/>
          <w:lang w:val="en-US" w:eastAsia="zh-CN"/>
        </w:rPr>
      </w:pPr>
      <w:r>
        <w:rPr>
          <w:rFonts w:hint="default" w:ascii="Times New Roman" w:hAnsi="Times New Roman" w:cs="Times New Roman"/>
          <w:b/>
          <w:bCs/>
          <w:color w:val="auto"/>
          <w:u w:val="single"/>
        </w:rPr>
        <w:t>项目猪粪收集后送固粪处理区制有机肥半成品，项目粪污水通过管道统一输送至场区污水站集中处理，在黑膜沼气池</w:t>
      </w:r>
      <w:r>
        <w:rPr>
          <w:rFonts w:hint="default" w:ascii="Times New Roman" w:hAnsi="Times New Roman" w:cs="Times New Roman"/>
          <w:b/>
          <w:bCs/>
          <w:color w:val="auto"/>
          <w:u w:val="single"/>
          <w:lang w:eastAsia="zh-CN"/>
        </w:rPr>
        <w:t>北</w:t>
      </w:r>
      <w:r>
        <w:rPr>
          <w:rFonts w:hint="default" w:ascii="Times New Roman" w:hAnsi="Times New Roman" w:cs="Times New Roman"/>
          <w:b/>
          <w:bCs/>
          <w:color w:val="auto"/>
          <w:u w:val="single"/>
        </w:rPr>
        <w:t>侧设置1个固粪处理区。</w:t>
      </w:r>
      <w:r>
        <w:rPr>
          <w:rFonts w:hint="default" w:ascii="Times New Roman" w:hAnsi="Times New Roman" w:cs="Times New Roman"/>
          <w:b/>
          <w:bCs/>
          <w:color w:val="auto"/>
          <w:u w:val="single"/>
          <w:lang w:eastAsia="zh-CN"/>
        </w:rPr>
        <w:t>本项目产生的有机肥机基料外售给通许有机肥厂，位于开封市通许县朱砂镇，该厂年处理</w:t>
      </w:r>
      <w:r>
        <w:rPr>
          <w:rFonts w:hint="default" w:ascii="Times New Roman" w:hAnsi="Times New Roman" w:cs="Times New Roman"/>
          <w:b/>
          <w:bCs/>
          <w:color w:val="auto"/>
          <w:u w:val="single"/>
          <w:lang w:val="en-US" w:eastAsia="zh-CN"/>
        </w:rPr>
        <w:t>2500吨，目前剩余能力1000t，可以满足本项目需求。</w:t>
      </w:r>
    </w:p>
    <w:p>
      <w:pPr>
        <w:pStyle w:val="30"/>
        <w:spacing w:line="360" w:lineRule="auto"/>
        <w:rPr>
          <w:rFonts w:hint="default" w:ascii="Times New Roman" w:hAnsi="Times New Roman" w:cs="Times New Roman"/>
          <w:color w:val="auto"/>
        </w:rPr>
      </w:pPr>
      <w:bookmarkStart w:id="321" w:name="_Toc15088"/>
      <w:bookmarkStart w:id="322" w:name="_Toc13637"/>
      <w:r>
        <w:rPr>
          <w:rFonts w:hint="default" w:ascii="Times New Roman" w:hAnsi="Times New Roman" w:cs="Times New Roman"/>
          <w:color w:val="auto"/>
        </w:rPr>
        <w:t>3.3 主要</w:t>
      </w:r>
      <w:bookmarkEnd w:id="301"/>
      <w:bookmarkEnd w:id="302"/>
      <w:bookmarkEnd w:id="303"/>
      <w:bookmarkEnd w:id="304"/>
      <w:bookmarkEnd w:id="305"/>
      <w:bookmarkEnd w:id="306"/>
      <w:bookmarkEnd w:id="307"/>
      <w:r>
        <w:rPr>
          <w:rFonts w:hint="default" w:ascii="Times New Roman" w:hAnsi="Times New Roman" w:cs="Times New Roman"/>
          <w:color w:val="auto"/>
        </w:rPr>
        <w:t>产污环节分析</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pPr>
        <w:ind w:firstLine="480"/>
        <w:rPr>
          <w:rFonts w:hint="default" w:ascii="Times New Roman" w:hAnsi="Times New Roman" w:cs="Times New Roman"/>
          <w:color w:val="auto"/>
        </w:rPr>
      </w:pPr>
      <w:r>
        <w:rPr>
          <w:rFonts w:hint="default" w:ascii="Times New Roman" w:hAnsi="Times New Roman" w:cs="Times New Roman"/>
          <w:color w:val="auto"/>
        </w:rPr>
        <w:t>本项目为新建项目，主要的污染源分为施工建设期污染源以及项目正常运营期污染源。</w:t>
      </w:r>
    </w:p>
    <w:p>
      <w:pPr>
        <w:pStyle w:val="34"/>
        <w:ind w:firstLine="480"/>
        <w:rPr>
          <w:rFonts w:hint="default" w:ascii="Times New Roman" w:hAnsi="Times New Roman" w:cs="Times New Roman"/>
          <w:color w:val="auto"/>
        </w:rPr>
      </w:pPr>
      <w:bookmarkStart w:id="323" w:name="_Toc407001404"/>
      <w:bookmarkStart w:id="324" w:name="_Toc388881912"/>
      <w:bookmarkStart w:id="325" w:name="_Toc406847411"/>
      <w:bookmarkStart w:id="326" w:name="_Toc237749133"/>
      <w:bookmarkStart w:id="327" w:name="_Toc413166131"/>
      <w:bookmarkStart w:id="328" w:name="_Toc269400679"/>
      <w:bookmarkStart w:id="329" w:name="_Toc311979809"/>
      <w:bookmarkStart w:id="330" w:name="_Toc468115367"/>
      <w:bookmarkStart w:id="331" w:name="_Toc311979923"/>
      <w:bookmarkStart w:id="332" w:name="_Toc311979855"/>
      <w:r>
        <w:rPr>
          <w:rFonts w:hint="default" w:ascii="Times New Roman" w:hAnsi="Times New Roman" w:cs="Times New Roman"/>
          <w:color w:val="auto"/>
        </w:rPr>
        <w:t>3.3.1 施工期污染源</w:t>
      </w:r>
      <w:bookmarkEnd w:id="323"/>
      <w:bookmarkEnd w:id="324"/>
      <w:bookmarkEnd w:id="325"/>
      <w:bookmarkEnd w:id="326"/>
      <w:bookmarkEnd w:id="327"/>
      <w:bookmarkEnd w:id="328"/>
      <w:bookmarkEnd w:id="329"/>
      <w:bookmarkEnd w:id="330"/>
      <w:bookmarkEnd w:id="331"/>
      <w:bookmarkEnd w:id="332"/>
    </w:p>
    <w:p>
      <w:pPr>
        <w:ind w:firstLine="480"/>
        <w:outlineLvl w:val="3"/>
        <w:rPr>
          <w:rFonts w:hint="default" w:ascii="Times New Roman" w:hAnsi="Times New Roman" w:cs="Times New Roman"/>
          <w:bCs/>
          <w:color w:val="auto"/>
        </w:rPr>
      </w:pPr>
      <w:bookmarkStart w:id="333" w:name="_Toc269400680"/>
      <w:r>
        <w:rPr>
          <w:rFonts w:hint="default" w:ascii="Times New Roman" w:hAnsi="Times New Roman" w:cs="Times New Roman"/>
          <w:bCs/>
          <w:color w:val="auto"/>
        </w:rPr>
        <w:t>3.3.1.1 大气污染源</w:t>
      </w:r>
      <w:bookmarkEnd w:id="333"/>
    </w:p>
    <w:p>
      <w:pPr>
        <w:ind w:firstLine="480"/>
        <w:rPr>
          <w:rFonts w:hint="default" w:ascii="Times New Roman" w:hAnsi="Times New Roman" w:cs="Times New Roman"/>
          <w:color w:val="auto"/>
        </w:rPr>
      </w:pPr>
      <w:bookmarkStart w:id="334" w:name="_Toc269400681"/>
      <w:r>
        <w:rPr>
          <w:rFonts w:hint="default" w:ascii="Times New Roman" w:hAnsi="Times New Roman" w:cs="Times New Roman"/>
          <w:color w:val="auto"/>
        </w:rPr>
        <w:t>施工期大气污染源主要是施工扬尘、道路扬尘。</w:t>
      </w:r>
    </w:p>
    <w:p>
      <w:pPr>
        <w:ind w:firstLine="480"/>
        <w:rPr>
          <w:rFonts w:hint="default" w:ascii="Times New Roman" w:hAnsi="Times New Roman" w:cs="Times New Roman"/>
          <w:color w:val="auto"/>
        </w:rPr>
      </w:pPr>
      <w:r>
        <w:rPr>
          <w:rFonts w:hint="default" w:ascii="Times New Roman" w:hAnsi="Times New Roman" w:cs="Times New Roman"/>
          <w:color w:val="auto"/>
        </w:rPr>
        <w:t>施工期间对环境空气影响最大的是施工扬尘，来源于各种无组织排放源，其中场地清理、土方挖掘填埋、建筑材料运输等工序的产生量较大，原材料堆存、建筑结构施工、设备安装等产生量较小。由于施工污染源为间歇性源并且扬尘点低，只会在近距离内形成局部污染。施工现场的污染物未经扩散稀释就进入地面呼吸地带，会给现场施工人员的生活和健康带来一定影响。</w:t>
      </w:r>
    </w:p>
    <w:p>
      <w:pPr>
        <w:tabs>
          <w:tab w:val="left" w:pos="0"/>
        </w:tabs>
        <w:ind w:firstLine="480"/>
        <w:rPr>
          <w:rFonts w:hint="default" w:ascii="Times New Roman" w:hAnsi="Times New Roman" w:cs="Times New Roman"/>
          <w:color w:val="auto"/>
        </w:rPr>
      </w:pPr>
      <w:r>
        <w:rPr>
          <w:rFonts w:hint="default" w:ascii="Times New Roman" w:hAnsi="Times New Roman" w:cs="Times New Roman"/>
          <w:color w:val="auto"/>
        </w:rPr>
        <w:t>施工期扬尘污染防治措施具体如下：</w:t>
      </w:r>
    </w:p>
    <w:p>
      <w:pPr>
        <w:pStyle w:val="36"/>
        <w:spacing w:line="360" w:lineRule="auto"/>
        <w:ind w:firstLine="480"/>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1）施工工地各种工业料堆及固体废弃物堆场由于堆积、装卸、传送以及风蚀作用等会造成一定的扬尘，故在施工过程中应及时清运，定期洒水，遮盖蓬布等措施进行抑尘，其抑尘效率可达75%，大大减少扬尘污染对大气环境的影响。</w:t>
      </w:r>
    </w:p>
    <w:p>
      <w:pPr>
        <w:pStyle w:val="36"/>
        <w:spacing w:line="360" w:lineRule="auto"/>
        <w:ind w:firstLine="480"/>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（2）当施工过程中遇到干燥、易起尘的工程作业时，应洒水抑尘，尽量缩短起尘操作时间，遇到风力较大天气时应停止作业。</w:t>
      </w:r>
    </w:p>
    <w:p>
      <w:pPr>
        <w:pStyle w:val="36"/>
        <w:spacing w:line="360" w:lineRule="auto"/>
        <w:ind w:firstLine="480"/>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（3）进出工地的运输车辆应尽可能采用密闭车斗，保证物料不遗撒外漏；当车辆无密闭车斗时，装载高度不得超过车辆槽帮上沿，并用蓬布遮盖；运输车辆应严格按照规定的行车路线和时间进行物料的输送。</w:t>
      </w:r>
    </w:p>
    <w:p>
      <w:pPr>
        <w:pStyle w:val="36"/>
        <w:spacing w:line="360" w:lineRule="auto"/>
        <w:ind w:firstLine="480"/>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（4）施工期间的工地内及出口处铺设钢板、水泥混凝土、细石等，并配以洒水、道路清扫等措施保证路面清洁，减少车辆行驶过程的道路扬尘。</w:t>
      </w:r>
    </w:p>
    <w:p>
      <w:pPr>
        <w:pStyle w:val="36"/>
        <w:spacing w:line="360" w:lineRule="auto"/>
        <w:ind w:firstLine="480"/>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5）禁止施工现场搅拌混凝土，全部采用预拌商品混凝土。临时料场应分别布置在各期工程施工范围内，施工过程中划定固定区域，禁止随意堆放，使用过程中对料场进行及时覆盖，使用完成后对料场进行及时地清理和恢复。</w:t>
      </w:r>
    </w:p>
    <w:p>
      <w:pPr>
        <w:pStyle w:val="36"/>
        <w:spacing w:line="360" w:lineRule="auto"/>
        <w:ind w:firstLine="480"/>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（6）施工出口处置清除车轮泥土的设备，确保车辆不带泥土驶出工地。</w:t>
      </w:r>
    </w:p>
    <w:p>
      <w:pPr>
        <w:pStyle w:val="36"/>
        <w:spacing w:line="360" w:lineRule="auto"/>
        <w:ind w:firstLine="480"/>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（7）施工物料运输车辆必须按照交通部门核准的运输路线和时间运行，本项目建设单位有责任对运输车辆的线路进行监督，不得图便利自行选择其他线路。</w:t>
      </w:r>
    </w:p>
    <w:p>
      <w:pPr>
        <w:ind w:firstLine="480"/>
        <w:outlineLvl w:val="3"/>
        <w:rPr>
          <w:rFonts w:hint="default" w:ascii="Times New Roman" w:hAnsi="Times New Roman" w:cs="Times New Roman"/>
          <w:bCs/>
          <w:color w:val="auto"/>
        </w:rPr>
      </w:pPr>
      <w:r>
        <w:rPr>
          <w:rFonts w:hint="default" w:ascii="Times New Roman" w:hAnsi="Times New Roman" w:cs="Times New Roman"/>
          <w:bCs/>
          <w:color w:val="auto"/>
        </w:rPr>
        <w:t>3.3.1.2 废水</w:t>
      </w:r>
      <w:bookmarkEnd w:id="334"/>
      <w:r>
        <w:rPr>
          <w:rFonts w:hint="default" w:ascii="Times New Roman" w:hAnsi="Times New Roman" w:cs="Times New Roman"/>
          <w:bCs/>
          <w:color w:val="auto"/>
        </w:rPr>
        <w:t>污染源</w:t>
      </w:r>
    </w:p>
    <w:p>
      <w:pPr>
        <w:ind w:firstLine="480"/>
        <w:rPr>
          <w:rFonts w:hint="default" w:ascii="Times New Roman" w:hAnsi="Times New Roman" w:cs="Times New Roman"/>
          <w:color w:val="auto"/>
        </w:rPr>
      </w:pPr>
      <w:r>
        <w:rPr>
          <w:rFonts w:hint="default" w:ascii="Times New Roman" w:hAnsi="Times New Roman" w:cs="Times New Roman"/>
          <w:color w:val="auto"/>
        </w:rPr>
        <w:t>主要分为生产废水以及施工人员生活污水。</w:t>
      </w:r>
    </w:p>
    <w:p>
      <w:pPr>
        <w:ind w:firstLine="480"/>
        <w:rPr>
          <w:rFonts w:hint="default" w:ascii="Times New Roman" w:hAnsi="Times New Roman" w:cs="Times New Roman"/>
          <w:color w:val="auto"/>
        </w:rPr>
      </w:pPr>
      <w:bookmarkStart w:id="335" w:name="_Toc269400682"/>
      <w:r>
        <w:rPr>
          <w:rFonts w:hint="default" w:ascii="Times New Roman" w:hAnsi="Times New Roman" w:cs="Times New Roman"/>
          <w:color w:val="auto"/>
        </w:rPr>
        <w:t>施工废水主要包括施工机械冲洗废水和施工阶段产生的泥浆废水，如果施工阶段不进行严格管理，将对施工场地造成一定的影响。评价建议在施工场地内设置沉淀池，使建筑污水经沉淀后上清水用于施工建设和洒水逸尘。</w:t>
      </w:r>
    </w:p>
    <w:p>
      <w:pPr>
        <w:ind w:firstLine="480"/>
        <w:rPr>
          <w:rFonts w:hint="default" w:ascii="Times New Roman" w:hAnsi="Times New Roman" w:cs="Times New Roman"/>
          <w:color w:val="auto"/>
        </w:rPr>
      </w:pPr>
      <w:r>
        <w:rPr>
          <w:rFonts w:hint="default" w:ascii="Times New Roman" w:hAnsi="Times New Roman" w:cs="Times New Roman"/>
          <w:color w:val="auto"/>
        </w:rPr>
        <w:t>生活污水为施工人员日常生活产生的废水，包括洗漱废水和粪便废水，项目建设共需施工工人50人，施工人员为项目周边村民，施工现场不设施工营地，项目施工期间人员不在施工场地食宿。项目区施工人员用水量按照30L/d人计算，整个施工期共730d，总用水量为1095m</w:t>
      </w:r>
      <w:r>
        <w:rPr>
          <w:rFonts w:hint="default" w:ascii="Times New Roman" w:hAnsi="Times New Roman" w:cs="Times New Roman"/>
          <w:color w:val="auto"/>
          <w:vertAlign w:val="superscript"/>
        </w:rPr>
        <w:t>3</w:t>
      </w:r>
      <w:r>
        <w:rPr>
          <w:rFonts w:hint="default" w:ascii="Times New Roman" w:hAnsi="Times New Roman" w:cs="Times New Roman"/>
          <w:color w:val="auto"/>
        </w:rPr>
        <w:t>，按照0.8的污水产生系数计算，项目施工期共产生876m</w:t>
      </w:r>
      <w:r>
        <w:rPr>
          <w:rFonts w:hint="default" w:ascii="Times New Roman" w:hAnsi="Times New Roman" w:cs="Times New Roman"/>
          <w:color w:val="auto"/>
          <w:vertAlign w:val="superscript"/>
        </w:rPr>
        <w:t>3</w:t>
      </w:r>
      <w:r>
        <w:rPr>
          <w:rFonts w:hint="default" w:ascii="Times New Roman" w:hAnsi="Times New Roman" w:cs="Times New Roman"/>
          <w:color w:val="auto"/>
        </w:rPr>
        <w:t>的施工期生活污水，场区设置沉淀池和化粪池，人员洗漱用水经沉淀池沉淀后用作抑尘洒水，粪便由周围农户定期清运用作农肥，无废水外排。</w:t>
      </w:r>
    </w:p>
    <w:p>
      <w:pPr>
        <w:ind w:firstLine="480"/>
        <w:outlineLvl w:val="3"/>
        <w:rPr>
          <w:rFonts w:hint="default" w:ascii="Times New Roman" w:hAnsi="Times New Roman" w:cs="Times New Roman"/>
          <w:bCs/>
          <w:color w:val="auto"/>
        </w:rPr>
      </w:pPr>
      <w:r>
        <w:rPr>
          <w:rFonts w:hint="default" w:ascii="Times New Roman" w:hAnsi="Times New Roman" w:cs="Times New Roman"/>
          <w:bCs/>
          <w:color w:val="auto"/>
        </w:rPr>
        <w:t>3.3.1.3 噪声污染源</w:t>
      </w:r>
      <w:bookmarkEnd w:id="335"/>
    </w:p>
    <w:p>
      <w:pPr>
        <w:pStyle w:val="35"/>
        <w:ind w:firstLine="480"/>
        <w:rPr>
          <w:rFonts w:hint="default" w:ascii="Times New Roman" w:hAnsi="Times New Roman" w:cs="Times New Roman"/>
          <w:color w:val="auto"/>
        </w:rPr>
      </w:pPr>
      <w:bookmarkStart w:id="336" w:name="_Toc269400683"/>
      <w:r>
        <w:rPr>
          <w:rFonts w:hint="default" w:ascii="Times New Roman" w:hAnsi="Times New Roman" w:cs="Times New Roman"/>
          <w:color w:val="auto"/>
        </w:rPr>
        <w:t>项目施工期的噪声主要表现为运输车辆的交通噪声及施工机械产生的噪声和振动。挖土采用挖土机、推土机、运载车等，电锯等，还有水泵的使用；装修作业中割锯作业，会产生明显的施工噪声，据类比调查，施工时各种机械的声级可达80-104dB（A），具体见表3.3-1。</w:t>
      </w:r>
    </w:p>
    <w:p>
      <w:pPr>
        <w:spacing w:afterLines="30"/>
        <w:ind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表3.3-1                     施工机械噪声强度</w:t>
      </w:r>
    </w:p>
    <w:tbl>
      <w:tblPr>
        <w:tblStyle w:val="25"/>
        <w:tblW w:w="894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4302"/>
        <w:gridCol w:w="464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blHeader/>
          <w:jc w:val="center"/>
        </w:trPr>
        <w:tc>
          <w:tcPr>
            <w:tcW w:w="430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设备名称</w:t>
            </w:r>
          </w:p>
        </w:tc>
        <w:tc>
          <w:tcPr>
            <w:tcW w:w="4644"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声级（dB（A））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430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推土、挖土机</w:t>
            </w:r>
          </w:p>
        </w:tc>
        <w:tc>
          <w:tcPr>
            <w:tcW w:w="4644"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430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锯机、切割机</w:t>
            </w:r>
          </w:p>
        </w:tc>
        <w:tc>
          <w:tcPr>
            <w:tcW w:w="4644"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430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装载汽车</w:t>
            </w:r>
          </w:p>
        </w:tc>
        <w:tc>
          <w:tcPr>
            <w:tcW w:w="4644"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430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水泵</w:t>
            </w:r>
          </w:p>
        </w:tc>
        <w:tc>
          <w:tcPr>
            <w:tcW w:w="4644"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r>
    </w:tbl>
    <w:p>
      <w:pPr>
        <w:ind w:firstLine="480"/>
        <w:outlineLvl w:val="3"/>
        <w:rPr>
          <w:rFonts w:hint="default" w:ascii="Times New Roman" w:hAnsi="Times New Roman" w:cs="Times New Roman"/>
          <w:bCs/>
          <w:color w:val="auto"/>
        </w:rPr>
      </w:pPr>
      <w:r>
        <w:rPr>
          <w:rFonts w:hint="default" w:ascii="Times New Roman" w:hAnsi="Times New Roman" w:cs="Times New Roman"/>
          <w:bCs/>
          <w:color w:val="auto"/>
        </w:rPr>
        <w:t>3.3.1.4 固体废物</w:t>
      </w:r>
      <w:bookmarkEnd w:id="336"/>
    </w:p>
    <w:p>
      <w:pPr>
        <w:ind w:firstLine="480"/>
        <w:rPr>
          <w:rFonts w:hint="default" w:ascii="Times New Roman" w:hAnsi="Times New Roman" w:cs="Times New Roman"/>
          <w:color w:val="auto"/>
        </w:rPr>
      </w:pPr>
      <w:r>
        <w:rPr>
          <w:rFonts w:hint="default" w:ascii="Times New Roman" w:hAnsi="Times New Roman" w:cs="Times New Roman"/>
          <w:color w:val="auto"/>
        </w:rPr>
        <w:t>本项目在施工过程产生的主要固体废物为：建筑垃圾、施工弃土、施工人员产生的生活垃圾等。</w:t>
      </w:r>
    </w:p>
    <w:p>
      <w:pPr>
        <w:ind w:firstLine="480"/>
        <w:rPr>
          <w:rFonts w:hint="default" w:ascii="Times New Roman" w:hAnsi="Times New Roman" w:cs="Times New Roman"/>
          <w:color w:val="auto"/>
        </w:rPr>
      </w:pPr>
      <w:r>
        <w:rPr>
          <w:rFonts w:hint="default" w:ascii="Times New Roman" w:hAnsi="Times New Roman" w:cs="Times New Roman"/>
          <w:color w:val="auto"/>
        </w:rPr>
        <w:t>项目生活垃圾按照0.5kg/人</w:t>
      </w:r>
      <w:r>
        <w:rPr>
          <w:rFonts w:hint="default" w:ascii="Times New Roman" w:hAnsi="Times New Roman" w:cs="Times New Roman"/>
          <w:color w:val="auto"/>
          <w:cs/>
        </w:rPr>
        <w:t>•</w:t>
      </w:r>
      <w:r>
        <w:rPr>
          <w:rFonts w:hint="default" w:ascii="Times New Roman" w:hAnsi="Times New Roman" w:cs="Times New Roman"/>
          <w:color w:val="auto"/>
        </w:rPr>
        <w:t>d计，本项目施工期施工人员50人，施工期为24个月，则项目施工期生活垃圾产生量为25kg/d，整个施工期生活垃圾产生量为18.25t。</w:t>
      </w:r>
    </w:p>
    <w:p>
      <w:pPr>
        <w:ind w:firstLine="480"/>
        <w:rPr>
          <w:rFonts w:hint="default" w:ascii="Times New Roman" w:hAnsi="Times New Roman" w:cs="Times New Roman"/>
          <w:color w:val="auto"/>
        </w:rPr>
      </w:pPr>
      <w:r>
        <w:rPr>
          <w:rFonts w:hint="default" w:ascii="Times New Roman" w:hAnsi="Times New Roman" w:cs="Times New Roman"/>
          <w:color w:val="auto"/>
        </w:rPr>
        <w:t>项目建筑垃圾产生量按照1.0kg/m</w:t>
      </w:r>
      <w:r>
        <w:rPr>
          <w:rFonts w:hint="default" w:ascii="Times New Roman" w:hAnsi="Times New Roman" w:cs="Times New Roman"/>
          <w:color w:val="auto"/>
          <w:vertAlign w:val="superscript"/>
        </w:rPr>
        <w:t>2</w:t>
      </w:r>
      <w:r>
        <w:rPr>
          <w:rFonts w:hint="default" w:ascii="Times New Roman" w:hAnsi="Times New Roman" w:cs="Times New Roman"/>
          <w:color w:val="auto"/>
        </w:rPr>
        <w:t>，则项目建筑垃圾产生量为165.78t，施工建筑垃圾与生活垃圾一起交由当地环卫部门定时统一清运处理，以减少对区域生态环境及景观的影响。</w:t>
      </w:r>
    </w:p>
    <w:p>
      <w:pPr>
        <w:ind w:firstLine="480"/>
        <w:rPr>
          <w:rFonts w:hint="default" w:ascii="Times New Roman" w:hAnsi="Times New Roman" w:cs="Times New Roman"/>
          <w:color w:val="auto"/>
        </w:rPr>
      </w:pPr>
      <w:r>
        <w:rPr>
          <w:rFonts w:hint="default" w:ascii="Times New Roman" w:hAnsi="Times New Roman" w:cs="Times New Roman"/>
          <w:color w:val="auto"/>
        </w:rPr>
        <w:t>根据项目建设方案，本工程预计挖方150000m</w:t>
      </w:r>
      <w:r>
        <w:rPr>
          <w:rFonts w:hint="default" w:ascii="Times New Roman" w:hAnsi="Times New Roman" w:cs="Times New Roman"/>
          <w:color w:val="auto"/>
          <w:vertAlign w:val="superscript"/>
        </w:rPr>
        <w:t>3</w:t>
      </w:r>
      <w:r>
        <w:rPr>
          <w:rFonts w:hint="default" w:ascii="Times New Roman" w:hAnsi="Times New Roman" w:cs="Times New Roman"/>
          <w:color w:val="auto"/>
        </w:rPr>
        <w:t>，填方60000m</w:t>
      </w:r>
      <w:r>
        <w:rPr>
          <w:rFonts w:hint="default" w:ascii="Times New Roman" w:hAnsi="Times New Roman" w:cs="Times New Roman"/>
          <w:color w:val="auto"/>
          <w:vertAlign w:val="superscript"/>
        </w:rPr>
        <w:t>3</w:t>
      </w:r>
      <w:r>
        <w:rPr>
          <w:rFonts w:hint="default" w:ascii="Times New Roman" w:hAnsi="Times New Roman" w:cs="Times New Roman"/>
          <w:color w:val="auto"/>
        </w:rPr>
        <w:t>，剩余土方90000m</w:t>
      </w:r>
      <w:r>
        <w:rPr>
          <w:rFonts w:hint="default" w:ascii="Times New Roman" w:hAnsi="Times New Roman" w:cs="Times New Roman"/>
          <w:color w:val="auto"/>
          <w:vertAlign w:val="superscript"/>
        </w:rPr>
        <w:t>3</w:t>
      </w:r>
      <w:r>
        <w:rPr>
          <w:rFonts w:hint="default" w:ascii="Times New Roman" w:hAnsi="Times New Roman" w:cs="Times New Roman"/>
          <w:color w:val="auto"/>
        </w:rPr>
        <w:t>，剩余土方全部用于后期绿化覆土。项目土方平衡表见表3.3-2。</w:t>
      </w:r>
    </w:p>
    <w:p>
      <w:pPr>
        <w:spacing w:afterLines="30"/>
        <w:ind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表3.3-2                      项目土方平衡表</w:t>
      </w:r>
    </w:p>
    <w:tbl>
      <w:tblPr>
        <w:tblStyle w:val="25"/>
        <w:tblW w:w="894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82"/>
        <w:gridCol w:w="2983"/>
        <w:gridCol w:w="298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2982"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挖方</w:t>
            </w:r>
          </w:p>
        </w:tc>
        <w:tc>
          <w:tcPr>
            <w:tcW w:w="2983"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填方</w:t>
            </w:r>
          </w:p>
        </w:tc>
        <w:tc>
          <w:tcPr>
            <w:tcW w:w="2981"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剩余土方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82"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150000m</w:t>
            </w:r>
            <w:r>
              <w:rPr>
                <w:rFonts w:hint="default" w:ascii="Times New Roman" w:hAnsi="Times New Roman" w:cs="Times New Roman"/>
                <w:color w:val="auto"/>
                <w:sz w:val="21"/>
                <w:szCs w:val="21"/>
                <w:vertAlign w:val="superscript"/>
              </w:rPr>
              <w:t>3</w:t>
            </w:r>
          </w:p>
        </w:tc>
        <w:tc>
          <w:tcPr>
            <w:tcW w:w="2983"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60000m</w:t>
            </w:r>
            <w:r>
              <w:rPr>
                <w:rFonts w:hint="default" w:ascii="Times New Roman" w:hAnsi="Times New Roman" w:cs="Times New Roman"/>
                <w:color w:val="auto"/>
                <w:sz w:val="21"/>
                <w:szCs w:val="21"/>
                <w:vertAlign w:val="superscript"/>
              </w:rPr>
              <w:t>3</w:t>
            </w:r>
          </w:p>
        </w:tc>
        <w:tc>
          <w:tcPr>
            <w:tcW w:w="2981"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90000m</w:t>
            </w:r>
            <w:r>
              <w:rPr>
                <w:rFonts w:hint="default" w:ascii="Times New Roman" w:hAnsi="Times New Roman" w:cs="Times New Roman"/>
                <w:color w:val="auto"/>
                <w:sz w:val="21"/>
                <w:szCs w:val="21"/>
                <w:vertAlign w:val="superscript"/>
              </w:rPr>
              <w:t>3</w:t>
            </w:r>
          </w:p>
        </w:tc>
      </w:tr>
    </w:tbl>
    <w:p>
      <w:pPr>
        <w:ind w:firstLine="480"/>
        <w:outlineLvl w:val="3"/>
        <w:rPr>
          <w:rFonts w:hint="default" w:ascii="Times New Roman" w:hAnsi="Times New Roman" w:cs="Times New Roman"/>
          <w:bCs/>
          <w:color w:val="auto"/>
        </w:rPr>
      </w:pPr>
      <w:r>
        <w:rPr>
          <w:rFonts w:hint="default" w:ascii="Times New Roman" w:hAnsi="Times New Roman" w:cs="Times New Roman"/>
          <w:bCs/>
          <w:color w:val="auto"/>
        </w:rPr>
        <w:t>3.3.1.5生态影响</w:t>
      </w:r>
    </w:p>
    <w:p>
      <w:pPr>
        <w:ind w:firstLine="480"/>
        <w:rPr>
          <w:rFonts w:hint="default" w:ascii="Times New Roman" w:hAnsi="Times New Roman" w:cs="Times New Roman"/>
          <w:color w:val="auto"/>
        </w:rPr>
      </w:pPr>
      <w:r>
        <w:rPr>
          <w:rFonts w:hint="default" w:ascii="Times New Roman" w:hAnsi="Times New Roman" w:cs="Times New Roman"/>
          <w:color w:val="auto"/>
        </w:rPr>
        <w:t>项目场区占地167亩，全部为一般</w:t>
      </w:r>
      <w:r>
        <w:rPr>
          <w:rFonts w:hint="default" w:ascii="Times New Roman" w:hAnsi="Times New Roman" w:cs="Times New Roman"/>
          <w:color w:val="auto"/>
          <w:lang w:eastAsia="zh-CN"/>
        </w:rPr>
        <w:t>耕地</w:t>
      </w:r>
      <w:r>
        <w:rPr>
          <w:rFonts w:hint="default" w:ascii="Times New Roman" w:hAnsi="Times New Roman" w:cs="Times New Roman"/>
          <w:color w:val="auto"/>
        </w:rPr>
        <w:t>，项目占地类型及生物量情况具体见表3.3-3。</w:t>
      </w:r>
    </w:p>
    <w:p>
      <w:pPr>
        <w:spacing w:afterLines="30" w:line="500" w:lineRule="exact"/>
        <w:ind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表3.3-3                项目占地类型及损失生物量情况一览表</w:t>
      </w:r>
    </w:p>
    <w:tbl>
      <w:tblPr>
        <w:tblStyle w:val="25"/>
        <w:tblW w:w="894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1187"/>
        <w:gridCol w:w="1064"/>
        <w:gridCol w:w="1936"/>
        <w:gridCol w:w="1428"/>
        <w:gridCol w:w="1043"/>
        <w:gridCol w:w="10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7" w:type="dxa"/>
            <w:tcMar>
              <w:top w:w="57" w:type="dxa"/>
              <w:left w:w="28" w:type="dxa"/>
              <w:bottom w:w="57"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bookmarkStart w:id="337" w:name="_Toc181247754"/>
            <w:r>
              <w:rPr>
                <w:rFonts w:hint="default" w:ascii="Times New Roman" w:hAnsi="Times New Roman" w:cs="Times New Roman"/>
                <w:color w:val="auto"/>
                <w:sz w:val="21"/>
                <w:szCs w:val="21"/>
              </w:rPr>
              <w:t>群落类型</w:t>
            </w:r>
            <w:bookmarkEnd w:id="337"/>
          </w:p>
        </w:tc>
        <w:tc>
          <w:tcPr>
            <w:tcW w:w="1187" w:type="dxa"/>
            <w:tcMar>
              <w:top w:w="57" w:type="dxa"/>
              <w:left w:w="28" w:type="dxa"/>
              <w:bottom w:w="57"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bookmarkStart w:id="338" w:name="_Toc181247755"/>
            <w:r>
              <w:rPr>
                <w:rFonts w:hint="default" w:ascii="Times New Roman" w:hAnsi="Times New Roman" w:cs="Times New Roman"/>
                <w:color w:val="auto"/>
                <w:sz w:val="21"/>
                <w:szCs w:val="21"/>
              </w:rPr>
              <w:t>面积（亩）</w:t>
            </w:r>
            <w:bookmarkEnd w:id="338"/>
          </w:p>
        </w:tc>
        <w:tc>
          <w:tcPr>
            <w:tcW w:w="1064" w:type="dxa"/>
            <w:tcMar>
              <w:top w:w="57" w:type="dxa"/>
              <w:left w:w="28" w:type="dxa"/>
              <w:bottom w:w="57"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bookmarkStart w:id="339" w:name="_Toc181247756"/>
            <w:r>
              <w:rPr>
                <w:rFonts w:hint="default" w:ascii="Times New Roman" w:hAnsi="Times New Roman" w:cs="Times New Roman"/>
                <w:color w:val="auto"/>
                <w:sz w:val="21"/>
                <w:szCs w:val="21"/>
              </w:rPr>
              <w:t>植物种类组成</w:t>
            </w:r>
            <w:bookmarkEnd w:id="339"/>
          </w:p>
        </w:tc>
        <w:tc>
          <w:tcPr>
            <w:tcW w:w="1936" w:type="dxa"/>
            <w:tcMar>
              <w:top w:w="57" w:type="dxa"/>
              <w:left w:w="28" w:type="dxa"/>
              <w:bottom w:w="57"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bookmarkStart w:id="340" w:name="_Toc181247757"/>
            <w:r>
              <w:rPr>
                <w:rFonts w:hint="default" w:ascii="Times New Roman" w:hAnsi="Times New Roman" w:cs="Times New Roman"/>
                <w:color w:val="auto"/>
                <w:sz w:val="21"/>
                <w:szCs w:val="21"/>
              </w:rPr>
              <w:t>损失生物量</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（t/亩）</w:t>
            </w:r>
            <w:bookmarkEnd w:id="340"/>
          </w:p>
        </w:tc>
        <w:tc>
          <w:tcPr>
            <w:tcW w:w="1428" w:type="dxa"/>
            <w:tcMar>
              <w:top w:w="57" w:type="dxa"/>
              <w:left w:w="28" w:type="dxa"/>
              <w:bottom w:w="57"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bookmarkStart w:id="341" w:name="_Toc181247758"/>
            <w:r>
              <w:rPr>
                <w:rFonts w:hint="default" w:ascii="Times New Roman" w:hAnsi="Times New Roman" w:cs="Times New Roman"/>
                <w:color w:val="auto"/>
                <w:sz w:val="21"/>
                <w:szCs w:val="21"/>
              </w:rPr>
              <w:t>合计（t）</w:t>
            </w:r>
            <w:bookmarkEnd w:id="341"/>
          </w:p>
        </w:tc>
        <w:tc>
          <w:tcPr>
            <w:tcW w:w="1043" w:type="dxa"/>
            <w:tcMar>
              <w:top w:w="57" w:type="dxa"/>
              <w:left w:w="28" w:type="dxa"/>
              <w:bottom w:w="57"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占地类型</w:t>
            </w:r>
          </w:p>
        </w:tc>
        <w:tc>
          <w:tcPr>
            <w:tcW w:w="1041" w:type="dxa"/>
            <w:tcMar>
              <w:top w:w="57" w:type="dxa"/>
              <w:left w:w="28" w:type="dxa"/>
              <w:bottom w:w="57"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临时占地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7" w:type="dxa"/>
            <w:tcMar>
              <w:top w:w="57" w:type="dxa"/>
              <w:left w:w="28" w:type="dxa"/>
              <w:bottom w:w="57"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bookmarkStart w:id="342" w:name="_Toc181247774"/>
            <w:r>
              <w:rPr>
                <w:rFonts w:hint="default" w:ascii="Times New Roman" w:hAnsi="Times New Roman" w:cs="Times New Roman"/>
                <w:color w:val="auto"/>
                <w:sz w:val="21"/>
                <w:szCs w:val="21"/>
              </w:rPr>
              <w:t>农作物群落</w:t>
            </w:r>
            <w:bookmarkEnd w:id="342"/>
          </w:p>
        </w:tc>
        <w:tc>
          <w:tcPr>
            <w:tcW w:w="1187" w:type="dxa"/>
            <w:tcMar>
              <w:top w:w="57" w:type="dxa"/>
              <w:left w:w="28" w:type="dxa"/>
              <w:bottom w:w="57"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167</w:t>
            </w:r>
          </w:p>
        </w:tc>
        <w:tc>
          <w:tcPr>
            <w:tcW w:w="1064" w:type="dxa"/>
            <w:tcMar>
              <w:top w:w="57" w:type="dxa"/>
              <w:left w:w="28" w:type="dxa"/>
              <w:bottom w:w="57"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小麦</w:t>
            </w:r>
          </w:p>
        </w:tc>
        <w:tc>
          <w:tcPr>
            <w:tcW w:w="1936" w:type="dxa"/>
            <w:tcMar>
              <w:top w:w="57" w:type="dxa"/>
              <w:left w:w="28" w:type="dxa"/>
              <w:bottom w:w="57"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1428" w:type="dxa"/>
            <w:tcMar>
              <w:top w:w="57" w:type="dxa"/>
              <w:left w:w="28" w:type="dxa"/>
              <w:bottom w:w="57"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217.1</w:t>
            </w:r>
          </w:p>
        </w:tc>
        <w:tc>
          <w:tcPr>
            <w:tcW w:w="1043" w:type="dxa"/>
            <w:tcMar>
              <w:top w:w="57" w:type="dxa"/>
              <w:left w:w="28" w:type="dxa"/>
              <w:bottom w:w="57" w:type="dxa"/>
              <w:right w:w="28"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一般</w:t>
            </w:r>
            <w:r>
              <w:rPr>
                <w:rFonts w:hint="default" w:ascii="Times New Roman" w:hAnsi="Times New Roman" w:cs="Times New Roman"/>
                <w:color w:val="auto"/>
                <w:sz w:val="21"/>
                <w:szCs w:val="21"/>
                <w:lang w:eastAsia="zh-CN"/>
              </w:rPr>
              <w:t>耕地</w:t>
            </w:r>
          </w:p>
        </w:tc>
        <w:tc>
          <w:tcPr>
            <w:tcW w:w="1041" w:type="dxa"/>
            <w:tcMar>
              <w:top w:w="57" w:type="dxa"/>
              <w:left w:w="28" w:type="dxa"/>
              <w:bottom w:w="57"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bl>
    <w:p>
      <w:pPr>
        <w:ind w:firstLine="480"/>
        <w:rPr>
          <w:rFonts w:hint="default" w:ascii="Times New Roman" w:hAnsi="Times New Roman" w:cs="Times New Roman"/>
          <w:color w:val="auto"/>
        </w:rPr>
      </w:pPr>
      <w:r>
        <w:rPr>
          <w:rFonts w:hint="default" w:ascii="Times New Roman" w:hAnsi="Times New Roman" w:cs="Times New Roman"/>
          <w:color w:val="auto"/>
        </w:rPr>
        <w:t>根据实地调查，评价区属于农田生态系统，项目区植被全部为农田植被，农田植被主要是小麦。</w:t>
      </w:r>
    </w:p>
    <w:p>
      <w:pPr>
        <w:ind w:firstLine="480"/>
        <w:rPr>
          <w:rFonts w:hint="default" w:ascii="Times New Roman" w:hAnsi="Times New Roman" w:cs="Times New Roman"/>
          <w:color w:val="auto"/>
        </w:rPr>
      </w:pPr>
      <w:r>
        <w:rPr>
          <w:rFonts w:hint="default" w:ascii="Times New Roman" w:hAnsi="Times New Roman" w:cs="Times New Roman"/>
          <w:color w:val="auto"/>
        </w:rPr>
        <w:t>项目建设共破坏农田植被167亩，尽管项目建设会使原有植被遭到局部损失，但破坏的面积不大，且破坏的植被以农业植被为主，为广布种和常见种。项目在建设完成后将对厂区进行绿化，从而对减少的生物量进行补偿。</w:t>
      </w:r>
    </w:p>
    <w:p>
      <w:pPr>
        <w:ind w:firstLine="480"/>
        <w:rPr>
          <w:rFonts w:hint="default" w:ascii="Times New Roman" w:hAnsi="Times New Roman" w:cs="Times New Roman"/>
          <w:color w:val="auto"/>
        </w:rPr>
      </w:pPr>
      <w:r>
        <w:rPr>
          <w:rFonts w:hint="default" w:ascii="Times New Roman" w:hAnsi="Times New Roman" w:cs="Times New Roman"/>
          <w:color w:val="auto"/>
        </w:rPr>
        <w:t>项目施工期建筑材料及土方临时堆放在厂区的东北侧，并加蓬覆盖，避免产生扬尘。本项目所用建筑材料，如砂砾、二灰砂砾、环保砖、沥青砼均在西华购买，采用汽车运输。在建筑材料运输过程应加蓬覆盖，尽量避开村庄运输。</w:t>
      </w:r>
    </w:p>
    <w:p>
      <w:pPr>
        <w:ind w:firstLine="480"/>
        <w:rPr>
          <w:rFonts w:hint="default" w:ascii="Times New Roman" w:hAnsi="Times New Roman" w:cs="Times New Roman"/>
          <w:color w:val="auto"/>
        </w:rPr>
      </w:pPr>
      <w:r>
        <w:rPr>
          <w:rFonts w:hint="default" w:ascii="Times New Roman" w:hAnsi="Times New Roman" w:cs="Times New Roman"/>
          <w:color w:val="auto"/>
        </w:rPr>
        <w:t>建筑材料和尚未回填的剩余土方临时放置于施工场地东南角，建筑材料搭棚覆盖，剩余土方采用防尘网覆盖，撒播草籽，以减少水土流失，在项目建设完成后用于绿化覆土，提高植被覆盖率，以最大限度降低项目对生态环境的影响。</w:t>
      </w:r>
    </w:p>
    <w:p>
      <w:pPr>
        <w:ind w:firstLine="480"/>
        <w:rPr>
          <w:rFonts w:hint="default" w:ascii="Times New Roman" w:hAnsi="Times New Roman" w:cs="Times New Roman"/>
          <w:bCs/>
          <w:color w:val="auto"/>
        </w:rPr>
      </w:pPr>
      <w:r>
        <w:rPr>
          <w:rFonts w:hint="default" w:ascii="Times New Roman" w:hAnsi="Times New Roman" w:cs="Times New Roman"/>
          <w:color w:val="auto"/>
        </w:rPr>
        <w:t>通过采取相应的生态保护和恢复措施，尤其是通过施工管理和强化施工期的保护和恢复，则本项目建设对生态环境影响是可接受的。</w:t>
      </w:r>
    </w:p>
    <w:p>
      <w:pPr>
        <w:pStyle w:val="34"/>
        <w:ind w:firstLine="480"/>
        <w:rPr>
          <w:rFonts w:hint="default" w:ascii="Times New Roman" w:hAnsi="Times New Roman" w:cs="Times New Roman"/>
          <w:color w:val="auto"/>
        </w:rPr>
      </w:pPr>
      <w:bookmarkStart w:id="343" w:name="_Toc311979924"/>
      <w:bookmarkStart w:id="344" w:name="_Toc237749134"/>
      <w:bookmarkStart w:id="345" w:name="_Toc468115368"/>
      <w:bookmarkStart w:id="346" w:name="_Toc311979810"/>
      <w:bookmarkStart w:id="347" w:name="_Toc311979856"/>
      <w:bookmarkStart w:id="348" w:name="_Toc388881913"/>
      <w:bookmarkStart w:id="349" w:name="_Toc269400684"/>
      <w:bookmarkStart w:id="350" w:name="_Toc413166132"/>
      <w:bookmarkStart w:id="351" w:name="_Toc407001405"/>
      <w:bookmarkStart w:id="352" w:name="_Toc406847412"/>
      <w:r>
        <w:rPr>
          <w:rFonts w:hint="default" w:ascii="Times New Roman" w:hAnsi="Times New Roman" w:cs="Times New Roman"/>
          <w:color w:val="auto"/>
        </w:rPr>
        <w:t>3.3.2 运营期主要污染源分析</w:t>
      </w:r>
      <w:bookmarkEnd w:id="343"/>
      <w:bookmarkEnd w:id="344"/>
      <w:bookmarkEnd w:id="345"/>
      <w:bookmarkEnd w:id="346"/>
      <w:bookmarkEnd w:id="347"/>
      <w:bookmarkEnd w:id="348"/>
      <w:bookmarkEnd w:id="349"/>
      <w:bookmarkEnd w:id="350"/>
      <w:bookmarkEnd w:id="351"/>
      <w:bookmarkEnd w:id="352"/>
    </w:p>
    <w:p>
      <w:pPr>
        <w:ind w:firstLine="480"/>
        <w:rPr>
          <w:rFonts w:hint="default" w:ascii="Times New Roman" w:hAnsi="Times New Roman" w:cs="Times New Roman"/>
          <w:bCs/>
          <w:color w:val="auto"/>
        </w:rPr>
      </w:pPr>
      <w:r>
        <w:rPr>
          <w:rFonts w:hint="default" w:ascii="Times New Roman" w:hAnsi="Times New Roman" w:cs="Times New Roman"/>
          <w:bCs/>
          <w:color w:val="auto"/>
        </w:rPr>
        <w:t>运营期间的主要污染环节见表3.3-4和图3-9。</w:t>
      </w:r>
    </w:p>
    <w:p>
      <w:pPr>
        <w:ind w:firstLine="480"/>
        <w:rPr>
          <w:rFonts w:hint="default" w:ascii="Times New Roman" w:hAnsi="Times New Roman" w:cs="Times New Roman"/>
          <w:color w:val="auto"/>
        </w:rPr>
      </w:pPr>
    </w:p>
    <w:p>
      <w:pPr>
        <w:tabs>
          <w:tab w:val="left" w:pos="810"/>
        </w:tabs>
        <w:ind w:firstLine="480"/>
        <w:rPr>
          <w:rFonts w:hint="default" w:ascii="Times New Roman" w:hAnsi="Times New Roman" w:cs="Times New Roman"/>
          <w:color w:val="auto"/>
        </w:rPr>
      </w:pPr>
      <w:r>
        <w:rPr>
          <w:rFonts w:hint="default" w:ascii="Times New Roman" w:hAnsi="Times New Roman" w:cs="Times New Roman"/>
          <w:color w:val="auto"/>
        </w:rPr>
        <w:tab/>
      </w:r>
    </w:p>
    <w:p>
      <w:pPr>
        <w:ind w:firstLine="480"/>
        <w:rPr>
          <w:rFonts w:hint="default" w:ascii="Times New Roman" w:hAnsi="Times New Roman" w:cs="Times New Roman"/>
          <w:color w:val="auto"/>
        </w:rPr>
        <w:sectPr>
          <w:headerReference r:id="rId10" w:type="default"/>
          <w:footerReference r:id="rId11" w:type="default"/>
          <w:pgSz w:w="11906" w:h="16838"/>
          <w:pgMar w:top="1587" w:right="1587" w:bottom="1587" w:left="1587" w:header="851" w:footer="992" w:gutter="0"/>
          <w:pgBorders>
            <w:top w:val="none" w:sz="0" w:space="0"/>
            <w:left w:val="none" w:sz="0" w:space="0"/>
            <w:bottom w:val="none" w:sz="0" w:space="0"/>
            <w:right w:val="none" w:sz="0" w:space="0"/>
          </w:pgBorders>
          <w:cols w:space="720" w:num="1"/>
          <w:docGrid w:linePitch="312" w:charSpace="0"/>
        </w:sectPr>
      </w:pPr>
    </w:p>
    <w:p>
      <w:pPr>
        <w:ind w:firstLine="0" w:firstLineChars="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8673465" cy="4923790"/>
            <wp:effectExtent l="0" t="0" r="13335" b="1016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41"/>
                    <a:stretch>
                      <a:fillRect/>
                    </a:stretch>
                  </pic:blipFill>
                  <pic:spPr>
                    <a:xfrm>
                      <a:off x="0" y="0"/>
                      <a:ext cx="8673465" cy="4923790"/>
                    </a:xfrm>
                    <a:prstGeom prst="rect">
                      <a:avLst/>
                    </a:prstGeom>
                    <a:noFill/>
                    <a:ln>
                      <a:noFill/>
                    </a:ln>
                  </pic:spPr>
                </pic:pic>
              </a:graphicData>
            </a:graphic>
          </wp:inline>
        </w:drawing>
      </w:r>
    </w:p>
    <w:p>
      <w:pPr>
        <w:widowControl/>
        <w:spacing w:afterLines="30" w:line="500" w:lineRule="exact"/>
        <w:ind w:firstLine="482"/>
        <w:jc w:val="center"/>
        <w:rPr>
          <w:rFonts w:hint="default" w:ascii="Times New Roman" w:hAnsi="Times New Roman" w:cs="Times New Roman"/>
          <w:b/>
          <w:color w:val="auto"/>
        </w:rPr>
        <w:sectPr>
          <w:headerReference r:id="rId12" w:type="default"/>
          <w:pgSz w:w="16838" w:h="11906" w:orient="landscape"/>
          <w:pgMar w:top="1587" w:right="1587" w:bottom="1587" w:left="1587" w:header="851" w:footer="992" w:gutter="0"/>
          <w:pgBorders>
            <w:top w:val="none" w:sz="0" w:space="0"/>
            <w:left w:val="none" w:sz="0" w:space="0"/>
            <w:bottom w:val="none" w:sz="0" w:space="0"/>
            <w:right w:val="none" w:sz="0" w:space="0"/>
          </w:pgBorders>
          <w:cols w:space="720" w:num="1"/>
          <w:docGrid w:linePitch="312" w:charSpace="0"/>
        </w:sectPr>
      </w:pPr>
    </w:p>
    <w:p>
      <w:pPr>
        <w:spacing w:afterLines="30" w:line="500" w:lineRule="exact"/>
        <w:ind w:firstLine="482"/>
        <w:jc w:val="left"/>
        <w:rPr>
          <w:rFonts w:hint="default" w:ascii="Times New Roman" w:hAnsi="Times New Roman" w:cs="Times New Roman"/>
          <w:b/>
          <w:color w:val="auto"/>
          <w:szCs w:val="21"/>
          <w:highlight w:val="yellow"/>
        </w:rPr>
      </w:pPr>
      <w:bookmarkStart w:id="353" w:name="_Toc311979861"/>
      <w:bookmarkStart w:id="354" w:name="_Toc406847415"/>
      <w:bookmarkStart w:id="355" w:name="_Toc407001408"/>
      <w:bookmarkStart w:id="356" w:name="_Toc311979816"/>
      <w:bookmarkStart w:id="357" w:name="_Toc388881916"/>
      <w:bookmarkStart w:id="358" w:name="_Toc311979929"/>
      <w:bookmarkStart w:id="359" w:name="_Toc413166135"/>
      <w:bookmarkStart w:id="360" w:name="_Toc311979817"/>
      <w:bookmarkStart w:id="361" w:name="_Toc311979930"/>
      <w:bookmarkStart w:id="362" w:name="_Toc311979862"/>
      <w:bookmarkStart w:id="363" w:name="_Toc269400717"/>
      <w:r>
        <w:rPr>
          <w:rFonts w:hint="default" w:ascii="Times New Roman" w:hAnsi="Times New Roman" w:cs="Times New Roman"/>
          <w:b/>
          <w:color w:val="auto"/>
          <w:szCs w:val="21"/>
        </w:rPr>
        <w:t>表3.3-4               本项目污染产污环节一览表</w:t>
      </w:r>
    </w:p>
    <w:tbl>
      <w:tblPr>
        <w:tblStyle w:val="25"/>
        <w:tblW w:w="9173"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9"/>
        <w:gridCol w:w="2917"/>
        <w:gridCol w:w="2910"/>
        <w:gridCol w:w="2660"/>
        <w:gridCol w:w="1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7" w:type="dxa"/>
          <w:trHeight w:val="238" w:hRule="atLeast"/>
        </w:trPr>
        <w:tc>
          <w:tcPr>
            <w:tcW w:w="519"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2917"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产污环节</w:t>
            </w:r>
          </w:p>
        </w:tc>
        <w:tc>
          <w:tcPr>
            <w:tcW w:w="2910"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污染因子</w:t>
            </w:r>
          </w:p>
        </w:tc>
        <w:tc>
          <w:tcPr>
            <w:tcW w:w="2660"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治理措施及去向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7" w:type="dxa"/>
          <w:trHeight w:val="262" w:hRule="atLeast"/>
        </w:trPr>
        <w:tc>
          <w:tcPr>
            <w:tcW w:w="519" w:type="dxa"/>
            <w:vMerge w:val="restart"/>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2917"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猪舍恶臭气体</w:t>
            </w:r>
          </w:p>
        </w:tc>
        <w:tc>
          <w:tcPr>
            <w:tcW w:w="2910"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H</w:t>
            </w:r>
            <w:r>
              <w:rPr>
                <w:rFonts w:hint="default" w:ascii="Times New Roman" w:hAnsi="Times New Roman" w:cs="Times New Roman"/>
                <w:bCs/>
                <w:color w:val="auto"/>
                <w:sz w:val="21"/>
                <w:szCs w:val="21"/>
                <w:vertAlign w:val="subscript"/>
              </w:rPr>
              <w:t>2</w:t>
            </w:r>
            <w:r>
              <w:rPr>
                <w:rFonts w:hint="default" w:ascii="Times New Roman" w:hAnsi="Times New Roman" w:cs="Times New Roman"/>
                <w:bCs/>
                <w:color w:val="auto"/>
                <w:sz w:val="21"/>
                <w:szCs w:val="21"/>
              </w:rPr>
              <w:t>S、NH</w:t>
            </w:r>
            <w:r>
              <w:rPr>
                <w:rFonts w:hint="default" w:ascii="Times New Roman" w:hAnsi="Times New Roman" w:cs="Times New Roman"/>
                <w:bCs/>
                <w:color w:val="auto"/>
                <w:sz w:val="21"/>
                <w:szCs w:val="21"/>
                <w:vertAlign w:val="subscript"/>
              </w:rPr>
              <w:t>3</w:t>
            </w:r>
          </w:p>
        </w:tc>
        <w:tc>
          <w:tcPr>
            <w:tcW w:w="2660" w:type="dxa"/>
            <w:vMerge w:val="restart"/>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达标排放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7" w:type="dxa"/>
          <w:trHeight w:val="261" w:hRule="atLeast"/>
        </w:trPr>
        <w:tc>
          <w:tcPr>
            <w:tcW w:w="519"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p>
        </w:tc>
        <w:tc>
          <w:tcPr>
            <w:tcW w:w="2917"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污水处理过程恶臭气体</w:t>
            </w:r>
          </w:p>
        </w:tc>
        <w:tc>
          <w:tcPr>
            <w:tcW w:w="2910"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H</w:t>
            </w:r>
            <w:r>
              <w:rPr>
                <w:rFonts w:hint="default" w:ascii="Times New Roman" w:hAnsi="Times New Roman" w:cs="Times New Roman"/>
                <w:bCs/>
                <w:color w:val="auto"/>
                <w:sz w:val="21"/>
                <w:szCs w:val="21"/>
                <w:vertAlign w:val="subscript"/>
              </w:rPr>
              <w:t>2</w:t>
            </w:r>
            <w:r>
              <w:rPr>
                <w:rFonts w:hint="default" w:ascii="Times New Roman" w:hAnsi="Times New Roman" w:cs="Times New Roman"/>
                <w:bCs/>
                <w:color w:val="auto"/>
                <w:sz w:val="21"/>
                <w:szCs w:val="21"/>
              </w:rPr>
              <w:t>S、NH</w:t>
            </w:r>
            <w:r>
              <w:rPr>
                <w:rFonts w:hint="default" w:ascii="Times New Roman" w:hAnsi="Times New Roman" w:cs="Times New Roman"/>
                <w:bCs/>
                <w:color w:val="auto"/>
                <w:sz w:val="21"/>
                <w:szCs w:val="21"/>
                <w:vertAlign w:val="subscript"/>
              </w:rPr>
              <w:t>3</w:t>
            </w:r>
          </w:p>
        </w:tc>
        <w:tc>
          <w:tcPr>
            <w:tcW w:w="2660"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7" w:type="dxa"/>
          <w:trHeight w:val="250" w:hRule="atLeast"/>
        </w:trPr>
        <w:tc>
          <w:tcPr>
            <w:tcW w:w="519"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p>
        </w:tc>
        <w:tc>
          <w:tcPr>
            <w:tcW w:w="2917"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固粪处理区臭气</w:t>
            </w:r>
          </w:p>
        </w:tc>
        <w:tc>
          <w:tcPr>
            <w:tcW w:w="2910"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S、NH</w:t>
            </w:r>
            <w:r>
              <w:rPr>
                <w:rFonts w:hint="default" w:ascii="Times New Roman" w:hAnsi="Times New Roman" w:cs="Times New Roman"/>
                <w:color w:val="auto"/>
                <w:sz w:val="21"/>
                <w:szCs w:val="21"/>
                <w:vertAlign w:val="subscript"/>
              </w:rPr>
              <w:t>3</w:t>
            </w:r>
          </w:p>
        </w:tc>
        <w:tc>
          <w:tcPr>
            <w:tcW w:w="2660"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7" w:type="dxa"/>
          <w:trHeight w:val="204" w:hRule="atLeast"/>
        </w:trPr>
        <w:tc>
          <w:tcPr>
            <w:tcW w:w="519"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p>
        </w:tc>
        <w:tc>
          <w:tcPr>
            <w:tcW w:w="2917"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lang w:eastAsia="zh-CN"/>
              </w:rPr>
              <w:t>沼液存储池</w:t>
            </w:r>
            <w:r>
              <w:rPr>
                <w:rFonts w:hint="default" w:ascii="Times New Roman" w:hAnsi="Times New Roman" w:cs="Times New Roman"/>
                <w:color w:val="auto"/>
                <w:sz w:val="21"/>
                <w:szCs w:val="21"/>
              </w:rPr>
              <w:t>臭气</w:t>
            </w:r>
          </w:p>
        </w:tc>
        <w:tc>
          <w:tcPr>
            <w:tcW w:w="2910"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S、NH</w:t>
            </w:r>
            <w:r>
              <w:rPr>
                <w:rFonts w:hint="default" w:ascii="Times New Roman" w:hAnsi="Times New Roman" w:cs="Times New Roman"/>
                <w:color w:val="auto"/>
                <w:sz w:val="21"/>
                <w:szCs w:val="21"/>
                <w:vertAlign w:val="subscript"/>
              </w:rPr>
              <w:t>3</w:t>
            </w:r>
          </w:p>
        </w:tc>
        <w:tc>
          <w:tcPr>
            <w:tcW w:w="2660"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7" w:type="dxa"/>
          <w:trHeight w:val="216" w:hRule="atLeast"/>
        </w:trPr>
        <w:tc>
          <w:tcPr>
            <w:tcW w:w="519"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p>
        </w:tc>
        <w:tc>
          <w:tcPr>
            <w:tcW w:w="2917"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沼气燃烧废气</w:t>
            </w:r>
          </w:p>
        </w:tc>
        <w:tc>
          <w:tcPr>
            <w:tcW w:w="2910"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、NO</w:t>
            </w:r>
            <w:r>
              <w:rPr>
                <w:rFonts w:hint="default" w:ascii="Times New Roman" w:hAnsi="Times New Roman" w:cs="Times New Roman"/>
                <w:color w:val="auto"/>
                <w:sz w:val="21"/>
                <w:szCs w:val="21"/>
                <w:vertAlign w:val="subscript"/>
              </w:rPr>
              <w:t>X</w:t>
            </w:r>
          </w:p>
        </w:tc>
        <w:tc>
          <w:tcPr>
            <w:tcW w:w="2660"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7" w:type="dxa"/>
          <w:trHeight w:val="154" w:hRule="atLeast"/>
        </w:trPr>
        <w:tc>
          <w:tcPr>
            <w:tcW w:w="519"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p>
        </w:tc>
        <w:tc>
          <w:tcPr>
            <w:tcW w:w="2917"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食堂油烟</w:t>
            </w:r>
          </w:p>
        </w:tc>
        <w:tc>
          <w:tcPr>
            <w:tcW w:w="2910"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油烟</w:t>
            </w:r>
          </w:p>
        </w:tc>
        <w:tc>
          <w:tcPr>
            <w:tcW w:w="2660"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7" w:type="dxa"/>
          <w:trHeight w:val="128" w:hRule="atLeast"/>
        </w:trPr>
        <w:tc>
          <w:tcPr>
            <w:tcW w:w="519"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p>
        </w:tc>
        <w:tc>
          <w:tcPr>
            <w:tcW w:w="2917"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无害化处理区</w:t>
            </w:r>
          </w:p>
        </w:tc>
        <w:tc>
          <w:tcPr>
            <w:tcW w:w="2910"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S、NH</w:t>
            </w:r>
            <w:r>
              <w:rPr>
                <w:rFonts w:hint="default" w:ascii="Times New Roman" w:hAnsi="Times New Roman" w:cs="Times New Roman"/>
                <w:color w:val="auto"/>
                <w:sz w:val="21"/>
                <w:szCs w:val="21"/>
                <w:vertAlign w:val="subscript"/>
              </w:rPr>
              <w:t>3</w:t>
            </w:r>
          </w:p>
        </w:tc>
        <w:tc>
          <w:tcPr>
            <w:tcW w:w="2660"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7" w:type="dxa"/>
          <w:trHeight w:val="373" w:hRule="atLeast"/>
        </w:trPr>
        <w:tc>
          <w:tcPr>
            <w:tcW w:w="519" w:type="dxa"/>
            <w:vMerge w:val="restart"/>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2917"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养殖废水</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（猪尿液、猪舍冲洗废水</w:t>
            </w:r>
            <w:r>
              <w:rPr>
                <w:rFonts w:hint="default" w:ascii="Times New Roman" w:hAnsi="Times New Roman" w:cs="Times New Roman"/>
                <w:color w:val="auto"/>
                <w:sz w:val="21"/>
                <w:szCs w:val="21"/>
                <w:lang w:eastAsia="zh-CN"/>
              </w:rPr>
              <w:t>等</w:t>
            </w:r>
            <w:r>
              <w:rPr>
                <w:rFonts w:hint="default" w:ascii="Times New Roman" w:hAnsi="Times New Roman" w:cs="Times New Roman"/>
                <w:color w:val="auto"/>
                <w:sz w:val="21"/>
                <w:szCs w:val="21"/>
              </w:rPr>
              <w:t>）</w:t>
            </w:r>
          </w:p>
        </w:tc>
        <w:tc>
          <w:tcPr>
            <w:tcW w:w="2910"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COD、BOD</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rPr>
              <w:t>、SS、NH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2660"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经沼气池处理后作液体肥还田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7" w:type="dxa"/>
          <w:trHeight w:val="284" w:hRule="atLeast"/>
        </w:trPr>
        <w:tc>
          <w:tcPr>
            <w:tcW w:w="519"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p>
        </w:tc>
        <w:tc>
          <w:tcPr>
            <w:tcW w:w="2917"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职工生活污水</w:t>
            </w:r>
          </w:p>
        </w:tc>
        <w:tc>
          <w:tcPr>
            <w:tcW w:w="2910"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COD、BOD</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rPr>
              <w:t>、SS、NH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2660"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7" w:type="dxa"/>
          <w:trHeight w:val="215" w:hRule="atLeast"/>
        </w:trPr>
        <w:tc>
          <w:tcPr>
            <w:tcW w:w="519" w:type="dxa"/>
            <w:vMerge w:val="restart"/>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2917"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防疫医疗废物</w:t>
            </w:r>
          </w:p>
        </w:tc>
        <w:tc>
          <w:tcPr>
            <w:tcW w:w="2910"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防疫医疗废物</w:t>
            </w:r>
          </w:p>
        </w:tc>
        <w:tc>
          <w:tcPr>
            <w:tcW w:w="2660"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委托有资质单位处置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7" w:type="dxa"/>
          <w:trHeight w:val="181" w:hRule="atLeast"/>
        </w:trPr>
        <w:tc>
          <w:tcPr>
            <w:tcW w:w="519"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p>
        </w:tc>
        <w:tc>
          <w:tcPr>
            <w:tcW w:w="2917"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养殖过程病死猪</w:t>
            </w:r>
          </w:p>
        </w:tc>
        <w:tc>
          <w:tcPr>
            <w:tcW w:w="2910"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病死猪</w:t>
            </w:r>
          </w:p>
        </w:tc>
        <w:tc>
          <w:tcPr>
            <w:tcW w:w="2660" w:type="dxa"/>
            <w:vMerge w:val="restart"/>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在厂区内无害化处理后，残渣作为有机肥原料外售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7" w:type="dxa"/>
          <w:trHeight w:val="236" w:hRule="atLeast"/>
        </w:trPr>
        <w:tc>
          <w:tcPr>
            <w:tcW w:w="519"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p>
        </w:tc>
        <w:tc>
          <w:tcPr>
            <w:tcW w:w="2917"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母猪生育</w:t>
            </w:r>
          </w:p>
        </w:tc>
        <w:tc>
          <w:tcPr>
            <w:tcW w:w="2910"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母猪胎盘</w:t>
            </w:r>
          </w:p>
        </w:tc>
        <w:tc>
          <w:tcPr>
            <w:tcW w:w="2660"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7" w:type="dxa"/>
          <w:trHeight w:val="170" w:hRule="atLeast"/>
        </w:trPr>
        <w:tc>
          <w:tcPr>
            <w:tcW w:w="519"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p>
        </w:tc>
        <w:tc>
          <w:tcPr>
            <w:tcW w:w="2917"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粪污水固液分离猪粪固形物</w:t>
            </w:r>
          </w:p>
        </w:tc>
        <w:tc>
          <w:tcPr>
            <w:tcW w:w="2910"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猪粪固形物</w:t>
            </w:r>
          </w:p>
        </w:tc>
        <w:tc>
          <w:tcPr>
            <w:tcW w:w="2660"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制作有机肥半成品外售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7" w:type="dxa"/>
          <w:trHeight w:val="158" w:hRule="atLeast"/>
        </w:trPr>
        <w:tc>
          <w:tcPr>
            <w:tcW w:w="519"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p>
        </w:tc>
        <w:tc>
          <w:tcPr>
            <w:tcW w:w="2917"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沼气脱硫废脱硫剂</w:t>
            </w:r>
          </w:p>
        </w:tc>
        <w:tc>
          <w:tcPr>
            <w:tcW w:w="2910"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脱硫废脱硫剂</w:t>
            </w:r>
          </w:p>
        </w:tc>
        <w:tc>
          <w:tcPr>
            <w:tcW w:w="2660"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生产厂家统一回收处置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7" w:type="dxa"/>
          <w:trHeight w:val="115" w:hRule="atLeast"/>
        </w:trPr>
        <w:tc>
          <w:tcPr>
            <w:tcW w:w="519"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p>
        </w:tc>
        <w:tc>
          <w:tcPr>
            <w:tcW w:w="2917" w:type="dxa"/>
            <w:tcBorders>
              <w:bottom w:val="single" w:color="000000" w:sz="4" w:space="0"/>
            </w:tcBorders>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职工生活垃圾</w:t>
            </w:r>
          </w:p>
        </w:tc>
        <w:tc>
          <w:tcPr>
            <w:tcW w:w="2910" w:type="dxa"/>
            <w:tcBorders>
              <w:bottom w:val="single" w:color="000000" w:sz="4" w:space="0"/>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生活垃圾</w:t>
            </w:r>
          </w:p>
        </w:tc>
        <w:tc>
          <w:tcPr>
            <w:tcW w:w="2660" w:type="dxa"/>
            <w:tcBorders>
              <w:bottom w:val="single" w:color="000000"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送环卫部门处理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67" w:type="dxa"/>
          <w:trHeight w:val="167" w:hRule="atLeast"/>
        </w:trPr>
        <w:tc>
          <w:tcPr>
            <w:tcW w:w="519"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p>
        </w:tc>
        <w:tc>
          <w:tcPr>
            <w:tcW w:w="2917" w:type="dxa"/>
            <w:tcBorders>
              <w:top w:val="single" w:color="000000" w:sz="4" w:space="0"/>
            </w:tcBorders>
            <w:tcMar>
              <w:left w:w="0" w:type="dxa"/>
              <w:right w:w="0"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无害化处理机</w:t>
            </w:r>
          </w:p>
        </w:tc>
        <w:tc>
          <w:tcPr>
            <w:tcW w:w="2910" w:type="dxa"/>
            <w:tcBorders>
              <w:top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废导热油、废</w:t>
            </w:r>
            <w:r>
              <w:rPr>
                <w:rFonts w:hint="default" w:ascii="Times New Roman" w:hAnsi="Times New Roman" w:cs="Times New Roman"/>
                <w:color w:val="auto"/>
                <w:sz w:val="21"/>
                <w:szCs w:val="21"/>
                <w:lang w:val="en-US" w:eastAsia="zh-CN"/>
              </w:rPr>
              <w:t>UV灯管</w:t>
            </w:r>
          </w:p>
        </w:tc>
        <w:tc>
          <w:tcPr>
            <w:tcW w:w="2660" w:type="dxa"/>
            <w:tcBorders>
              <w:top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交由有资质单位处理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519"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噪声</w:t>
            </w:r>
          </w:p>
        </w:tc>
        <w:tc>
          <w:tcPr>
            <w:tcW w:w="2917"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猪舍猪叫、粪污处理设备、风机等运行产生的噪声</w:t>
            </w:r>
          </w:p>
        </w:tc>
        <w:tc>
          <w:tcPr>
            <w:tcW w:w="2910"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噪声</w:t>
            </w:r>
          </w:p>
        </w:tc>
        <w:tc>
          <w:tcPr>
            <w:tcW w:w="2827" w:type="dxa"/>
            <w:gridSpan w:val="2"/>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达标排放</w:t>
            </w:r>
          </w:p>
        </w:tc>
      </w:tr>
    </w:tbl>
    <w:p>
      <w:pPr>
        <w:pStyle w:val="37"/>
        <w:ind w:firstLine="480"/>
        <w:rPr>
          <w:rFonts w:hint="default" w:ascii="Times New Roman" w:hAnsi="Times New Roman" w:cs="Times New Roman"/>
          <w:color w:val="auto"/>
        </w:rPr>
      </w:pPr>
      <w:r>
        <w:rPr>
          <w:rFonts w:hint="default" w:ascii="Times New Roman" w:hAnsi="Times New Roman" w:cs="Times New Roman"/>
          <w:color w:val="auto"/>
        </w:rPr>
        <w:t>3.3.2.1</w:t>
      </w:r>
      <w:bookmarkEnd w:id="353"/>
      <w:bookmarkEnd w:id="354"/>
      <w:bookmarkEnd w:id="355"/>
      <w:bookmarkEnd w:id="356"/>
      <w:bookmarkEnd w:id="357"/>
      <w:bookmarkEnd w:id="358"/>
      <w:bookmarkEnd w:id="359"/>
      <w:r>
        <w:rPr>
          <w:rFonts w:hint="default" w:ascii="Times New Roman" w:hAnsi="Times New Roman" w:cs="Times New Roman"/>
          <w:color w:val="auto"/>
        </w:rPr>
        <w:t>废气污染物产排情况</w:t>
      </w:r>
    </w:p>
    <w:p>
      <w:pPr>
        <w:ind w:firstLine="480"/>
        <w:rPr>
          <w:rFonts w:hint="default" w:ascii="Times New Roman" w:hAnsi="Times New Roman" w:cs="Times New Roman"/>
          <w:color w:val="auto"/>
        </w:rPr>
      </w:pPr>
      <w:r>
        <w:rPr>
          <w:rFonts w:hint="default" w:ascii="Times New Roman" w:hAnsi="Times New Roman" w:cs="Times New Roman"/>
          <w:color w:val="auto"/>
        </w:rPr>
        <w:t>本项目产生的废气主要来自养殖过程、污水处理工程（收集池、</w:t>
      </w:r>
      <w:r>
        <w:rPr>
          <w:rFonts w:hint="default" w:ascii="Times New Roman" w:hAnsi="Times New Roman" w:cs="Times New Roman"/>
          <w:color w:val="auto"/>
          <w:lang w:eastAsia="zh-CN"/>
        </w:rPr>
        <w:t>沼液存储池</w:t>
      </w:r>
      <w:r>
        <w:rPr>
          <w:rFonts w:hint="default" w:ascii="Times New Roman" w:hAnsi="Times New Roman" w:cs="Times New Roman"/>
          <w:color w:val="auto"/>
        </w:rPr>
        <w:t>）、固粪处理区、无害化处理区等产生的恶臭及食堂油烟。本项目污染物源强类比牧原公司其他生猪养殖场，以上项目均属牧原食品有限公司旗下养殖场，与本项目养殖方式相似，工艺相同，因此污染物源强具有可类比性。</w:t>
      </w:r>
    </w:p>
    <w:p>
      <w:pPr>
        <w:ind w:firstLine="480"/>
        <w:rPr>
          <w:rFonts w:hint="default" w:ascii="Times New Roman" w:hAnsi="Times New Roman" w:cs="Times New Roman"/>
          <w:color w:val="auto"/>
        </w:rPr>
      </w:pPr>
      <w:r>
        <w:rPr>
          <w:rFonts w:hint="default" w:ascii="Times New Roman" w:hAnsi="Times New Roman" w:cs="Times New Roman"/>
          <w:color w:val="auto"/>
        </w:rPr>
        <w:t>（1）养殖过程猪舍恶臭</w:t>
      </w:r>
    </w:p>
    <w:p>
      <w:pPr>
        <w:ind w:firstLine="480"/>
        <w:rPr>
          <w:rFonts w:hint="default" w:ascii="Times New Roman" w:hAnsi="Times New Roman" w:cs="Times New Roman"/>
          <w:color w:val="auto"/>
        </w:rPr>
      </w:pPr>
      <w:r>
        <w:rPr>
          <w:rFonts w:hint="default" w:ascii="Times New Roman" w:hAnsi="Times New Roman" w:cs="Times New Roman"/>
          <w:color w:val="auto"/>
        </w:rPr>
        <w:t>养殖过程恶臭气体主要产生于猪舍内，为了有效核定出臭气中NH</w:t>
      </w:r>
      <w:r>
        <w:rPr>
          <w:rFonts w:hint="default" w:ascii="Times New Roman" w:hAnsi="Times New Roman" w:cs="Times New Roman"/>
          <w:color w:val="auto"/>
          <w:vertAlign w:val="subscript"/>
        </w:rPr>
        <w:t>3</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S产生情况，本次评价类比采用其他类似猪舍的恶臭产生源强，</w:t>
      </w:r>
      <w:r>
        <w:rPr>
          <w:rFonts w:hint="default" w:ascii="Times New Roman" w:hAnsi="Times New Roman" w:cs="Times New Roman"/>
          <w:b/>
          <w:bCs/>
          <w:color w:val="auto"/>
          <w:u w:val="single"/>
        </w:rPr>
        <w:t>本次评价类比牧原其他养殖场，怀孕猪NH</w:t>
      </w:r>
      <w:r>
        <w:rPr>
          <w:rFonts w:hint="default" w:ascii="Times New Roman" w:hAnsi="Times New Roman" w:cs="Times New Roman"/>
          <w:b/>
          <w:bCs/>
          <w:color w:val="auto"/>
          <w:u w:val="single"/>
          <w:vertAlign w:val="subscript"/>
        </w:rPr>
        <w:t>3</w:t>
      </w:r>
      <w:r>
        <w:rPr>
          <w:rFonts w:hint="default" w:ascii="Times New Roman" w:hAnsi="Times New Roman" w:cs="Times New Roman"/>
          <w:b/>
          <w:bCs/>
          <w:color w:val="auto"/>
          <w:u w:val="single"/>
        </w:rPr>
        <w:t>产生源强为0.24g/头·d，H</w:t>
      </w:r>
      <w:r>
        <w:rPr>
          <w:rFonts w:hint="default" w:ascii="Times New Roman" w:hAnsi="Times New Roman" w:cs="Times New Roman"/>
          <w:b/>
          <w:bCs/>
          <w:color w:val="auto"/>
          <w:u w:val="single"/>
          <w:vertAlign w:val="subscript"/>
        </w:rPr>
        <w:t>2</w:t>
      </w:r>
      <w:r>
        <w:rPr>
          <w:rFonts w:hint="default" w:ascii="Times New Roman" w:hAnsi="Times New Roman" w:cs="Times New Roman"/>
          <w:b/>
          <w:bCs/>
          <w:color w:val="auto"/>
          <w:u w:val="single"/>
        </w:rPr>
        <w:t>S产生源强为0.0204g/头·d，哺乳猪NH</w:t>
      </w:r>
      <w:r>
        <w:rPr>
          <w:rFonts w:hint="default" w:ascii="Times New Roman" w:hAnsi="Times New Roman" w:cs="Times New Roman"/>
          <w:b/>
          <w:bCs/>
          <w:color w:val="auto"/>
          <w:u w:val="single"/>
          <w:vertAlign w:val="subscript"/>
        </w:rPr>
        <w:t>3</w:t>
      </w:r>
      <w:r>
        <w:rPr>
          <w:rFonts w:hint="default" w:ascii="Times New Roman" w:hAnsi="Times New Roman" w:cs="Times New Roman"/>
          <w:b/>
          <w:bCs/>
          <w:color w:val="auto"/>
          <w:u w:val="single"/>
        </w:rPr>
        <w:t>产生源强为0.4g/头·d，H</w:t>
      </w:r>
      <w:r>
        <w:rPr>
          <w:rFonts w:hint="default" w:ascii="Times New Roman" w:hAnsi="Times New Roman" w:cs="Times New Roman"/>
          <w:b/>
          <w:bCs/>
          <w:color w:val="auto"/>
          <w:u w:val="single"/>
          <w:vertAlign w:val="subscript"/>
        </w:rPr>
        <w:t>2</w:t>
      </w:r>
      <w:r>
        <w:rPr>
          <w:rFonts w:hint="default" w:ascii="Times New Roman" w:hAnsi="Times New Roman" w:cs="Times New Roman"/>
          <w:b/>
          <w:bCs/>
          <w:color w:val="auto"/>
          <w:u w:val="single"/>
        </w:rPr>
        <w:t>S产生源强为0.034g/头·d</w:t>
      </w:r>
      <w:r>
        <w:rPr>
          <w:rFonts w:hint="default" w:ascii="Times New Roman" w:hAnsi="Times New Roman" w:cs="Times New Roman"/>
          <w:b/>
          <w:bCs/>
          <w:color w:val="auto"/>
          <w:u w:val="single"/>
          <w:lang w:eastAsia="zh-CN"/>
        </w:rPr>
        <w:t>，后备舍猪</w:t>
      </w:r>
      <w:r>
        <w:rPr>
          <w:rFonts w:hint="default" w:ascii="Times New Roman" w:hAnsi="Times New Roman" w:cs="Times New Roman"/>
          <w:b/>
          <w:bCs/>
          <w:color w:val="auto"/>
          <w:u w:val="single"/>
        </w:rPr>
        <w:t>NH</w:t>
      </w:r>
      <w:r>
        <w:rPr>
          <w:rFonts w:hint="default" w:ascii="Times New Roman" w:hAnsi="Times New Roman" w:cs="Times New Roman"/>
          <w:b/>
          <w:bCs/>
          <w:color w:val="auto"/>
          <w:u w:val="single"/>
          <w:vertAlign w:val="subscript"/>
        </w:rPr>
        <w:t>3</w:t>
      </w:r>
      <w:r>
        <w:rPr>
          <w:rFonts w:hint="default" w:ascii="Times New Roman" w:hAnsi="Times New Roman" w:cs="Times New Roman"/>
          <w:b/>
          <w:bCs/>
          <w:color w:val="auto"/>
          <w:u w:val="single"/>
        </w:rPr>
        <w:t>产生源强为0.0</w:t>
      </w:r>
      <w:r>
        <w:rPr>
          <w:rFonts w:hint="default" w:ascii="Times New Roman" w:hAnsi="Times New Roman" w:cs="Times New Roman"/>
          <w:b/>
          <w:bCs/>
          <w:color w:val="auto"/>
          <w:u w:val="single"/>
          <w:lang w:val="en-US" w:eastAsia="zh-CN"/>
        </w:rPr>
        <w:t>4</w:t>
      </w:r>
      <w:r>
        <w:rPr>
          <w:rFonts w:hint="default" w:ascii="Times New Roman" w:hAnsi="Times New Roman" w:cs="Times New Roman"/>
          <w:b/>
          <w:bCs/>
          <w:color w:val="auto"/>
          <w:u w:val="single"/>
        </w:rPr>
        <w:t>g/头·d，H</w:t>
      </w:r>
      <w:r>
        <w:rPr>
          <w:rFonts w:hint="default" w:ascii="Times New Roman" w:hAnsi="Times New Roman" w:cs="Times New Roman"/>
          <w:b/>
          <w:bCs/>
          <w:color w:val="auto"/>
          <w:u w:val="single"/>
          <w:vertAlign w:val="subscript"/>
        </w:rPr>
        <w:t>2</w:t>
      </w:r>
      <w:r>
        <w:rPr>
          <w:rFonts w:hint="default" w:ascii="Times New Roman" w:hAnsi="Times New Roman" w:cs="Times New Roman"/>
          <w:b/>
          <w:bCs/>
          <w:color w:val="auto"/>
          <w:u w:val="single"/>
        </w:rPr>
        <w:t>S产生源强为0.</w:t>
      </w:r>
      <w:r>
        <w:rPr>
          <w:rFonts w:hint="default" w:ascii="Times New Roman" w:hAnsi="Times New Roman" w:cs="Times New Roman"/>
          <w:b/>
          <w:bCs/>
          <w:color w:val="auto"/>
          <w:u w:val="single"/>
          <w:lang w:val="en-US" w:eastAsia="zh-CN"/>
        </w:rPr>
        <w:t>0034</w:t>
      </w:r>
      <w:r>
        <w:rPr>
          <w:rFonts w:hint="default" w:ascii="Times New Roman" w:hAnsi="Times New Roman" w:cs="Times New Roman"/>
          <w:b/>
          <w:bCs/>
          <w:color w:val="auto"/>
          <w:u w:val="single"/>
        </w:rPr>
        <w:t>g/头·d，</w:t>
      </w:r>
      <w:r>
        <w:rPr>
          <w:rFonts w:hint="default" w:ascii="Times New Roman" w:hAnsi="Times New Roman" w:cs="Times New Roman"/>
          <w:color w:val="auto"/>
        </w:rPr>
        <w:t>以上数据是在猪舍没有采取任何措施的情况下的产生量。</w:t>
      </w:r>
    </w:p>
    <w:p>
      <w:pPr>
        <w:ind w:firstLine="480"/>
        <w:rPr>
          <w:rFonts w:hint="default" w:ascii="Times New Roman" w:hAnsi="Times New Roman" w:cs="Times New Roman"/>
          <w:color w:val="auto"/>
        </w:rPr>
      </w:pPr>
      <w:r>
        <w:rPr>
          <w:rFonts w:hint="default" w:ascii="Times New Roman" w:hAnsi="Times New Roman" w:cs="Times New Roman"/>
          <w:b/>
          <w:bCs/>
          <w:color w:val="auto"/>
          <w:u w:val="single"/>
        </w:rPr>
        <w:t>本项目拟采用</w:t>
      </w:r>
      <w:r>
        <w:rPr>
          <w:rFonts w:hint="default" w:ascii="Times New Roman" w:hAnsi="Times New Roman" w:cs="Times New Roman"/>
          <w:b/>
          <w:bCs/>
          <w:color w:val="auto"/>
          <w:u w:val="single"/>
          <w:lang w:eastAsia="zh-CN"/>
        </w:rPr>
        <w:t>调整饲料配方</w:t>
      </w:r>
      <w:r>
        <w:rPr>
          <w:rFonts w:hint="default" w:ascii="Times New Roman" w:hAnsi="Times New Roman" w:cs="Times New Roman"/>
          <w:b/>
          <w:bCs/>
          <w:color w:val="auto"/>
          <w:u w:val="single"/>
        </w:rPr>
        <w:t>、采用节水型饮水器、全漏缝地板及时清粪</w:t>
      </w:r>
      <w:r>
        <w:rPr>
          <w:rFonts w:hint="default" w:ascii="Times New Roman" w:hAnsi="Times New Roman" w:cs="Times New Roman"/>
          <w:b/>
          <w:bCs/>
          <w:color w:val="auto"/>
          <w:u w:val="single"/>
          <w:lang w:eastAsia="zh-CN"/>
        </w:rPr>
        <w:t>、猪舍出风口处安装过滤吸附除臭装置</w:t>
      </w:r>
      <w:r>
        <w:rPr>
          <w:rFonts w:hint="default" w:ascii="Times New Roman" w:hAnsi="Times New Roman" w:cs="Times New Roman"/>
          <w:b/>
          <w:bCs/>
          <w:color w:val="auto"/>
          <w:u w:val="single"/>
        </w:rPr>
        <w:t>等措施对项目产生的H</w:t>
      </w:r>
      <w:r>
        <w:rPr>
          <w:rFonts w:hint="default" w:ascii="Times New Roman" w:hAnsi="Times New Roman" w:cs="Times New Roman"/>
          <w:b/>
          <w:bCs/>
          <w:color w:val="auto"/>
          <w:u w:val="single"/>
          <w:vertAlign w:val="subscript"/>
        </w:rPr>
        <w:t>2</w:t>
      </w:r>
      <w:r>
        <w:rPr>
          <w:rFonts w:hint="default" w:ascii="Times New Roman" w:hAnsi="Times New Roman" w:cs="Times New Roman"/>
          <w:b/>
          <w:bCs/>
          <w:color w:val="auto"/>
          <w:u w:val="single"/>
        </w:rPr>
        <w:t>S和NH</w:t>
      </w:r>
      <w:r>
        <w:rPr>
          <w:rFonts w:hint="default" w:ascii="Times New Roman" w:hAnsi="Times New Roman" w:cs="Times New Roman"/>
          <w:b/>
          <w:bCs/>
          <w:color w:val="auto"/>
          <w:u w:val="single"/>
          <w:vertAlign w:val="subscript"/>
        </w:rPr>
        <w:t>3</w:t>
      </w:r>
      <w:r>
        <w:rPr>
          <w:rFonts w:hint="default" w:ascii="Times New Roman" w:hAnsi="Times New Roman" w:cs="Times New Roman"/>
          <w:b/>
          <w:bCs/>
          <w:color w:val="auto"/>
          <w:u w:val="single"/>
        </w:rPr>
        <w:t>进行治理。</w:t>
      </w:r>
      <w:r>
        <w:rPr>
          <w:rFonts w:hint="default" w:ascii="Times New Roman" w:hAnsi="Times New Roman" w:cs="Times New Roman"/>
          <w:color w:val="auto"/>
        </w:rPr>
        <w:t>通过以上措施可以有效抑制和去除H</w:t>
      </w:r>
      <w:r>
        <w:rPr>
          <w:rFonts w:hint="default" w:ascii="Times New Roman" w:hAnsi="Times New Roman" w:cs="Times New Roman"/>
          <w:color w:val="auto"/>
          <w:vertAlign w:val="subscript"/>
        </w:rPr>
        <w:t>2</w:t>
      </w:r>
      <w:r>
        <w:rPr>
          <w:rFonts w:hint="default" w:ascii="Times New Roman" w:hAnsi="Times New Roman" w:cs="Times New Roman"/>
          <w:color w:val="auto"/>
        </w:rPr>
        <w:t>S和NH</w:t>
      </w:r>
      <w:r>
        <w:rPr>
          <w:rFonts w:hint="default" w:ascii="Times New Roman" w:hAnsi="Times New Roman" w:cs="Times New Roman"/>
          <w:color w:val="auto"/>
          <w:vertAlign w:val="subscript"/>
        </w:rPr>
        <w:t>3</w:t>
      </w:r>
      <w:r>
        <w:rPr>
          <w:rFonts w:hint="default" w:ascii="Times New Roman" w:hAnsi="Times New Roman" w:cs="Times New Roman"/>
          <w:color w:val="auto"/>
        </w:rPr>
        <w:t>的产生量，去除效率为</w:t>
      </w:r>
      <w:r>
        <w:rPr>
          <w:rFonts w:hint="default" w:ascii="Times New Roman" w:hAnsi="Times New Roman" w:cs="Times New Roman"/>
          <w:color w:val="auto"/>
          <w:lang w:val="en-US" w:eastAsia="zh-CN"/>
        </w:rPr>
        <w:t>7</w:t>
      </w:r>
      <w:r>
        <w:rPr>
          <w:rFonts w:hint="default" w:ascii="Times New Roman" w:hAnsi="Times New Roman" w:cs="Times New Roman"/>
          <w:color w:val="auto"/>
        </w:rPr>
        <w:t>0%。通过以上措施可以有效抑制和去除H</w:t>
      </w:r>
      <w:r>
        <w:rPr>
          <w:rFonts w:hint="default" w:ascii="Times New Roman" w:hAnsi="Times New Roman" w:cs="Times New Roman"/>
          <w:color w:val="auto"/>
          <w:vertAlign w:val="subscript"/>
        </w:rPr>
        <w:t>2</w:t>
      </w:r>
      <w:r>
        <w:rPr>
          <w:rFonts w:hint="default" w:ascii="Times New Roman" w:hAnsi="Times New Roman" w:cs="Times New Roman"/>
          <w:color w:val="auto"/>
        </w:rPr>
        <w:t>S和NH</w:t>
      </w:r>
      <w:r>
        <w:rPr>
          <w:rFonts w:hint="default" w:ascii="Times New Roman" w:hAnsi="Times New Roman" w:cs="Times New Roman"/>
          <w:color w:val="auto"/>
          <w:vertAlign w:val="subscript"/>
        </w:rPr>
        <w:t>3</w:t>
      </w:r>
      <w:r>
        <w:rPr>
          <w:rFonts w:hint="default" w:ascii="Times New Roman" w:hAnsi="Times New Roman" w:cs="Times New Roman"/>
          <w:color w:val="auto"/>
        </w:rPr>
        <w:t>的产生量，恶臭控制及处置措施可行。</w:t>
      </w:r>
    </w:p>
    <w:p>
      <w:pPr>
        <w:spacing w:afterLines="30" w:line="500" w:lineRule="exact"/>
        <w:ind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表3.3-5               本项目养殖过程猪舍恶臭气体产排情况</w:t>
      </w:r>
    </w:p>
    <w:tbl>
      <w:tblPr>
        <w:tblStyle w:val="25"/>
        <w:tblW w:w="878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178"/>
        <w:gridCol w:w="1178"/>
        <w:gridCol w:w="1137"/>
        <w:gridCol w:w="1141"/>
        <w:gridCol w:w="1942"/>
        <w:gridCol w:w="1104"/>
        <w:gridCol w:w="110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178"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污染源</w:t>
            </w:r>
          </w:p>
        </w:tc>
        <w:tc>
          <w:tcPr>
            <w:tcW w:w="1178" w:type="dxa"/>
            <w:vMerge w:val="restart"/>
            <w:vAlign w:val="center"/>
          </w:tcPr>
          <w:p>
            <w:pPr>
              <w:spacing w:line="240" w:lineRule="auto"/>
              <w:ind w:left="-120" w:leftChars="-50" w:right="-120" w:rightChars="-5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存栏数(头)</w:t>
            </w:r>
          </w:p>
        </w:tc>
        <w:tc>
          <w:tcPr>
            <w:tcW w:w="2278" w:type="dxa"/>
            <w:gridSpan w:val="2"/>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污染物产生量（kg/d）</w:t>
            </w:r>
          </w:p>
        </w:tc>
        <w:tc>
          <w:tcPr>
            <w:tcW w:w="1942" w:type="dxa"/>
            <w:vMerge w:val="restart"/>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拟处理措施</w:t>
            </w:r>
          </w:p>
        </w:tc>
        <w:tc>
          <w:tcPr>
            <w:tcW w:w="2206" w:type="dxa"/>
            <w:gridSpan w:val="2"/>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污染物排放量（kg/d）</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178"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178"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137"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w:t>
            </w:r>
          </w:p>
        </w:tc>
        <w:tc>
          <w:tcPr>
            <w:tcW w:w="1141"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p>
        </w:tc>
        <w:tc>
          <w:tcPr>
            <w:tcW w:w="1942"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p>
        </w:tc>
        <w:tc>
          <w:tcPr>
            <w:tcW w:w="1104"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w:t>
            </w:r>
          </w:p>
        </w:tc>
        <w:tc>
          <w:tcPr>
            <w:tcW w:w="1102"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25" w:hRule="atLeast"/>
        </w:trPr>
        <w:tc>
          <w:tcPr>
            <w:tcW w:w="117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怀孕舍</w:t>
            </w:r>
          </w:p>
        </w:tc>
        <w:tc>
          <w:tcPr>
            <w:tcW w:w="117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6500</w:t>
            </w:r>
          </w:p>
        </w:tc>
        <w:tc>
          <w:tcPr>
            <w:tcW w:w="1137"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0.132</w:t>
            </w:r>
          </w:p>
        </w:tc>
        <w:tc>
          <w:tcPr>
            <w:tcW w:w="1141"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1.56</w:t>
            </w:r>
          </w:p>
        </w:tc>
        <w:tc>
          <w:tcPr>
            <w:tcW w:w="1942" w:type="dxa"/>
            <w:vMerge w:val="restart"/>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调整饲料配方</w:t>
            </w:r>
            <w:r>
              <w:rPr>
                <w:rFonts w:hint="default" w:ascii="Times New Roman" w:hAnsi="Times New Roman" w:cs="Times New Roman"/>
                <w:color w:val="auto"/>
                <w:sz w:val="21"/>
                <w:szCs w:val="21"/>
              </w:rPr>
              <w:t>、采用节水型饮水器、全漏缝地板及时清粪</w:t>
            </w:r>
            <w:r>
              <w:rPr>
                <w:rFonts w:hint="default" w:ascii="Times New Roman" w:hAnsi="Times New Roman" w:cs="Times New Roman"/>
                <w:color w:val="auto"/>
                <w:sz w:val="21"/>
                <w:szCs w:val="21"/>
                <w:lang w:eastAsia="zh-CN"/>
              </w:rPr>
              <w:t>，猪舍出风口处安装过滤吸附除臭装置</w:t>
            </w:r>
            <w:r>
              <w:rPr>
                <w:rFonts w:hint="default" w:ascii="Times New Roman" w:hAnsi="Times New Roman" w:cs="Times New Roman"/>
                <w:color w:val="auto"/>
                <w:sz w:val="21"/>
                <w:szCs w:val="21"/>
              </w:rPr>
              <w:t>等，恶臭去除效率可达到</w:t>
            </w:r>
            <w:r>
              <w:rPr>
                <w:rFonts w:hint="default"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rPr>
              <w:t>0%</w:t>
            </w:r>
          </w:p>
        </w:tc>
        <w:tc>
          <w:tcPr>
            <w:tcW w:w="1104"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0.0396</w:t>
            </w:r>
          </w:p>
        </w:tc>
        <w:tc>
          <w:tcPr>
            <w:tcW w:w="1102"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17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哺乳舍</w:t>
            </w:r>
          </w:p>
        </w:tc>
        <w:tc>
          <w:tcPr>
            <w:tcW w:w="117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1000</w:t>
            </w:r>
          </w:p>
        </w:tc>
        <w:tc>
          <w:tcPr>
            <w:tcW w:w="1137"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0.034</w:t>
            </w:r>
          </w:p>
        </w:tc>
        <w:tc>
          <w:tcPr>
            <w:tcW w:w="1141"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w:t>
            </w:r>
          </w:p>
        </w:tc>
        <w:tc>
          <w:tcPr>
            <w:tcW w:w="1942"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p>
        </w:tc>
        <w:tc>
          <w:tcPr>
            <w:tcW w:w="1104"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0.0102</w:t>
            </w:r>
          </w:p>
        </w:tc>
        <w:tc>
          <w:tcPr>
            <w:tcW w:w="1102"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178" w:type="dxa"/>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后备舍</w:t>
            </w:r>
          </w:p>
        </w:tc>
        <w:tc>
          <w:tcPr>
            <w:tcW w:w="1178" w:type="dxa"/>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1400</w:t>
            </w:r>
          </w:p>
        </w:tc>
        <w:tc>
          <w:tcPr>
            <w:tcW w:w="1137" w:type="dxa"/>
            <w:tcMar>
              <w:left w:w="0" w:type="dxa"/>
              <w:right w:w="0"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0.005</w:t>
            </w:r>
          </w:p>
        </w:tc>
        <w:tc>
          <w:tcPr>
            <w:tcW w:w="1141" w:type="dxa"/>
            <w:tcMar>
              <w:left w:w="0" w:type="dxa"/>
              <w:right w:w="0"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0.056</w:t>
            </w:r>
          </w:p>
        </w:tc>
        <w:tc>
          <w:tcPr>
            <w:tcW w:w="1942"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p>
        </w:tc>
        <w:tc>
          <w:tcPr>
            <w:tcW w:w="1104" w:type="dxa"/>
            <w:tcMar>
              <w:left w:w="0" w:type="dxa"/>
              <w:right w:w="0"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0.0015</w:t>
            </w:r>
          </w:p>
        </w:tc>
        <w:tc>
          <w:tcPr>
            <w:tcW w:w="1102" w:type="dxa"/>
            <w:tcMar>
              <w:left w:w="0" w:type="dxa"/>
              <w:right w:w="0"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0.0168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178" w:type="dxa"/>
            <w:vAlign w:val="center"/>
          </w:tcPr>
          <w:p>
            <w:pPr>
              <w:spacing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合计</w:t>
            </w:r>
          </w:p>
        </w:tc>
        <w:tc>
          <w:tcPr>
            <w:tcW w:w="1178" w:type="dxa"/>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137"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0.171</w:t>
            </w:r>
          </w:p>
        </w:tc>
        <w:tc>
          <w:tcPr>
            <w:tcW w:w="1141"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2.016</w:t>
            </w:r>
          </w:p>
        </w:tc>
        <w:tc>
          <w:tcPr>
            <w:tcW w:w="1942"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p>
        </w:tc>
        <w:tc>
          <w:tcPr>
            <w:tcW w:w="1104"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0.0513</w:t>
            </w:r>
          </w:p>
        </w:tc>
        <w:tc>
          <w:tcPr>
            <w:tcW w:w="1102"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0.6048</w:t>
            </w:r>
          </w:p>
        </w:tc>
      </w:tr>
    </w:tbl>
    <w:p>
      <w:pPr>
        <w:ind w:firstLine="480"/>
        <w:rPr>
          <w:rFonts w:hint="default" w:ascii="Times New Roman" w:hAnsi="Times New Roman" w:cs="Times New Roman"/>
          <w:color w:val="auto"/>
        </w:rPr>
      </w:pPr>
      <w:r>
        <w:rPr>
          <w:rFonts w:hint="default" w:ascii="Times New Roman" w:hAnsi="Times New Roman" w:cs="Times New Roman"/>
          <w:color w:val="auto"/>
        </w:rPr>
        <w:t>（2）污水处理系统恶臭</w:t>
      </w:r>
    </w:p>
    <w:p>
      <w:pPr>
        <w:ind w:firstLine="480"/>
        <w:rPr>
          <w:rFonts w:hint="default" w:ascii="Times New Roman" w:hAnsi="Times New Roman" w:cs="Times New Roman"/>
          <w:color w:val="auto"/>
          <w:highlight w:val="yellow"/>
        </w:rPr>
      </w:pPr>
      <w:r>
        <w:rPr>
          <w:rFonts w:hint="default" w:ascii="Times New Roman" w:hAnsi="Times New Roman" w:cs="Times New Roman"/>
          <w:color w:val="auto"/>
        </w:rPr>
        <w:t>沼气池恶臭源强：根据美国EPA对城市污水处理厂恶臭污染物产生情况的研究，</w:t>
      </w:r>
      <w:r>
        <w:rPr>
          <w:rFonts w:hint="default" w:ascii="Times New Roman" w:hAnsi="Times New Roman" w:cs="Times New Roman"/>
          <w:b/>
          <w:bCs/>
          <w:color w:val="auto"/>
          <w:u w:val="single"/>
        </w:rPr>
        <w:t>每处理1gBOD</w:t>
      </w:r>
      <w:r>
        <w:rPr>
          <w:rFonts w:hint="default" w:ascii="Times New Roman" w:hAnsi="Times New Roman" w:cs="Times New Roman"/>
          <w:b/>
          <w:bCs/>
          <w:color w:val="auto"/>
          <w:u w:val="single"/>
          <w:vertAlign w:val="subscript"/>
        </w:rPr>
        <w:t>5</w:t>
      </w:r>
      <w:r>
        <w:rPr>
          <w:rFonts w:hint="default" w:ascii="Times New Roman" w:hAnsi="Times New Roman" w:cs="Times New Roman"/>
          <w:b/>
          <w:bCs/>
          <w:color w:val="auto"/>
          <w:u w:val="single"/>
        </w:rPr>
        <w:t>可产生0.0031gNH</w:t>
      </w:r>
      <w:r>
        <w:rPr>
          <w:rFonts w:hint="default" w:ascii="Times New Roman" w:hAnsi="Times New Roman" w:cs="Times New Roman"/>
          <w:b/>
          <w:bCs/>
          <w:color w:val="auto"/>
          <w:u w:val="single"/>
          <w:vertAlign w:val="subscript"/>
        </w:rPr>
        <w:t>3</w:t>
      </w:r>
      <w:r>
        <w:rPr>
          <w:rFonts w:hint="default" w:ascii="Times New Roman" w:hAnsi="Times New Roman" w:cs="Times New Roman"/>
          <w:b/>
          <w:bCs/>
          <w:color w:val="auto"/>
          <w:u w:val="single"/>
        </w:rPr>
        <w:t>和0.00012gH</w:t>
      </w:r>
      <w:r>
        <w:rPr>
          <w:rFonts w:hint="default" w:ascii="Times New Roman" w:hAnsi="Times New Roman" w:cs="Times New Roman"/>
          <w:b/>
          <w:bCs/>
          <w:color w:val="auto"/>
          <w:u w:val="single"/>
          <w:vertAlign w:val="subscript"/>
        </w:rPr>
        <w:t>2</w:t>
      </w:r>
      <w:r>
        <w:rPr>
          <w:rFonts w:hint="default" w:ascii="Times New Roman" w:hAnsi="Times New Roman" w:cs="Times New Roman"/>
          <w:b/>
          <w:bCs/>
          <w:color w:val="auto"/>
          <w:u w:val="single"/>
        </w:rPr>
        <w:t>S。本项目废水产生量为36286.706m</w:t>
      </w:r>
      <w:r>
        <w:rPr>
          <w:rFonts w:hint="default" w:ascii="Times New Roman" w:hAnsi="Times New Roman" w:cs="Times New Roman"/>
          <w:b/>
          <w:bCs/>
          <w:color w:val="auto"/>
          <w:u w:val="single"/>
          <w:vertAlign w:val="superscript"/>
        </w:rPr>
        <w:t>3</w:t>
      </w:r>
      <w:r>
        <w:rPr>
          <w:rFonts w:hint="default" w:ascii="Times New Roman" w:hAnsi="Times New Roman" w:cs="Times New Roman"/>
          <w:b/>
          <w:bCs/>
          <w:color w:val="auto"/>
          <w:u w:val="single"/>
        </w:rPr>
        <w:t>/a，BOD</w:t>
      </w:r>
      <w:r>
        <w:rPr>
          <w:rFonts w:hint="default" w:ascii="Times New Roman" w:hAnsi="Times New Roman" w:cs="Times New Roman"/>
          <w:b/>
          <w:bCs/>
          <w:color w:val="auto"/>
          <w:u w:val="single"/>
          <w:vertAlign w:val="subscript"/>
        </w:rPr>
        <w:t>5</w:t>
      </w:r>
      <w:r>
        <w:rPr>
          <w:rFonts w:hint="default" w:ascii="Times New Roman" w:hAnsi="Times New Roman" w:cs="Times New Roman"/>
          <w:b/>
          <w:bCs/>
          <w:color w:val="auto"/>
          <w:u w:val="single"/>
        </w:rPr>
        <w:t>去除量为166.92t/a，则污水处理过程NH</w:t>
      </w:r>
      <w:r>
        <w:rPr>
          <w:rFonts w:hint="default" w:ascii="Times New Roman" w:hAnsi="Times New Roman" w:cs="Times New Roman"/>
          <w:b/>
          <w:bCs/>
          <w:color w:val="auto"/>
          <w:u w:val="single"/>
          <w:vertAlign w:val="subscript"/>
        </w:rPr>
        <w:t>3</w:t>
      </w:r>
      <w:r>
        <w:rPr>
          <w:rFonts w:hint="default" w:ascii="Times New Roman" w:hAnsi="Times New Roman" w:cs="Times New Roman"/>
          <w:b/>
          <w:bCs/>
          <w:color w:val="auto"/>
          <w:u w:val="single"/>
        </w:rPr>
        <w:t>产生量为0.517t/a（0.06kg/h），H</w:t>
      </w:r>
      <w:r>
        <w:rPr>
          <w:rFonts w:hint="default" w:ascii="Times New Roman" w:hAnsi="Times New Roman" w:cs="Times New Roman"/>
          <w:b/>
          <w:bCs/>
          <w:color w:val="auto"/>
          <w:u w:val="single"/>
          <w:vertAlign w:val="subscript"/>
        </w:rPr>
        <w:t>2</w:t>
      </w:r>
      <w:r>
        <w:rPr>
          <w:rFonts w:hint="default" w:ascii="Times New Roman" w:hAnsi="Times New Roman" w:cs="Times New Roman"/>
          <w:b/>
          <w:bCs/>
          <w:color w:val="auto"/>
          <w:u w:val="single"/>
        </w:rPr>
        <w:t>S产生量为0.02t/a（0.002kg/h）</w:t>
      </w:r>
      <w:r>
        <w:rPr>
          <w:rFonts w:hint="default" w:ascii="Times New Roman" w:hAnsi="Times New Roman" w:cs="Times New Roman"/>
          <w:color w:val="auto"/>
        </w:rPr>
        <w:t>。</w:t>
      </w:r>
      <w:r>
        <w:rPr>
          <w:rFonts w:hint="default" w:ascii="Times New Roman" w:hAnsi="Times New Roman" w:cs="Times New Roman"/>
          <w:b/>
          <w:bCs/>
          <w:color w:val="auto"/>
          <w:u w:val="single"/>
        </w:rPr>
        <w:t>为进一步减小项目污水处理过程恶臭气体对周边环境的影响，污水处理站进行密闭，对污水前处理系统区域喷洒除臭剂，并加强场区绿化。臭气去除效率可达到70%，</w:t>
      </w:r>
      <w:r>
        <w:rPr>
          <w:rFonts w:hint="default" w:ascii="Times New Roman" w:hAnsi="Times New Roman" w:cs="Times New Roman"/>
          <w:color w:val="auto"/>
        </w:rPr>
        <w:t>则臭气排放量为NH</w:t>
      </w:r>
      <w:r>
        <w:rPr>
          <w:rFonts w:hint="default" w:ascii="Times New Roman" w:hAnsi="Times New Roman" w:cs="Times New Roman"/>
          <w:color w:val="auto"/>
          <w:vertAlign w:val="subscript"/>
        </w:rPr>
        <w:t>3</w:t>
      </w:r>
      <w:r>
        <w:rPr>
          <w:rFonts w:hint="default" w:ascii="Times New Roman" w:hAnsi="Times New Roman" w:cs="Times New Roman"/>
          <w:color w:val="auto"/>
        </w:rPr>
        <w:t>0.155t/a（0.018kg/h），H</w:t>
      </w:r>
      <w:r>
        <w:rPr>
          <w:rFonts w:hint="default" w:ascii="Times New Roman" w:hAnsi="Times New Roman" w:cs="Times New Roman"/>
          <w:color w:val="auto"/>
          <w:vertAlign w:val="subscript"/>
        </w:rPr>
        <w:t>2</w:t>
      </w:r>
      <w:r>
        <w:rPr>
          <w:rFonts w:hint="default" w:ascii="Times New Roman" w:hAnsi="Times New Roman" w:cs="Times New Roman"/>
          <w:color w:val="auto"/>
        </w:rPr>
        <w:t>S排放量为0.006t/a（0.0006kg/h）。</w:t>
      </w:r>
    </w:p>
    <w:p>
      <w:pPr>
        <w:ind w:firstLine="480"/>
        <w:rPr>
          <w:rFonts w:hint="default" w:ascii="Times New Roman" w:hAnsi="Times New Roman" w:cs="Times New Roman"/>
          <w:color w:val="auto"/>
        </w:rPr>
      </w:pPr>
      <w:r>
        <w:rPr>
          <w:rFonts w:hint="default" w:ascii="Times New Roman" w:hAnsi="Times New Roman" w:cs="Times New Roman"/>
          <w:color w:val="auto"/>
        </w:rPr>
        <w:t>（3）固粪处理区恶臭</w:t>
      </w:r>
    </w:p>
    <w:p>
      <w:pPr>
        <w:ind w:firstLine="480"/>
        <w:rPr>
          <w:rFonts w:hint="default" w:ascii="Times New Roman" w:hAnsi="Times New Roman" w:cs="Times New Roman"/>
          <w:color w:val="auto"/>
        </w:rPr>
      </w:pPr>
      <w:r>
        <w:rPr>
          <w:rFonts w:hint="default" w:ascii="Times New Roman" w:hAnsi="Times New Roman" w:cs="Times New Roman"/>
          <w:b w:val="0"/>
          <w:bCs w:val="0"/>
          <w:color w:val="auto"/>
          <w:sz w:val="24"/>
          <w:u w:val="none"/>
        </w:rPr>
        <w:t>项目猪粪经固液分离后运至</w:t>
      </w:r>
      <w:r>
        <w:rPr>
          <w:rFonts w:hint="default" w:ascii="Times New Roman" w:hAnsi="Times New Roman" w:eastAsia="宋体" w:cs="Times New Roman"/>
          <w:b w:val="0"/>
          <w:bCs w:val="0"/>
          <w:color w:val="auto"/>
          <w:sz w:val="24"/>
          <w:u w:val="none"/>
          <w:lang w:eastAsia="zh-CN"/>
        </w:rPr>
        <w:t>固粪处理区</w:t>
      </w:r>
      <w:r>
        <w:rPr>
          <w:rFonts w:hint="default" w:ascii="Times New Roman" w:hAnsi="Times New Roman" w:cs="Times New Roman"/>
          <w:b w:val="0"/>
          <w:bCs w:val="0"/>
          <w:color w:val="auto"/>
          <w:sz w:val="24"/>
          <w:u w:val="none"/>
        </w:rPr>
        <w:t>制成有机肥</w:t>
      </w:r>
      <w:r>
        <w:rPr>
          <w:rFonts w:hint="default" w:ascii="Times New Roman" w:hAnsi="Times New Roman" w:cs="Times New Roman"/>
          <w:b w:val="0"/>
          <w:bCs w:val="0"/>
          <w:color w:val="auto"/>
          <w:sz w:val="24"/>
          <w:u w:val="none"/>
          <w:lang w:eastAsia="zh-CN"/>
        </w:rPr>
        <w:t>基料</w:t>
      </w:r>
      <w:r>
        <w:rPr>
          <w:rFonts w:hint="default" w:ascii="Times New Roman" w:hAnsi="Times New Roman" w:cs="Times New Roman"/>
          <w:b w:val="0"/>
          <w:bCs w:val="0"/>
          <w:color w:val="auto"/>
          <w:sz w:val="24"/>
          <w:u w:val="none"/>
        </w:rPr>
        <w:t>。建设单位拟设置1个</w:t>
      </w:r>
      <w:r>
        <w:rPr>
          <w:rFonts w:hint="default" w:ascii="Times New Roman" w:hAnsi="Times New Roman" w:cs="Times New Roman"/>
          <w:b w:val="0"/>
          <w:bCs w:val="0"/>
          <w:color w:val="auto"/>
          <w:sz w:val="24"/>
          <w:u w:val="none"/>
          <w:lang w:eastAsia="zh-CN"/>
        </w:rPr>
        <w:t>固粪处理区</w:t>
      </w:r>
      <w:r>
        <w:rPr>
          <w:rFonts w:hint="default" w:ascii="Times New Roman" w:hAnsi="Times New Roman" w:cs="Times New Roman"/>
          <w:b w:val="0"/>
          <w:bCs w:val="0"/>
          <w:color w:val="auto"/>
          <w:sz w:val="24"/>
          <w:u w:val="none"/>
        </w:rPr>
        <w:t>面积</w:t>
      </w:r>
      <w:r>
        <w:rPr>
          <w:rFonts w:hint="default" w:ascii="Times New Roman" w:hAnsi="Times New Roman" w:cs="Times New Roman"/>
          <w:b w:val="0"/>
          <w:bCs w:val="0"/>
          <w:color w:val="auto"/>
          <w:sz w:val="24"/>
          <w:u w:val="none"/>
          <w:lang w:val="en-US" w:eastAsia="zh-CN"/>
        </w:rPr>
        <w:t>588</w:t>
      </w:r>
      <w:r>
        <w:rPr>
          <w:rFonts w:hint="default" w:ascii="Times New Roman" w:hAnsi="Times New Roman" w:cs="Times New Roman"/>
          <w:b w:val="0"/>
          <w:bCs w:val="0"/>
          <w:color w:val="auto"/>
          <w:sz w:val="24"/>
          <w:u w:val="none"/>
        </w:rPr>
        <w:t>m</w:t>
      </w:r>
      <w:r>
        <w:rPr>
          <w:rFonts w:hint="default" w:ascii="Times New Roman" w:hAnsi="Times New Roman" w:cs="Times New Roman"/>
          <w:b w:val="0"/>
          <w:bCs w:val="0"/>
          <w:color w:val="auto"/>
          <w:sz w:val="24"/>
          <w:u w:val="none"/>
          <w:vertAlign w:val="superscript"/>
        </w:rPr>
        <w:t>2</w:t>
      </w:r>
      <w:r>
        <w:rPr>
          <w:rFonts w:hint="default" w:ascii="Times New Roman" w:hAnsi="Times New Roman" w:cs="Times New Roman"/>
          <w:b w:val="0"/>
          <w:bCs w:val="0"/>
          <w:color w:val="auto"/>
          <w:sz w:val="24"/>
          <w:u w:val="none"/>
        </w:rPr>
        <w:t>，在</w:t>
      </w:r>
      <w:r>
        <w:rPr>
          <w:rFonts w:hint="default" w:ascii="Times New Roman" w:hAnsi="Times New Roman" w:eastAsia="宋体" w:cs="Times New Roman"/>
          <w:b w:val="0"/>
          <w:bCs w:val="0"/>
          <w:color w:val="auto"/>
          <w:sz w:val="24"/>
          <w:u w:val="none"/>
          <w:lang w:eastAsia="zh-CN"/>
        </w:rPr>
        <w:t>固粪处理区</w:t>
      </w:r>
      <w:r>
        <w:rPr>
          <w:rFonts w:hint="default" w:ascii="Times New Roman" w:hAnsi="Times New Roman" w:cs="Times New Roman"/>
          <w:b w:val="0"/>
          <w:bCs w:val="0"/>
          <w:color w:val="auto"/>
          <w:sz w:val="24"/>
          <w:u w:val="none"/>
        </w:rPr>
        <w:t>通过喷洒生物型除臭剂对恶臭气体进行脱臭处理，根据类比牧原公司内乡十五场猪场</w:t>
      </w:r>
      <w:r>
        <w:rPr>
          <w:rFonts w:hint="default" w:ascii="Times New Roman" w:hAnsi="Times New Roman" w:cs="Times New Roman"/>
          <w:b/>
          <w:bCs/>
          <w:color w:val="auto"/>
          <w:sz w:val="24"/>
          <w:u w:val="single"/>
        </w:rPr>
        <w:t>，现有工艺H</w:t>
      </w:r>
      <w:r>
        <w:rPr>
          <w:rFonts w:hint="default" w:ascii="Times New Roman" w:hAnsi="Times New Roman" w:cs="Times New Roman"/>
          <w:b/>
          <w:bCs/>
          <w:color w:val="auto"/>
          <w:sz w:val="24"/>
          <w:u w:val="single"/>
          <w:vertAlign w:val="subscript"/>
        </w:rPr>
        <w:t>2</w:t>
      </w:r>
      <w:r>
        <w:rPr>
          <w:rFonts w:hint="default" w:ascii="Times New Roman" w:hAnsi="Times New Roman" w:cs="Times New Roman"/>
          <w:b/>
          <w:bCs/>
          <w:color w:val="auto"/>
          <w:sz w:val="24"/>
          <w:u w:val="single"/>
        </w:rPr>
        <w:t>S的产生速率为0.3g/m</w:t>
      </w:r>
      <w:r>
        <w:rPr>
          <w:rFonts w:hint="default" w:ascii="Times New Roman" w:hAnsi="Times New Roman" w:cs="Times New Roman"/>
          <w:b/>
          <w:bCs/>
          <w:color w:val="auto"/>
          <w:sz w:val="24"/>
          <w:u w:val="single"/>
          <w:vertAlign w:val="superscript"/>
        </w:rPr>
        <w:t>2</w:t>
      </w:r>
      <w:r>
        <w:rPr>
          <w:rFonts w:hint="default" w:ascii="Times New Roman" w:hAnsi="Times New Roman" w:cs="Times New Roman"/>
          <w:b/>
          <w:bCs/>
          <w:color w:val="auto"/>
          <w:sz w:val="24"/>
          <w:u w:val="single"/>
        </w:rPr>
        <w:t>*d，NH</w:t>
      </w:r>
      <w:r>
        <w:rPr>
          <w:rFonts w:hint="default" w:ascii="Times New Roman" w:hAnsi="Times New Roman" w:cs="Times New Roman"/>
          <w:b/>
          <w:bCs/>
          <w:color w:val="auto"/>
          <w:sz w:val="24"/>
          <w:u w:val="single"/>
          <w:vertAlign w:val="subscript"/>
        </w:rPr>
        <w:t>3</w:t>
      </w:r>
      <w:r>
        <w:rPr>
          <w:rFonts w:hint="default" w:ascii="Times New Roman" w:hAnsi="Times New Roman" w:cs="Times New Roman"/>
          <w:b/>
          <w:bCs/>
          <w:color w:val="auto"/>
          <w:sz w:val="24"/>
          <w:u w:val="single"/>
        </w:rPr>
        <w:t>的产生速率为5g/m</w:t>
      </w:r>
      <w:r>
        <w:rPr>
          <w:rFonts w:hint="default" w:ascii="Times New Roman" w:hAnsi="Times New Roman" w:cs="Times New Roman"/>
          <w:b/>
          <w:bCs/>
          <w:color w:val="auto"/>
          <w:sz w:val="24"/>
          <w:u w:val="single"/>
          <w:vertAlign w:val="superscript"/>
        </w:rPr>
        <w:t>2</w:t>
      </w:r>
      <w:r>
        <w:rPr>
          <w:rFonts w:hint="default" w:ascii="Times New Roman" w:hAnsi="Times New Roman" w:cs="Times New Roman"/>
          <w:b/>
          <w:bCs/>
          <w:color w:val="auto"/>
          <w:sz w:val="24"/>
          <w:u w:val="single"/>
        </w:rPr>
        <w:t>*d，则H</w:t>
      </w:r>
      <w:r>
        <w:rPr>
          <w:rFonts w:hint="default" w:ascii="Times New Roman" w:hAnsi="Times New Roman" w:cs="Times New Roman"/>
          <w:b/>
          <w:bCs/>
          <w:color w:val="auto"/>
          <w:sz w:val="24"/>
          <w:u w:val="single"/>
          <w:vertAlign w:val="subscript"/>
        </w:rPr>
        <w:t>2</w:t>
      </w:r>
      <w:r>
        <w:rPr>
          <w:rFonts w:hint="default" w:ascii="Times New Roman" w:hAnsi="Times New Roman" w:cs="Times New Roman"/>
          <w:b/>
          <w:bCs/>
          <w:color w:val="auto"/>
          <w:sz w:val="24"/>
          <w:u w:val="single"/>
        </w:rPr>
        <w:t>S和NH</w:t>
      </w:r>
      <w:r>
        <w:rPr>
          <w:rFonts w:hint="default" w:ascii="Times New Roman" w:hAnsi="Times New Roman" w:cs="Times New Roman"/>
          <w:b/>
          <w:bCs/>
          <w:color w:val="auto"/>
          <w:sz w:val="24"/>
          <w:u w:val="single"/>
          <w:vertAlign w:val="subscript"/>
        </w:rPr>
        <w:t>3</w:t>
      </w:r>
      <w:r>
        <w:rPr>
          <w:rFonts w:hint="default" w:ascii="Times New Roman" w:hAnsi="Times New Roman" w:cs="Times New Roman"/>
          <w:b/>
          <w:bCs/>
          <w:color w:val="auto"/>
          <w:sz w:val="24"/>
          <w:u w:val="single"/>
        </w:rPr>
        <w:t>的产生量均为</w:t>
      </w:r>
      <w:r>
        <w:rPr>
          <w:rFonts w:hint="default" w:ascii="Times New Roman" w:hAnsi="Times New Roman" w:cs="Times New Roman"/>
          <w:b/>
          <w:bCs/>
          <w:color w:val="auto"/>
          <w:sz w:val="24"/>
          <w:u w:val="single"/>
          <w:lang w:val="en-US" w:eastAsia="zh-CN"/>
        </w:rPr>
        <w:t>0.176</w:t>
      </w:r>
      <w:r>
        <w:rPr>
          <w:rFonts w:hint="default" w:ascii="Times New Roman" w:hAnsi="Times New Roman" w:cs="Times New Roman"/>
          <w:b/>
          <w:bCs/>
          <w:color w:val="auto"/>
          <w:sz w:val="24"/>
          <w:u w:val="single"/>
        </w:rPr>
        <w:t>kg/d（</w:t>
      </w:r>
      <w:r>
        <w:rPr>
          <w:rFonts w:hint="default" w:ascii="Times New Roman" w:hAnsi="Times New Roman" w:cs="Times New Roman"/>
          <w:b/>
          <w:bCs/>
          <w:color w:val="auto"/>
          <w:sz w:val="24"/>
          <w:u w:val="single"/>
          <w:lang w:val="en-US" w:eastAsia="zh-CN"/>
        </w:rPr>
        <w:t>0.064</w:t>
      </w:r>
      <w:r>
        <w:rPr>
          <w:rFonts w:hint="default" w:ascii="Times New Roman" w:hAnsi="Times New Roman" w:cs="Times New Roman"/>
          <w:b/>
          <w:bCs/>
          <w:color w:val="auto"/>
          <w:sz w:val="24"/>
          <w:u w:val="single"/>
        </w:rPr>
        <w:t>t/a）、</w:t>
      </w:r>
      <w:r>
        <w:rPr>
          <w:rFonts w:hint="default" w:ascii="Times New Roman" w:hAnsi="Times New Roman" w:cs="Times New Roman"/>
          <w:b/>
          <w:bCs/>
          <w:color w:val="auto"/>
          <w:sz w:val="24"/>
          <w:u w:val="single"/>
          <w:lang w:val="en-US" w:eastAsia="zh-CN"/>
        </w:rPr>
        <w:t>2.94</w:t>
      </w:r>
      <w:r>
        <w:rPr>
          <w:rFonts w:hint="default" w:ascii="Times New Roman" w:hAnsi="Times New Roman" w:cs="Times New Roman"/>
          <w:b/>
          <w:bCs/>
          <w:color w:val="auto"/>
          <w:sz w:val="24"/>
          <w:u w:val="single"/>
        </w:rPr>
        <w:t>kg/d（</w:t>
      </w:r>
      <w:r>
        <w:rPr>
          <w:rFonts w:hint="default" w:ascii="Times New Roman" w:hAnsi="Times New Roman" w:cs="Times New Roman"/>
          <w:b/>
          <w:bCs/>
          <w:color w:val="auto"/>
          <w:sz w:val="24"/>
          <w:u w:val="single"/>
          <w:lang w:val="en-US" w:eastAsia="zh-CN"/>
        </w:rPr>
        <w:t>1.073</w:t>
      </w:r>
      <w:r>
        <w:rPr>
          <w:rFonts w:hint="default" w:ascii="Times New Roman" w:hAnsi="Times New Roman" w:cs="Times New Roman"/>
          <w:b/>
          <w:bCs/>
          <w:color w:val="auto"/>
          <w:sz w:val="24"/>
          <w:u w:val="single"/>
        </w:rPr>
        <w:t>t/a）。</w:t>
      </w:r>
      <w:r>
        <w:rPr>
          <w:rFonts w:hint="default" w:ascii="Times New Roman" w:hAnsi="Times New Roman" w:cs="Times New Roman"/>
          <w:b/>
          <w:bCs/>
          <w:color w:val="auto"/>
          <w:sz w:val="24"/>
          <w:szCs w:val="24"/>
          <w:u w:val="single"/>
        </w:rPr>
        <w:t>固粪处理区采取强制排风方式，固粪处理区</w:t>
      </w:r>
      <w:r>
        <w:rPr>
          <w:rFonts w:hint="default" w:ascii="Times New Roman" w:hAnsi="Times New Roman" w:cs="Times New Roman"/>
          <w:b/>
          <w:bCs/>
          <w:color w:val="auto"/>
          <w:sz w:val="24"/>
          <w:szCs w:val="24"/>
          <w:u w:val="single"/>
          <w:lang w:eastAsia="zh-CN"/>
        </w:rPr>
        <w:t>排风口</w:t>
      </w:r>
      <w:r>
        <w:rPr>
          <w:rFonts w:hint="default" w:ascii="Times New Roman" w:hAnsi="Times New Roman" w:cs="Times New Roman"/>
          <w:b/>
          <w:bCs/>
          <w:color w:val="auto"/>
          <w:sz w:val="24"/>
          <w:szCs w:val="24"/>
          <w:u w:val="single"/>
        </w:rPr>
        <w:t>经风机引出进入UV光解+水帘除臭装置处理后通过排放口排放</w:t>
      </w:r>
      <w:r>
        <w:rPr>
          <w:rFonts w:hint="default" w:ascii="Times New Roman" w:hAnsi="Times New Roman" w:cs="Times New Roman"/>
          <w:b/>
          <w:bCs/>
          <w:color w:val="auto"/>
          <w:sz w:val="24"/>
          <w:u w:val="single"/>
        </w:rPr>
        <w:t>，臭气去除效率可达到70%计算，</w:t>
      </w:r>
      <w:r>
        <w:rPr>
          <w:rFonts w:hint="default" w:ascii="Times New Roman" w:hAnsi="Times New Roman" w:cs="Times New Roman"/>
          <w:b w:val="0"/>
          <w:bCs w:val="0"/>
          <w:color w:val="auto"/>
          <w:sz w:val="24"/>
          <w:u w:val="none"/>
        </w:rPr>
        <w:t>则</w:t>
      </w:r>
      <w:r>
        <w:rPr>
          <w:rFonts w:hint="default" w:ascii="Times New Roman" w:hAnsi="Times New Roman" w:cs="Times New Roman"/>
          <w:b w:val="0"/>
          <w:bCs w:val="0"/>
          <w:color w:val="auto"/>
          <w:sz w:val="24"/>
          <w:highlight w:val="none"/>
          <w:u w:val="none"/>
        </w:rPr>
        <w:t>臭气排放量为NH</w:t>
      </w:r>
      <w:r>
        <w:rPr>
          <w:rFonts w:hint="default" w:ascii="Times New Roman" w:hAnsi="Times New Roman" w:cs="Times New Roman"/>
          <w:b w:val="0"/>
          <w:bCs w:val="0"/>
          <w:color w:val="auto"/>
          <w:sz w:val="24"/>
          <w:highlight w:val="none"/>
          <w:u w:val="none"/>
          <w:vertAlign w:val="subscript"/>
        </w:rPr>
        <w:t>3</w:t>
      </w:r>
      <w:r>
        <w:rPr>
          <w:rFonts w:hint="default" w:ascii="Times New Roman" w:hAnsi="Times New Roman" w:cs="Times New Roman"/>
          <w:b w:val="0"/>
          <w:bCs w:val="0"/>
          <w:color w:val="auto"/>
          <w:sz w:val="24"/>
          <w:highlight w:val="none"/>
          <w:u w:val="none"/>
          <w:vertAlign w:val="subscript"/>
          <w:lang w:val="en-US" w:eastAsia="zh-CN"/>
        </w:rPr>
        <w:t xml:space="preserve"> </w:t>
      </w:r>
      <w:r>
        <w:rPr>
          <w:rFonts w:hint="default" w:ascii="Times New Roman" w:hAnsi="Times New Roman" w:cs="Times New Roman"/>
          <w:b w:val="0"/>
          <w:bCs w:val="0"/>
          <w:color w:val="auto"/>
          <w:sz w:val="24"/>
          <w:highlight w:val="none"/>
          <w:u w:val="none"/>
        </w:rPr>
        <w:t>0.</w:t>
      </w:r>
      <w:r>
        <w:rPr>
          <w:rFonts w:hint="default" w:ascii="Times New Roman" w:hAnsi="Times New Roman" w:cs="Times New Roman"/>
          <w:b w:val="0"/>
          <w:bCs w:val="0"/>
          <w:color w:val="auto"/>
          <w:sz w:val="24"/>
          <w:highlight w:val="none"/>
          <w:u w:val="none"/>
          <w:lang w:val="en-US" w:eastAsia="zh-CN"/>
        </w:rPr>
        <w:t>322</w:t>
      </w:r>
      <w:r>
        <w:rPr>
          <w:rFonts w:hint="default" w:ascii="Times New Roman" w:hAnsi="Times New Roman" w:cs="Times New Roman"/>
          <w:b w:val="0"/>
          <w:bCs w:val="0"/>
          <w:color w:val="auto"/>
          <w:sz w:val="24"/>
          <w:highlight w:val="none"/>
          <w:u w:val="none"/>
        </w:rPr>
        <w:t>t/a（0.</w:t>
      </w:r>
      <w:r>
        <w:rPr>
          <w:rFonts w:hint="default" w:ascii="Times New Roman" w:hAnsi="Times New Roman" w:cs="Times New Roman"/>
          <w:b w:val="0"/>
          <w:bCs w:val="0"/>
          <w:color w:val="auto"/>
          <w:sz w:val="24"/>
          <w:highlight w:val="none"/>
          <w:u w:val="none"/>
          <w:lang w:val="en-US" w:eastAsia="zh-CN"/>
        </w:rPr>
        <w:t>037</w:t>
      </w:r>
      <w:r>
        <w:rPr>
          <w:rFonts w:hint="default" w:ascii="Times New Roman" w:hAnsi="Times New Roman" w:cs="Times New Roman"/>
          <w:b w:val="0"/>
          <w:bCs w:val="0"/>
          <w:color w:val="auto"/>
          <w:sz w:val="24"/>
          <w:highlight w:val="none"/>
          <w:u w:val="none"/>
        </w:rPr>
        <w:t>kg/</w:t>
      </w:r>
      <w:r>
        <w:rPr>
          <w:rFonts w:hint="default" w:ascii="Times New Roman" w:hAnsi="Times New Roman" w:cs="Times New Roman"/>
          <w:b w:val="0"/>
          <w:bCs w:val="0"/>
          <w:color w:val="auto"/>
          <w:sz w:val="24"/>
          <w:highlight w:val="none"/>
          <w:u w:val="none"/>
          <w:lang w:val="en-US" w:eastAsia="zh-CN"/>
        </w:rPr>
        <w:t>h</w:t>
      </w:r>
      <w:r>
        <w:rPr>
          <w:rFonts w:hint="default" w:ascii="Times New Roman" w:hAnsi="Times New Roman" w:cs="Times New Roman"/>
          <w:b w:val="0"/>
          <w:bCs w:val="0"/>
          <w:color w:val="auto"/>
          <w:sz w:val="24"/>
          <w:highlight w:val="none"/>
          <w:u w:val="none"/>
        </w:rPr>
        <w:t>），H</w:t>
      </w:r>
      <w:r>
        <w:rPr>
          <w:rFonts w:hint="default" w:ascii="Times New Roman" w:hAnsi="Times New Roman" w:cs="Times New Roman"/>
          <w:b w:val="0"/>
          <w:bCs w:val="0"/>
          <w:color w:val="auto"/>
          <w:sz w:val="24"/>
          <w:highlight w:val="none"/>
          <w:u w:val="none"/>
          <w:vertAlign w:val="subscript"/>
        </w:rPr>
        <w:t>2</w:t>
      </w:r>
      <w:r>
        <w:rPr>
          <w:rFonts w:hint="default" w:ascii="Times New Roman" w:hAnsi="Times New Roman" w:cs="Times New Roman"/>
          <w:b w:val="0"/>
          <w:bCs w:val="0"/>
          <w:color w:val="auto"/>
          <w:sz w:val="24"/>
          <w:highlight w:val="none"/>
          <w:u w:val="none"/>
        </w:rPr>
        <w:t>S排放量为0.0</w:t>
      </w:r>
      <w:r>
        <w:rPr>
          <w:rFonts w:hint="default" w:ascii="Times New Roman" w:hAnsi="Times New Roman" w:cs="Times New Roman"/>
          <w:b w:val="0"/>
          <w:bCs w:val="0"/>
          <w:color w:val="auto"/>
          <w:sz w:val="24"/>
          <w:highlight w:val="none"/>
          <w:u w:val="none"/>
          <w:lang w:val="en-US" w:eastAsia="zh-CN"/>
        </w:rPr>
        <w:t>19</w:t>
      </w:r>
      <w:r>
        <w:rPr>
          <w:rFonts w:hint="default" w:ascii="Times New Roman" w:hAnsi="Times New Roman" w:cs="Times New Roman"/>
          <w:b w:val="0"/>
          <w:bCs w:val="0"/>
          <w:color w:val="auto"/>
          <w:sz w:val="24"/>
          <w:highlight w:val="none"/>
          <w:u w:val="none"/>
        </w:rPr>
        <w:t>t/a（0.0</w:t>
      </w:r>
      <w:r>
        <w:rPr>
          <w:rFonts w:hint="default" w:ascii="Times New Roman" w:hAnsi="Times New Roman" w:cs="Times New Roman"/>
          <w:b w:val="0"/>
          <w:bCs w:val="0"/>
          <w:color w:val="auto"/>
          <w:sz w:val="24"/>
          <w:highlight w:val="none"/>
          <w:u w:val="none"/>
          <w:lang w:val="en-US" w:eastAsia="zh-CN"/>
        </w:rPr>
        <w:t>022</w:t>
      </w:r>
      <w:r>
        <w:rPr>
          <w:rFonts w:hint="default" w:ascii="Times New Roman" w:hAnsi="Times New Roman" w:cs="Times New Roman"/>
          <w:b w:val="0"/>
          <w:bCs w:val="0"/>
          <w:color w:val="auto"/>
          <w:sz w:val="24"/>
          <w:highlight w:val="none"/>
          <w:u w:val="none"/>
        </w:rPr>
        <w:t>kg/</w:t>
      </w:r>
      <w:r>
        <w:rPr>
          <w:rFonts w:hint="default" w:ascii="Times New Roman" w:hAnsi="Times New Roman" w:cs="Times New Roman"/>
          <w:b w:val="0"/>
          <w:bCs w:val="0"/>
          <w:color w:val="auto"/>
          <w:sz w:val="24"/>
          <w:highlight w:val="none"/>
          <w:u w:val="none"/>
          <w:lang w:val="en-US" w:eastAsia="zh-CN"/>
        </w:rPr>
        <w:t>h</w:t>
      </w:r>
      <w:r>
        <w:rPr>
          <w:rFonts w:hint="default" w:ascii="Times New Roman" w:hAnsi="Times New Roman" w:cs="Times New Roman"/>
          <w:b w:val="0"/>
          <w:bCs w:val="0"/>
          <w:color w:val="auto"/>
          <w:sz w:val="24"/>
          <w:highlight w:val="none"/>
          <w:u w:val="none"/>
        </w:rPr>
        <w:t>）</w:t>
      </w:r>
      <w:r>
        <w:rPr>
          <w:rFonts w:hint="default" w:ascii="Times New Roman" w:hAnsi="Times New Roman" w:cs="Times New Roman"/>
          <w:b w:val="0"/>
          <w:bCs w:val="0"/>
          <w:color w:val="auto"/>
          <w:sz w:val="24"/>
          <w:u w:val="none"/>
        </w:rPr>
        <w:t>。</w:t>
      </w:r>
    </w:p>
    <w:p>
      <w:pPr>
        <w:ind w:firstLine="480"/>
        <w:rPr>
          <w:rFonts w:hint="default" w:ascii="Times New Roman" w:hAnsi="Times New Roman" w:cs="Times New Roman"/>
          <w:color w:val="auto"/>
        </w:rPr>
      </w:pPr>
      <w:r>
        <w:rPr>
          <w:rFonts w:hint="default" w:ascii="Times New Roman" w:hAnsi="Times New Roman" w:cs="Times New Roman"/>
          <w:color w:val="auto"/>
        </w:rPr>
        <w:t>（4）</w:t>
      </w:r>
      <w:r>
        <w:rPr>
          <w:rFonts w:hint="default" w:ascii="Times New Roman" w:hAnsi="Times New Roman" w:cs="Times New Roman"/>
          <w:color w:val="auto"/>
          <w:lang w:eastAsia="zh-CN"/>
        </w:rPr>
        <w:t>沼液存储池</w:t>
      </w:r>
      <w:r>
        <w:rPr>
          <w:rFonts w:hint="default" w:ascii="Times New Roman" w:hAnsi="Times New Roman" w:cs="Times New Roman"/>
          <w:color w:val="auto"/>
        </w:rPr>
        <w:t>臭气</w:t>
      </w:r>
    </w:p>
    <w:p>
      <w:pPr>
        <w:ind w:firstLine="480"/>
        <w:rPr>
          <w:rFonts w:hint="default" w:ascii="Times New Roman" w:hAnsi="Times New Roman" w:cs="Times New Roman"/>
          <w:color w:val="auto"/>
        </w:rPr>
      </w:pPr>
      <w:r>
        <w:rPr>
          <w:rFonts w:hint="default" w:ascii="Times New Roman" w:hAnsi="Times New Roman" w:cs="Times New Roman"/>
          <w:color w:val="auto"/>
        </w:rPr>
        <w:t>污水处理站产生沼液在非耕作期于场内</w:t>
      </w:r>
      <w:r>
        <w:rPr>
          <w:rFonts w:hint="default" w:ascii="Times New Roman" w:hAnsi="Times New Roman" w:cs="Times New Roman"/>
          <w:color w:val="auto"/>
          <w:lang w:eastAsia="zh-CN"/>
        </w:rPr>
        <w:t>沼液存储池</w:t>
      </w:r>
      <w:r>
        <w:rPr>
          <w:rFonts w:hint="default" w:ascii="Times New Roman" w:hAnsi="Times New Roman" w:cs="Times New Roman"/>
          <w:color w:val="auto"/>
        </w:rPr>
        <w:t>中暂存。项目场内设1个</w:t>
      </w:r>
      <w:r>
        <w:rPr>
          <w:rFonts w:hint="default" w:ascii="Times New Roman" w:hAnsi="Times New Roman" w:cs="Times New Roman"/>
          <w:color w:val="auto"/>
          <w:lang w:eastAsia="zh-CN"/>
        </w:rPr>
        <w:t>沼液存储池</w:t>
      </w:r>
      <w:r>
        <w:rPr>
          <w:rFonts w:hint="default" w:ascii="Times New Roman" w:hAnsi="Times New Roman" w:cs="Times New Roman"/>
          <w:color w:val="auto"/>
        </w:rPr>
        <w:t>。沼液暂存池为封闭式，上方由黑膜覆盖。类比牧原食品股份有限公司内乡十五场年出栏6万头育肥猪养殖项目（</w:t>
      </w:r>
      <w:r>
        <w:rPr>
          <w:rFonts w:hint="default" w:ascii="Times New Roman" w:hAnsi="Times New Roman" w:cs="Times New Roman"/>
          <w:color w:val="auto"/>
          <w:lang w:eastAsia="zh-CN"/>
        </w:rPr>
        <w:t>沼液存储池</w:t>
      </w:r>
      <w:r>
        <w:rPr>
          <w:rFonts w:hint="default" w:ascii="Times New Roman" w:hAnsi="Times New Roman" w:cs="Times New Roman"/>
          <w:color w:val="auto"/>
        </w:rPr>
        <w:t>规模为100000m</w:t>
      </w:r>
      <w:r>
        <w:rPr>
          <w:rFonts w:hint="default" w:ascii="Times New Roman" w:hAnsi="Times New Roman" w:cs="Times New Roman"/>
          <w:color w:val="auto"/>
          <w:vertAlign w:val="superscript"/>
        </w:rPr>
        <w:t>3</w:t>
      </w:r>
      <w:r>
        <w:rPr>
          <w:rFonts w:hint="default" w:ascii="Times New Roman" w:hAnsi="Times New Roman" w:cs="Times New Roman"/>
          <w:color w:val="auto"/>
        </w:rPr>
        <w:t>），本项目</w:t>
      </w:r>
      <w:r>
        <w:rPr>
          <w:rFonts w:hint="default" w:ascii="Times New Roman" w:hAnsi="Times New Roman" w:cs="Times New Roman"/>
          <w:color w:val="auto"/>
          <w:lang w:eastAsia="zh-CN"/>
        </w:rPr>
        <w:t>沼液存储池</w:t>
      </w:r>
      <w:r>
        <w:rPr>
          <w:rFonts w:hint="default" w:ascii="Times New Roman" w:hAnsi="Times New Roman" w:cs="Times New Roman"/>
          <w:color w:val="auto"/>
        </w:rPr>
        <w:t>占地面积41500m</w:t>
      </w:r>
      <w:r>
        <w:rPr>
          <w:rFonts w:hint="default" w:ascii="Times New Roman" w:hAnsi="Times New Roman" w:cs="Times New Roman"/>
          <w:color w:val="auto"/>
          <w:vertAlign w:val="superscript"/>
        </w:rPr>
        <w:t>2</w:t>
      </w:r>
      <w:r>
        <w:rPr>
          <w:rFonts w:hint="default" w:ascii="Times New Roman" w:hAnsi="Times New Roman" w:cs="Times New Roman"/>
          <w:color w:val="auto"/>
        </w:rPr>
        <w:t>，则NH</w:t>
      </w:r>
      <w:r>
        <w:rPr>
          <w:rFonts w:hint="default" w:ascii="Times New Roman" w:hAnsi="Times New Roman" w:cs="Times New Roman"/>
          <w:color w:val="auto"/>
          <w:vertAlign w:val="subscript"/>
        </w:rPr>
        <w:t>3</w:t>
      </w:r>
      <w:r>
        <w:rPr>
          <w:rFonts w:hint="default" w:ascii="Times New Roman" w:hAnsi="Times New Roman" w:cs="Times New Roman"/>
          <w:color w:val="auto"/>
        </w:rPr>
        <w:t>的产生量为0.2kg/d（0.073t/a），H</w:t>
      </w:r>
      <w:r>
        <w:rPr>
          <w:rFonts w:hint="default" w:ascii="Times New Roman" w:hAnsi="Times New Roman" w:cs="Times New Roman"/>
          <w:color w:val="auto"/>
          <w:vertAlign w:val="subscript"/>
        </w:rPr>
        <w:t>2</w:t>
      </w:r>
      <w:r>
        <w:rPr>
          <w:rFonts w:hint="default" w:ascii="Times New Roman" w:hAnsi="Times New Roman" w:cs="Times New Roman"/>
          <w:color w:val="auto"/>
        </w:rPr>
        <w:t>S的产生量为0.02kg/d（0.0073t/a）。沼液暂存池为封闭式，上方由黑膜覆盖，同时</w:t>
      </w:r>
      <w:r>
        <w:rPr>
          <w:rFonts w:hint="default" w:ascii="Times New Roman" w:hAnsi="Times New Roman" w:cs="Times New Roman"/>
          <w:color w:val="auto"/>
          <w:lang w:eastAsia="zh-CN"/>
        </w:rPr>
        <w:t>沼液存储池</w:t>
      </w:r>
      <w:r>
        <w:rPr>
          <w:rFonts w:hint="default" w:ascii="Times New Roman" w:hAnsi="Times New Roman" w:cs="Times New Roman"/>
          <w:color w:val="auto"/>
        </w:rPr>
        <w:t>周边喷洒除臭剂，去除效率可达到70%。经处理后废气排放量为NH</w:t>
      </w:r>
      <w:r>
        <w:rPr>
          <w:rFonts w:hint="default" w:ascii="Times New Roman" w:hAnsi="Times New Roman" w:cs="Times New Roman"/>
          <w:color w:val="auto"/>
          <w:vertAlign w:val="subscript"/>
        </w:rPr>
        <w:t>3</w:t>
      </w:r>
      <w:r>
        <w:rPr>
          <w:rFonts w:hint="default" w:ascii="Times New Roman" w:hAnsi="Times New Roman" w:cs="Times New Roman"/>
          <w:color w:val="auto"/>
        </w:rPr>
        <w:t>0.06kg/d（0.0219t/a）、H</w:t>
      </w:r>
      <w:r>
        <w:rPr>
          <w:rFonts w:hint="default" w:ascii="Times New Roman" w:hAnsi="Times New Roman" w:cs="Times New Roman"/>
          <w:color w:val="auto"/>
          <w:vertAlign w:val="subscript"/>
        </w:rPr>
        <w:t>2</w:t>
      </w:r>
      <w:r>
        <w:rPr>
          <w:rFonts w:hint="default" w:ascii="Times New Roman" w:hAnsi="Times New Roman" w:cs="Times New Roman"/>
          <w:color w:val="auto"/>
        </w:rPr>
        <w:t>S 0.006kg/d（0.0022t/a）。</w:t>
      </w:r>
    </w:p>
    <w:p>
      <w:pPr>
        <w:ind w:firstLine="480"/>
        <w:rPr>
          <w:rFonts w:hint="default" w:ascii="Times New Roman" w:hAnsi="Times New Roman" w:cs="Times New Roman"/>
          <w:color w:val="auto"/>
        </w:rPr>
      </w:pPr>
      <w:r>
        <w:rPr>
          <w:rFonts w:hint="default" w:ascii="Times New Roman" w:hAnsi="Times New Roman" w:cs="Times New Roman"/>
          <w:color w:val="auto"/>
        </w:rPr>
        <w:t>（5）病死猪处理臭气</w:t>
      </w:r>
    </w:p>
    <w:p>
      <w:pPr>
        <w:ind w:firstLine="480"/>
        <w:rPr>
          <w:rFonts w:hint="default" w:ascii="Times New Roman" w:hAnsi="Times New Roman" w:cs="Times New Roman"/>
          <w:color w:val="auto"/>
        </w:rPr>
      </w:pPr>
      <w:r>
        <w:rPr>
          <w:rFonts w:hint="default" w:ascii="Times New Roman" w:hAnsi="Times New Roman" w:cs="Times New Roman"/>
          <w:color w:val="auto"/>
        </w:rPr>
        <w:t>本项目设置1台2T病死猪高温无害化处理机，处理病死猪，高温处理机采用高温生物降解处理法处理病死猪，处理机在运行过程中为全密闭，处理过程中产生的废气经排气系统排出。</w:t>
      </w:r>
      <w:r>
        <w:rPr>
          <w:rFonts w:hint="default" w:ascii="Times New Roman" w:hAnsi="Times New Roman" w:cs="Times New Roman"/>
          <w:b/>
          <w:bCs/>
          <w:color w:val="auto"/>
          <w:u w:val="single"/>
        </w:rPr>
        <w:t>根据绵竹德康生猪养殖有限公司在绵竹市绵源镇三泉村的养殖场（设计存栏母猪5000头）病死猪高温无害化处理机监测数据，NH</w:t>
      </w:r>
      <w:r>
        <w:rPr>
          <w:rFonts w:hint="default" w:ascii="Times New Roman" w:hAnsi="Times New Roman" w:cs="Times New Roman"/>
          <w:b/>
          <w:bCs/>
          <w:color w:val="auto"/>
          <w:u w:val="single"/>
          <w:vertAlign w:val="subscript"/>
        </w:rPr>
        <w:t>3</w:t>
      </w:r>
      <w:r>
        <w:rPr>
          <w:rFonts w:hint="default" w:ascii="Times New Roman" w:hAnsi="Times New Roman" w:cs="Times New Roman"/>
          <w:b/>
          <w:bCs/>
          <w:color w:val="auto"/>
          <w:u w:val="single"/>
        </w:rPr>
        <w:t>产生速率为2.8×10</w:t>
      </w:r>
      <w:r>
        <w:rPr>
          <w:rFonts w:hint="default" w:ascii="Times New Roman" w:hAnsi="Times New Roman" w:cs="Times New Roman"/>
          <w:b/>
          <w:bCs/>
          <w:color w:val="auto"/>
          <w:u w:val="single"/>
          <w:vertAlign w:val="superscript"/>
        </w:rPr>
        <w:t>-4</w:t>
      </w:r>
      <w:r>
        <w:rPr>
          <w:rFonts w:hint="default" w:ascii="Times New Roman" w:hAnsi="Times New Roman" w:cs="Times New Roman"/>
          <w:b/>
          <w:bCs/>
          <w:color w:val="auto"/>
          <w:u w:val="single"/>
        </w:rPr>
        <w:t>~3.3×10</w:t>
      </w:r>
      <w:r>
        <w:rPr>
          <w:rFonts w:hint="default" w:ascii="Times New Roman" w:hAnsi="Times New Roman" w:cs="Times New Roman"/>
          <w:b/>
          <w:bCs/>
          <w:color w:val="auto"/>
          <w:u w:val="single"/>
          <w:vertAlign w:val="superscript"/>
        </w:rPr>
        <w:t>-4</w:t>
      </w:r>
      <w:r>
        <w:rPr>
          <w:rFonts w:hint="default" w:ascii="Times New Roman" w:hAnsi="Times New Roman" w:cs="Times New Roman"/>
          <w:b/>
          <w:bCs/>
          <w:color w:val="auto"/>
          <w:u w:val="single"/>
        </w:rPr>
        <w:t>kg/h，H</w:t>
      </w:r>
      <w:r>
        <w:rPr>
          <w:rFonts w:hint="default" w:ascii="Times New Roman" w:hAnsi="Times New Roman" w:cs="Times New Roman"/>
          <w:b/>
          <w:bCs/>
          <w:color w:val="auto"/>
          <w:u w:val="single"/>
          <w:vertAlign w:val="subscript"/>
        </w:rPr>
        <w:t>2</w:t>
      </w:r>
      <w:r>
        <w:rPr>
          <w:rFonts w:hint="default" w:ascii="Times New Roman" w:hAnsi="Times New Roman" w:cs="Times New Roman"/>
          <w:b/>
          <w:bCs/>
          <w:color w:val="auto"/>
          <w:u w:val="single"/>
        </w:rPr>
        <w:t>S产生速率为5.2×10</w:t>
      </w:r>
      <w:r>
        <w:rPr>
          <w:rFonts w:hint="default" w:ascii="Times New Roman" w:hAnsi="Times New Roman" w:cs="Times New Roman"/>
          <w:b/>
          <w:bCs/>
          <w:color w:val="auto"/>
          <w:u w:val="single"/>
          <w:vertAlign w:val="superscript"/>
        </w:rPr>
        <w:t>-5</w:t>
      </w:r>
      <w:r>
        <w:rPr>
          <w:rFonts w:hint="default" w:ascii="Times New Roman" w:hAnsi="Times New Roman" w:cs="Times New Roman"/>
          <w:b/>
          <w:bCs/>
          <w:color w:val="auto"/>
          <w:u w:val="single"/>
        </w:rPr>
        <w:t>~6.0×10</w:t>
      </w:r>
      <w:r>
        <w:rPr>
          <w:rFonts w:hint="default" w:ascii="Times New Roman" w:hAnsi="Times New Roman" w:cs="Times New Roman"/>
          <w:b/>
          <w:bCs/>
          <w:color w:val="auto"/>
          <w:u w:val="single"/>
          <w:vertAlign w:val="superscript"/>
        </w:rPr>
        <w:t>-5</w:t>
      </w:r>
      <w:r>
        <w:rPr>
          <w:rFonts w:hint="default" w:ascii="Times New Roman" w:hAnsi="Times New Roman" w:cs="Times New Roman"/>
          <w:b/>
          <w:bCs/>
          <w:color w:val="auto"/>
          <w:u w:val="single"/>
        </w:rPr>
        <w:t>kg/h。本项目取NH</w:t>
      </w:r>
      <w:r>
        <w:rPr>
          <w:rFonts w:hint="default" w:ascii="Times New Roman" w:hAnsi="Times New Roman" w:cs="Times New Roman"/>
          <w:b/>
          <w:bCs/>
          <w:color w:val="auto"/>
          <w:u w:val="single"/>
          <w:vertAlign w:val="subscript"/>
        </w:rPr>
        <w:t>3</w:t>
      </w:r>
      <w:r>
        <w:rPr>
          <w:rFonts w:hint="default" w:ascii="Times New Roman" w:hAnsi="Times New Roman" w:cs="Times New Roman"/>
          <w:b/>
          <w:bCs/>
          <w:color w:val="auto"/>
          <w:u w:val="single"/>
        </w:rPr>
        <w:t>3.0×10</w:t>
      </w:r>
      <w:r>
        <w:rPr>
          <w:rFonts w:hint="default" w:ascii="Times New Roman" w:hAnsi="Times New Roman" w:cs="Times New Roman"/>
          <w:b/>
          <w:bCs/>
          <w:color w:val="auto"/>
          <w:u w:val="single"/>
          <w:vertAlign w:val="superscript"/>
        </w:rPr>
        <w:t>-4</w:t>
      </w:r>
      <w:r>
        <w:rPr>
          <w:rFonts w:hint="default" w:ascii="Times New Roman" w:hAnsi="Times New Roman" w:cs="Times New Roman"/>
          <w:b/>
          <w:bCs/>
          <w:color w:val="auto"/>
          <w:u w:val="single"/>
        </w:rPr>
        <w:t>kg/h(0.0026t/a)，H</w:t>
      </w:r>
      <w:r>
        <w:rPr>
          <w:rFonts w:hint="default" w:ascii="Times New Roman" w:hAnsi="Times New Roman" w:cs="Times New Roman"/>
          <w:b/>
          <w:bCs/>
          <w:color w:val="auto"/>
          <w:u w:val="single"/>
          <w:vertAlign w:val="subscript"/>
        </w:rPr>
        <w:t>2</w:t>
      </w:r>
      <w:r>
        <w:rPr>
          <w:rFonts w:hint="default" w:ascii="Times New Roman" w:hAnsi="Times New Roman" w:cs="Times New Roman"/>
          <w:b/>
          <w:bCs/>
          <w:color w:val="auto"/>
          <w:u w:val="single"/>
        </w:rPr>
        <w:t>S 5.5×10</w:t>
      </w:r>
      <w:r>
        <w:rPr>
          <w:rFonts w:hint="default" w:ascii="Times New Roman" w:hAnsi="Times New Roman" w:cs="Times New Roman"/>
          <w:b/>
          <w:bCs/>
          <w:color w:val="auto"/>
          <w:u w:val="single"/>
          <w:vertAlign w:val="superscript"/>
        </w:rPr>
        <w:t>-5</w:t>
      </w:r>
      <w:r>
        <w:rPr>
          <w:rFonts w:hint="default" w:ascii="Times New Roman" w:hAnsi="Times New Roman" w:cs="Times New Roman"/>
          <w:b/>
          <w:bCs/>
          <w:color w:val="auto"/>
          <w:u w:val="single"/>
        </w:rPr>
        <w:t>kg/h(0.0005t/a)</w:t>
      </w:r>
      <w:r>
        <w:rPr>
          <w:rFonts w:hint="default" w:ascii="Times New Roman" w:hAnsi="Times New Roman" w:cs="Times New Roman"/>
          <w:color w:val="auto"/>
        </w:rPr>
        <w:t>。</w:t>
      </w:r>
      <w:r>
        <w:rPr>
          <w:rFonts w:hint="default" w:ascii="Times New Roman" w:hAnsi="Times New Roman" w:cs="Times New Roman"/>
          <w:b/>
          <w:bCs/>
          <w:color w:val="auto"/>
          <w:u w:val="single"/>
          <w:lang w:eastAsia="zh-CN"/>
        </w:rPr>
        <w:t>经收集后</w:t>
      </w:r>
      <w:r>
        <w:rPr>
          <w:rFonts w:hint="default" w:ascii="Times New Roman" w:hAnsi="Times New Roman" w:cs="Times New Roman"/>
          <w:b/>
          <w:bCs/>
          <w:color w:val="auto"/>
          <w:u w:val="single"/>
        </w:rPr>
        <w:t>配备UV光解催化氧化装置处理臭气，恶臭气体收集效率按</w:t>
      </w:r>
      <w:r>
        <w:rPr>
          <w:rFonts w:hint="default" w:ascii="Times New Roman" w:hAnsi="Times New Roman" w:cs="Times New Roman"/>
          <w:b/>
          <w:bCs/>
          <w:color w:val="auto"/>
          <w:u w:val="single"/>
          <w:lang w:val="en-US" w:eastAsia="zh-CN"/>
        </w:rPr>
        <w:t>90</w:t>
      </w:r>
      <w:r>
        <w:rPr>
          <w:rFonts w:hint="default" w:ascii="Times New Roman" w:hAnsi="Times New Roman" w:cs="Times New Roman"/>
          <w:b/>
          <w:bCs/>
          <w:color w:val="auto"/>
          <w:u w:val="single"/>
        </w:rPr>
        <w:t>%计算，臭气去除效率可达到70%。</w:t>
      </w:r>
      <w:r>
        <w:rPr>
          <w:rFonts w:hint="default" w:ascii="Times New Roman" w:hAnsi="Times New Roman" w:cs="Times New Roman"/>
          <w:color w:val="auto"/>
        </w:rPr>
        <w:t>无组织NH</w:t>
      </w:r>
      <w:r>
        <w:rPr>
          <w:rFonts w:hint="default" w:ascii="Times New Roman" w:hAnsi="Times New Roman" w:cs="Times New Roman"/>
          <w:color w:val="auto"/>
          <w:vertAlign w:val="subscript"/>
        </w:rPr>
        <w:t>3</w:t>
      </w:r>
      <w:r>
        <w:rPr>
          <w:rFonts w:hint="default" w:ascii="Times New Roman" w:hAnsi="Times New Roman" w:cs="Times New Roman"/>
          <w:color w:val="auto"/>
        </w:rPr>
        <w:t>排放速率及排放量分别为3.0×10</w:t>
      </w:r>
      <w:r>
        <w:rPr>
          <w:rFonts w:hint="default" w:ascii="Times New Roman" w:hAnsi="Times New Roman" w:cs="Times New Roman"/>
          <w:color w:val="auto"/>
          <w:vertAlign w:val="superscript"/>
        </w:rPr>
        <w:t>-</w:t>
      </w:r>
      <w:r>
        <w:rPr>
          <w:rFonts w:hint="default" w:ascii="Times New Roman" w:hAnsi="Times New Roman" w:cs="Times New Roman"/>
          <w:color w:val="auto"/>
          <w:vertAlign w:val="superscript"/>
          <w:lang w:val="en-US" w:eastAsia="zh-CN"/>
        </w:rPr>
        <w:t>5</w:t>
      </w:r>
      <w:r>
        <w:rPr>
          <w:rFonts w:hint="default" w:ascii="Times New Roman" w:hAnsi="Times New Roman" w:cs="Times New Roman"/>
          <w:color w:val="auto"/>
        </w:rPr>
        <w:t>kg/h、0.</w:t>
      </w:r>
      <w:r>
        <w:rPr>
          <w:rFonts w:hint="default" w:ascii="Times New Roman" w:hAnsi="Times New Roman" w:cs="Times New Roman"/>
          <w:color w:val="auto"/>
          <w:lang w:val="en-US" w:eastAsia="zh-CN"/>
        </w:rPr>
        <w:t>00026</w:t>
      </w:r>
      <w:r>
        <w:rPr>
          <w:rFonts w:hint="default" w:ascii="Times New Roman" w:hAnsi="Times New Roman" w:cs="Times New Roman"/>
          <w:color w:val="auto"/>
        </w:rPr>
        <w:t>t/a；无组织H2S排放速率及排放量分别为5.5×10</w:t>
      </w:r>
      <w:r>
        <w:rPr>
          <w:rFonts w:hint="default" w:ascii="Times New Roman" w:hAnsi="Times New Roman" w:cs="Times New Roman"/>
          <w:color w:val="auto"/>
          <w:vertAlign w:val="superscript"/>
        </w:rPr>
        <w:t>-</w:t>
      </w:r>
      <w:r>
        <w:rPr>
          <w:rFonts w:hint="default" w:ascii="Times New Roman" w:hAnsi="Times New Roman" w:cs="Times New Roman"/>
          <w:color w:val="auto"/>
          <w:vertAlign w:val="superscript"/>
          <w:lang w:val="en-US" w:eastAsia="zh-CN"/>
        </w:rPr>
        <w:t>6</w:t>
      </w:r>
      <w:r>
        <w:rPr>
          <w:rFonts w:hint="default" w:ascii="Times New Roman" w:hAnsi="Times New Roman" w:cs="Times New Roman"/>
          <w:color w:val="auto"/>
        </w:rPr>
        <w:t>kg/h、0.0</w:t>
      </w:r>
      <w:r>
        <w:rPr>
          <w:rFonts w:hint="default" w:ascii="Times New Roman" w:hAnsi="Times New Roman" w:cs="Times New Roman"/>
          <w:color w:val="auto"/>
          <w:lang w:val="en-US" w:eastAsia="zh-CN"/>
        </w:rPr>
        <w:t>0005</w:t>
      </w:r>
      <w:r>
        <w:rPr>
          <w:rFonts w:hint="default" w:ascii="Times New Roman" w:hAnsi="Times New Roman" w:cs="Times New Roman"/>
          <w:color w:val="auto"/>
        </w:rPr>
        <w:t>t/a。</w:t>
      </w:r>
    </w:p>
    <w:p>
      <w:pPr>
        <w:adjustRightInd/>
        <w:snapToGrid/>
        <w:ind w:firstLine="480"/>
        <w:rPr>
          <w:rFonts w:hint="default" w:ascii="Times New Roman" w:hAnsi="Times New Roman" w:cs="Times New Roman"/>
          <w:color w:val="auto"/>
        </w:rPr>
      </w:pPr>
      <w:r>
        <w:rPr>
          <w:rFonts w:hint="default" w:ascii="Times New Roman" w:hAnsi="Times New Roman" w:cs="Times New Roman"/>
          <w:color w:val="auto"/>
        </w:rPr>
        <w:t>综上所述，本项目恶臭气体产排情况一览表见表3.3-6。</w:t>
      </w:r>
    </w:p>
    <w:p>
      <w:pPr>
        <w:tabs>
          <w:tab w:val="left" w:pos="1448"/>
        </w:tabs>
        <w:spacing w:before="43"/>
        <w:ind w:left="100" w:right="55" w:firstLine="482"/>
        <w:jc w:val="left"/>
        <w:rPr>
          <w:rFonts w:hint="default" w:ascii="Times New Roman" w:hAnsi="Times New Roman" w:cs="Times New Roman"/>
          <w:color w:val="auto"/>
        </w:rPr>
      </w:pPr>
      <w:bookmarkStart w:id="364" w:name="_Toc407001409"/>
      <w:bookmarkStart w:id="365" w:name="_Toc413166136"/>
      <w:bookmarkStart w:id="366" w:name="_Toc388881917"/>
      <w:bookmarkStart w:id="367" w:name="_Toc406847416"/>
      <w:r>
        <w:rPr>
          <w:rFonts w:hint="default" w:ascii="Times New Roman" w:hAnsi="Times New Roman" w:cs="Times New Roman"/>
          <w:b/>
          <w:bCs/>
          <w:color w:val="auto"/>
        </w:rPr>
        <w:t>表</w:t>
      </w:r>
      <w:r>
        <w:rPr>
          <w:rFonts w:hint="default" w:ascii="Times New Roman" w:hAnsi="Times New Roman" w:cs="Times New Roman"/>
          <w:b/>
          <w:bCs/>
          <w:color w:val="auto"/>
          <w:spacing w:val="-53"/>
        </w:rPr>
        <w:t xml:space="preserve"> </w:t>
      </w:r>
      <w:r>
        <w:rPr>
          <w:rFonts w:hint="default" w:ascii="Times New Roman" w:hAnsi="Times New Roman" w:eastAsia="Times New Roman" w:cs="Times New Roman"/>
          <w:b/>
          <w:bCs/>
          <w:color w:val="auto"/>
        </w:rPr>
        <w:t>3.</w:t>
      </w:r>
      <w:r>
        <w:rPr>
          <w:rFonts w:hint="default" w:ascii="Times New Roman" w:hAnsi="Times New Roman" w:cs="Times New Roman"/>
          <w:b/>
          <w:bCs/>
          <w:color w:val="auto"/>
        </w:rPr>
        <w:t>3-6</w:t>
      </w:r>
      <w:r>
        <w:rPr>
          <w:rFonts w:hint="default" w:ascii="Times New Roman" w:hAnsi="Times New Roman" w:eastAsia="Times New Roman" w:cs="Times New Roman"/>
          <w:b/>
          <w:bCs/>
          <w:color w:val="auto"/>
        </w:rPr>
        <w:tab/>
      </w:r>
      <w:r>
        <w:rPr>
          <w:rFonts w:hint="default" w:ascii="Times New Roman" w:hAnsi="Times New Roman" w:cs="Times New Roman"/>
          <w:b/>
          <w:bCs/>
          <w:color w:val="auto"/>
        </w:rPr>
        <w:t>项目污水处理、固粪处理区和</w:t>
      </w:r>
      <w:r>
        <w:rPr>
          <w:rFonts w:hint="default" w:ascii="Times New Roman" w:hAnsi="Times New Roman" w:cs="Times New Roman"/>
          <w:b/>
          <w:bCs/>
          <w:color w:val="auto"/>
          <w:lang w:eastAsia="zh-CN"/>
        </w:rPr>
        <w:t>沼液存储池</w:t>
      </w:r>
      <w:r>
        <w:rPr>
          <w:rFonts w:hint="default" w:ascii="Times New Roman" w:hAnsi="Times New Roman" w:cs="Times New Roman"/>
          <w:b/>
          <w:bCs/>
          <w:color w:val="auto"/>
        </w:rPr>
        <w:t>恶臭气体等产排情况一览表</w:t>
      </w:r>
    </w:p>
    <w:tbl>
      <w:tblPr>
        <w:tblStyle w:val="25"/>
        <w:tblW w:w="8953" w:type="dxa"/>
        <w:tblInd w:w="0" w:type="dxa"/>
        <w:tblBorders>
          <w:top w:val="single" w:color="000000" w:sz="2"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447"/>
        <w:gridCol w:w="824"/>
        <w:gridCol w:w="1256"/>
        <w:gridCol w:w="1256"/>
        <w:gridCol w:w="2510"/>
        <w:gridCol w:w="829"/>
        <w:gridCol w:w="831"/>
      </w:tblGrid>
      <w:tr>
        <w:tblPrEx>
          <w:tblBorders>
            <w:top w:val="single" w:color="000000" w:sz="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9" w:hRule="exact"/>
        </w:trPr>
        <w:tc>
          <w:tcPr>
            <w:tcW w:w="1447"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污染源</w:t>
            </w:r>
          </w:p>
        </w:tc>
        <w:tc>
          <w:tcPr>
            <w:tcW w:w="824"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lang w:eastAsia="zh-CN"/>
              </w:rPr>
            </w:pPr>
            <w:r>
              <w:rPr>
                <w:rFonts w:hint="default" w:ascii="Times New Roman" w:hAnsi="Times New Roman" w:eastAsia="宋体" w:cs="Times New Roman"/>
                <w:b/>
                <w:bCs/>
                <w:color w:val="auto"/>
                <w:sz w:val="21"/>
                <w:szCs w:val="21"/>
                <w:u w:val="single"/>
                <w:lang w:eastAsia="zh-CN"/>
              </w:rPr>
              <w:t>排放方式</w:t>
            </w:r>
          </w:p>
        </w:tc>
        <w:tc>
          <w:tcPr>
            <w:tcW w:w="2512"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污染物产生情况</w:t>
            </w:r>
          </w:p>
        </w:tc>
        <w:tc>
          <w:tcPr>
            <w:tcW w:w="2510"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拟处理措施</w:t>
            </w:r>
          </w:p>
        </w:tc>
        <w:tc>
          <w:tcPr>
            <w:tcW w:w="1660"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污染物排放情况</w:t>
            </w:r>
          </w:p>
        </w:tc>
      </w:tr>
      <w:tr>
        <w:tblPrEx>
          <w:tblBorders>
            <w:top w:val="single" w:color="000000" w:sz="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04" w:hRule="exact"/>
        </w:trPr>
        <w:tc>
          <w:tcPr>
            <w:tcW w:w="144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p>
        </w:tc>
        <w:tc>
          <w:tcPr>
            <w:tcW w:w="82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p>
        </w:tc>
        <w:tc>
          <w:tcPr>
            <w:tcW w:w="125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position w:val="2"/>
                <w:sz w:val="21"/>
                <w:szCs w:val="21"/>
                <w:u w:val="single"/>
              </w:rPr>
              <w:t>NH</w:t>
            </w:r>
            <w:r>
              <w:rPr>
                <w:rFonts w:hint="default" w:ascii="Times New Roman" w:hAnsi="Times New Roman" w:eastAsia="宋体" w:cs="Times New Roman"/>
                <w:b/>
                <w:bCs/>
                <w:color w:val="auto"/>
                <w:sz w:val="21"/>
                <w:szCs w:val="21"/>
                <w:u w:val="single"/>
              </w:rPr>
              <w:t>3</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（kg/</w:t>
            </w:r>
            <w:r>
              <w:rPr>
                <w:rFonts w:hint="default" w:ascii="Times New Roman" w:hAnsi="Times New Roman" w:eastAsia="宋体" w:cs="Times New Roman"/>
                <w:b/>
                <w:bCs/>
                <w:color w:val="auto"/>
                <w:sz w:val="21"/>
                <w:szCs w:val="21"/>
                <w:u w:val="single"/>
                <w:lang w:val="en-US" w:eastAsia="zh-CN"/>
              </w:rPr>
              <w:t>h</w:t>
            </w:r>
            <w:r>
              <w:rPr>
                <w:rFonts w:hint="default" w:ascii="Times New Roman" w:hAnsi="Times New Roman" w:eastAsia="宋体" w:cs="Times New Roman"/>
                <w:b/>
                <w:bCs/>
                <w:color w:val="auto"/>
                <w:sz w:val="21"/>
                <w:szCs w:val="21"/>
                <w:u w:val="single"/>
              </w:rPr>
              <w:t>）</w:t>
            </w:r>
          </w:p>
        </w:tc>
        <w:tc>
          <w:tcPr>
            <w:tcW w:w="125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position w:val="2"/>
                <w:sz w:val="21"/>
                <w:szCs w:val="21"/>
                <w:u w:val="single"/>
              </w:rPr>
              <w:t>H</w:t>
            </w:r>
            <w:r>
              <w:rPr>
                <w:rFonts w:hint="default" w:ascii="Times New Roman" w:hAnsi="Times New Roman" w:eastAsia="宋体" w:cs="Times New Roman"/>
                <w:b/>
                <w:bCs/>
                <w:color w:val="auto"/>
                <w:sz w:val="21"/>
                <w:szCs w:val="21"/>
                <w:u w:val="single"/>
              </w:rPr>
              <w:t>2</w:t>
            </w:r>
            <w:r>
              <w:rPr>
                <w:rFonts w:hint="default" w:ascii="Times New Roman" w:hAnsi="Times New Roman" w:eastAsia="宋体" w:cs="Times New Roman"/>
                <w:b/>
                <w:bCs/>
                <w:color w:val="auto"/>
                <w:position w:val="2"/>
                <w:sz w:val="21"/>
                <w:szCs w:val="21"/>
                <w:u w:val="single"/>
              </w:rPr>
              <w:t>S</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（kg/</w:t>
            </w:r>
            <w:r>
              <w:rPr>
                <w:rFonts w:hint="default" w:ascii="Times New Roman" w:hAnsi="Times New Roman" w:eastAsia="宋体" w:cs="Times New Roman"/>
                <w:b/>
                <w:bCs/>
                <w:color w:val="auto"/>
                <w:sz w:val="21"/>
                <w:szCs w:val="21"/>
                <w:u w:val="single"/>
                <w:lang w:val="en-US" w:eastAsia="zh-CN"/>
              </w:rPr>
              <w:t>h</w:t>
            </w:r>
            <w:r>
              <w:rPr>
                <w:rFonts w:hint="default" w:ascii="Times New Roman" w:hAnsi="Times New Roman" w:eastAsia="宋体" w:cs="Times New Roman"/>
                <w:b/>
                <w:bCs/>
                <w:color w:val="auto"/>
                <w:sz w:val="21"/>
                <w:szCs w:val="21"/>
                <w:u w:val="single"/>
              </w:rPr>
              <w:t>）</w:t>
            </w:r>
          </w:p>
        </w:tc>
        <w:tc>
          <w:tcPr>
            <w:tcW w:w="251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p>
        </w:tc>
        <w:tc>
          <w:tcPr>
            <w:tcW w:w="829"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position w:val="2"/>
                <w:sz w:val="21"/>
                <w:szCs w:val="21"/>
                <w:u w:val="single"/>
              </w:rPr>
              <w:t>NH</w:t>
            </w:r>
            <w:r>
              <w:rPr>
                <w:rFonts w:hint="default" w:ascii="Times New Roman" w:hAnsi="Times New Roman" w:eastAsia="宋体" w:cs="Times New Roman"/>
                <w:b/>
                <w:bCs/>
                <w:color w:val="auto"/>
                <w:sz w:val="21"/>
                <w:szCs w:val="21"/>
                <w:u w:val="single"/>
              </w:rPr>
              <w:t>3</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（kg/</w:t>
            </w:r>
            <w:r>
              <w:rPr>
                <w:rFonts w:hint="default" w:ascii="Times New Roman" w:hAnsi="Times New Roman" w:eastAsia="宋体" w:cs="Times New Roman"/>
                <w:b/>
                <w:bCs/>
                <w:color w:val="auto"/>
                <w:sz w:val="21"/>
                <w:szCs w:val="21"/>
                <w:u w:val="single"/>
                <w:lang w:val="en-US" w:eastAsia="zh-CN"/>
              </w:rPr>
              <w:t>h</w:t>
            </w:r>
            <w:r>
              <w:rPr>
                <w:rFonts w:hint="default" w:ascii="Times New Roman" w:hAnsi="Times New Roman" w:eastAsia="宋体" w:cs="Times New Roman"/>
                <w:b/>
                <w:bCs/>
                <w:color w:val="auto"/>
                <w:sz w:val="21"/>
                <w:szCs w:val="21"/>
                <w:u w:val="single"/>
              </w:rPr>
              <w:t>）</w:t>
            </w:r>
          </w:p>
        </w:tc>
        <w:tc>
          <w:tcPr>
            <w:tcW w:w="8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position w:val="2"/>
                <w:sz w:val="21"/>
                <w:szCs w:val="21"/>
                <w:u w:val="single"/>
              </w:rPr>
              <w:t>H</w:t>
            </w:r>
            <w:r>
              <w:rPr>
                <w:rFonts w:hint="default" w:ascii="Times New Roman" w:hAnsi="Times New Roman" w:eastAsia="宋体" w:cs="Times New Roman"/>
                <w:b/>
                <w:bCs/>
                <w:color w:val="auto"/>
                <w:sz w:val="21"/>
                <w:szCs w:val="21"/>
                <w:u w:val="single"/>
              </w:rPr>
              <w:t>2</w:t>
            </w:r>
            <w:r>
              <w:rPr>
                <w:rFonts w:hint="default" w:ascii="Times New Roman" w:hAnsi="Times New Roman" w:eastAsia="宋体" w:cs="Times New Roman"/>
                <w:b/>
                <w:bCs/>
                <w:color w:val="auto"/>
                <w:position w:val="2"/>
                <w:sz w:val="21"/>
                <w:szCs w:val="21"/>
                <w:u w:val="single"/>
              </w:rPr>
              <w:t>S</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（kg/</w:t>
            </w:r>
            <w:r>
              <w:rPr>
                <w:rFonts w:hint="default" w:ascii="Times New Roman" w:hAnsi="Times New Roman" w:eastAsia="宋体" w:cs="Times New Roman"/>
                <w:b/>
                <w:bCs/>
                <w:color w:val="auto"/>
                <w:sz w:val="21"/>
                <w:szCs w:val="21"/>
                <w:u w:val="single"/>
                <w:lang w:val="en-US" w:eastAsia="zh-CN"/>
              </w:rPr>
              <w:t>h</w:t>
            </w:r>
            <w:r>
              <w:rPr>
                <w:rFonts w:hint="default" w:ascii="Times New Roman" w:hAnsi="Times New Roman" w:eastAsia="宋体" w:cs="Times New Roman"/>
                <w:b/>
                <w:bCs/>
                <w:color w:val="auto"/>
                <w:sz w:val="21"/>
                <w:szCs w:val="21"/>
                <w:u w:val="single"/>
              </w:rPr>
              <w:t>）</w:t>
            </w:r>
          </w:p>
        </w:tc>
      </w:tr>
      <w:tr>
        <w:tblPrEx>
          <w:tblBorders>
            <w:top w:val="single" w:color="000000" w:sz="2"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90" w:hRule="exact"/>
        </w:trPr>
        <w:tc>
          <w:tcPr>
            <w:tcW w:w="144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lang w:eastAsia="zh-CN"/>
              </w:rPr>
            </w:pPr>
            <w:r>
              <w:rPr>
                <w:rFonts w:hint="default" w:ascii="Times New Roman" w:hAnsi="Times New Roman" w:eastAsia="宋体" w:cs="Times New Roman"/>
                <w:b/>
                <w:bCs/>
                <w:color w:val="auto"/>
                <w:sz w:val="21"/>
                <w:szCs w:val="21"/>
                <w:u w:val="single"/>
                <w:lang w:eastAsia="zh-CN"/>
              </w:rPr>
              <w:t>猪舍</w:t>
            </w:r>
          </w:p>
        </w:tc>
        <w:tc>
          <w:tcPr>
            <w:tcW w:w="824"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u w:val="single"/>
                <w:lang w:eastAsia="zh-CN"/>
              </w:rPr>
            </w:pPr>
            <w:r>
              <w:rPr>
                <w:rFonts w:hint="default" w:ascii="Times New Roman" w:hAnsi="Times New Roman" w:eastAsia="宋体" w:cs="Times New Roman"/>
                <w:b/>
                <w:bCs/>
                <w:color w:val="auto"/>
                <w:sz w:val="21"/>
                <w:szCs w:val="21"/>
                <w:u w:val="single"/>
                <w:lang w:eastAsia="zh-CN"/>
              </w:rPr>
              <w:t>无组织</w:t>
            </w:r>
          </w:p>
        </w:tc>
        <w:tc>
          <w:tcPr>
            <w:tcW w:w="1256"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0.084</w:t>
            </w:r>
          </w:p>
        </w:tc>
        <w:tc>
          <w:tcPr>
            <w:tcW w:w="1256"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rPr>
              <w:t>0.0</w:t>
            </w:r>
            <w:r>
              <w:rPr>
                <w:rFonts w:hint="default" w:ascii="Times New Roman" w:hAnsi="Times New Roman" w:eastAsia="宋体" w:cs="Times New Roman"/>
                <w:b/>
                <w:bCs/>
                <w:color w:val="auto"/>
                <w:sz w:val="21"/>
                <w:szCs w:val="21"/>
                <w:u w:val="single"/>
                <w:lang w:val="en-US" w:eastAsia="zh-CN"/>
              </w:rPr>
              <w:t>07</w:t>
            </w:r>
          </w:p>
        </w:tc>
        <w:tc>
          <w:tcPr>
            <w:tcW w:w="2510"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lang w:eastAsia="zh-CN"/>
              </w:rPr>
              <w:t>调整饲料配方</w:t>
            </w:r>
            <w:r>
              <w:rPr>
                <w:rFonts w:hint="default" w:ascii="Times New Roman" w:hAnsi="Times New Roman" w:eastAsia="宋体" w:cs="Times New Roman"/>
                <w:b/>
                <w:bCs/>
                <w:color w:val="auto"/>
                <w:sz w:val="21"/>
                <w:szCs w:val="21"/>
                <w:u w:val="single"/>
              </w:rPr>
              <w:t>、采用节水型饮水器、全漏缝地板及时清粪</w:t>
            </w:r>
            <w:r>
              <w:rPr>
                <w:rFonts w:hint="default" w:ascii="Times New Roman" w:hAnsi="Times New Roman" w:eastAsia="宋体" w:cs="Times New Roman"/>
                <w:b/>
                <w:bCs/>
                <w:color w:val="auto"/>
                <w:sz w:val="21"/>
                <w:szCs w:val="21"/>
                <w:u w:val="single"/>
                <w:lang w:eastAsia="zh-CN"/>
              </w:rPr>
              <w:t>，猪舍出风口安装水帘除臭装置</w:t>
            </w:r>
            <w:r>
              <w:rPr>
                <w:rFonts w:hint="default" w:ascii="Times New Roman" w:hAnsi="Times New Roman" w:eastAsia="宋体" w:cs="Times New Roman"/>
                <w:b/>
                <w:bCs/>
                <w:color w:val="auto"/>
                <w:sz w:val="21"/>
                <w:szCs w:val="21"/>
                <w:u w:val="single"/>
              </w:rPr>
              <w:t>等，恶臭去除效率可达到</w:t>
            </w:r>
            <w:r>
              <w:rPr>
                <w:rFonts w:hint="default" w:ascii="Times New Roman" w:hAnsi="Times New Roman" w:eastAsia="宋体" w:cs="Times New Roman"/>
                <w:b/>
                <w:bCs/>
                <w:color w:val="auto"/>
                <w:sz w:val="21"/>
                <w:szCs w:val="21"/>
                <w:u w:val="single"/>
                <w:lang w:val="en-US" w:eastAsia="zh-CN"/>
              </w:rPr>
              <w:t>7</w:t>
            </w:r>
            <w:r>
              <w:rPr>
                <w:rFonts w:hint="default" w:ascii="Times New Roman" w:hAnsi="Times New Roman" w:eastAsia="宋体" w:cs="Times New Roman"/>
                <w:b/>
                <w:bCs/>
                <w:color w:val="auto"/>
                <w:sz w:val="21"/>
                <w:szCs w:val="21"/>
                <w:u w:val="single"/>
              </w:rPr>
              <w:t>0%</w:t>
            </w:r>
          </w:p>
        </w:tc>
        <w:tc>
          <w:tcPr>
            <w:tcW w:w="829"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0.02</w:t>
            </w:r>
            <w:r>
              <w:rPr>
                <w:rFonts w:hint="default" w:ascii="Times New Roman" w:hAnsi="Times New Roman" w:cs="Times New Roman"/>
                <w:b/>
                <w:bCs/>
                <w:color w:val="auto"/>
                <w:sz w:val="21"/>
                <w:szCs w:val="21"/>
                <w:u w:val="single"/>
                <w:lang w:val="en-US" w:eastAsia="zh-CN"/>
              </w:rPr>
              <w:t>5</w:t>
            </w:r>
          </w:p>
        </w:tc>
        <w:tc>
          <w:tcPr>
            <w:tcW w:w="8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0.002</w:t>
            </w:r>
          </w:p>
        </w:tc>
      </w:tr>
      <w:tr>
        <w:tblPrEx>
          <w:tblBorders>
            <w:top w:val="single" w:color="000000" w:sz="2" w:space="0"/>
            <w:left w:val="none" w:color="auto" w:sz="0" w:space="0"/>
            <w:bottom w:val="single" w:color="000000" w:sz="4" w:space="0"/>
            <w:right w:val="none" w:color="auto" w:sz="0" w:space="0"/>
            <w:insideH w:val="single" w:color="000000" w:sz="4" w:space="0"/>
            <w:insideV w:val="single" w:color="000000" w:sz="4" w:space="0"/>
          </w:tblBorders>
        </w:tblPrEx>
        <w:trPr>
          <w:trHeight w:val="1146" w:hRule="exact"/>
        </w:trPr>
        <w:tc>
          <w:tcPr>
            <w:tcW w:w="144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污水处理系统</w:t>
            </w:r>
          </w:p>
        </w:tc>
        <w:tc>
          <w:tcPr>
            <w:tcW w:w="824"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u w:val="single"/>
                <w:lang w:eastAsia="zh-CN"/>
              </w:rPr>
            </w:pPr>
            <w:r>
              <w:rPr>
                <w:rFonts w:hint="default" w:ascii="Times New Roman" w:hAnsi="Times New Roman" w:eastAsia="宋体" w:cs="Times New Roman"/>
                <w:b/>
                <w:bCs/>
                <w:color w:val="auto"/>
                <w:sz w:val="21"/>
                <w:szCs w:val="21"/>
                <w:u w:val="single"/>
                <w:lang w:eastAsia="zh-CN"/>
              </w:rPr>
              <w:t>无组织</w:t>
            </w:r>
          </w:p>
        </w:tc>
        <w:tc>
          <w:tcPr>
            <w:tcW w:w="1256"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0.06</w:t>
            </w:r>
          </w:p>
        </w:tc>
        <w:tc>
          <w:tcPr>
            <w:tcW w:w="1256"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rPr>
              <w:t>0.0</w:t>
            </w:r>
            <w:r>
              <w:rPr>
                <w:rFonts w:hint="default" w:ascii="Times New Roman" w:hAnsi="Times New Roman" w:eastAsia="宋体" w:cs="Times New Roman"/>
                <w:b/>
                <w:bCs/>
                <w:color w:val="auto"/>
                <w:sz w:val="21"/>
                <w:szCs w:val="21"/>
                <w:u w:val="single"/>
                <w:lang w:val="en-US" w:eastAsia="zh-CN"/>
              </w:rPr>
              <w:t>02</w:t>
            </w:r>
          </w:p>
        </w:tc>
        <w:tc>
          <w:tcPr>
            <w:tcW w:w="2510"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收集池、黑膜沼气池密闭，喷洒除臭剂，去除效率可达到70%</w:t>
            </w:r>
          </w:p>
        </w:tc>
        <w:tc>
          <w:tcPr>
            <w:tcW w:w="829"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0.018</w:t>
            </w:r>
          </w:p>
        </w:tc>
        <w:tc>
          <w:tcPr>
            <w:tcW w:w="8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rPr>
              <w:t>0.0</w:t>
            </w:r>
            <w:r>
              <w:rPr>
                <w:rFonts w:hint="default" w:ascii="Times New Roman" w:hAnsi="Times New Roman" w:eastAsia="宋体" w:cs="Times New Roman"/>
                <w:b/>
                <w:bCs/>
                <w:color w:val="auto"/>
                <w:sz w:val="21"/>
                <w:szCs w:val="21"/>
                <w:u w:val="single"/>
                <w:lang w:val="en-US" w:eastAsia="zh-CN"/>
              </w:rPr>
              <w:t>006</w:t>
            </w:r>
          </w:p>
        </w:tc>
      </w:tr>
      <w:tr>
        <w:tblPrEx>
          <w:tblBorders>
            <w:top w:val="single" w:color="000000" w:sz="2" w:space="0"/>
            <w:left w:val="none" w:color="auto" w:sz="0" w:space="0"/>
            <w:bottom w:val="single" w:color="000000" w:sz="4" w:space="0"/>
            <w:right w:val="none" w:color="auto" w:sz="0" w:space="0"/>
            <w:insideH w:val="single" w:color="000000" w:sz="4" w:space="0"/>
            <w:insideV w:val="single" w:color="000000" w:sz="4" w:space="0"/>
          </w:tblBorders>
        </w:tblPrEx>
        <w:trPr>
          <w:trHeight w:val="1301" w:hRule="exact"/>
        </w:trPr>
        <w:tc>
          <w:tcPr>
            <w:tcW w:w="144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固粪处理区</w:t>
            </w:r>
          </w:p>
        </w:tc>
        <w:tc>
          <w:tcPr>
            <w:tcW w:w="824"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u w:val="single"/>
                <w:lang w:eastAsia="zh-CN"/>
              </w:rPr>
            </w:pPr>
            <w:r>
              <w:rPr>
                <w:rFonts w:hint="default" w:ascii="Times New Roman" w:hAnsi="Times New Roman" w:eastAsia="宋体" w:cs="Times New Roman"/>
                <w:b/>
                <w:bCs/>
                <w:color w:val="auto"/>
                <w:sz w:val="21"/>
                <w:szCs w:val="21"/>
                <w:u w:val="single"/>
                <w:lang w:eastAsia="zh-CN"/>
              </w:rPr>
              <w:t>无组织</w:t>
            </w:r>
          </w:p>
        </w:tc>
        <w:tc>
          <w:tcPr>
            <w:tcW w:w="1256"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0.1225</w:t>
            </w:r>
          </w:p>
        </w:tc>
        <w:tc>
          <w:tcPr>
            <w:tcW w:w="1256"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0.0073</w:t>
            </w:r>
          </w:p>
        </w:tc>
        <w:tc>
          <w:tcPr>
            <w:tcW w:w="2510"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密闭处理，UV光解催化氧化+水帘除臭除臭装置，去除效率可达到70%</w:t>
            </w:r>
          </w:p>
          <w:p>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区域喷洒除臭剂，并加强场区绿化</w:t>
            </w:r>
          </w:p>
        </w:tc>
        <w:tc>
          <w:tcPr>
            <w:tcW w:w="829"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0.00</w:t>
            </w:r>
            <w:r>
              <w:rPr>
                <w:rFonts w:hint="default" w:ascii="Times New Roman" w:hAnsi="Times New Roman" w:cs="Times New Roman"/>
                <w:b/>
                <w:bCs/>
                <w:color w:val="auto"/>
                <w:sz w:val="21"/>
                <w:szCs w:val="21"/>
                <w:u w:val="single"/>
                <w:lang w:val="en-US" w:eastAsia="zh-CN"/>
              </w:rPr>
              <w:t>37</w:t>
            </w:r>
          </w:p>
        </w:tc>
        <w:tc>
          <w:tcPr>
            <w:tcW w:w="8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0.00</w:t>
            </w:r>
            <w:r>
              <w:rPr>
                <w:rFonts w:hint="default" w:ascii="Times New Roman" w:hAnsi="Times New Roman" w:cs="Times New Roman"/>
                <w:b/>
                <w:bCs/>
                <w:color w:val="auto"/>
                <w:sz w:val="21"/>
                <w:szCs w:val="21"/>
                <w:u w:val="single"/>
                <w:lang w:val="en-US" w:eastAsia="zh-CN"/>
              </w:rPr>
              <w:t>22</w:t>
            </w:r>
          </w:p>
        </w:tc>
      </w:tr>
      <w:tr>
        <w:tblPrEx>
          <w:tblBorders>
            <w:top w:val="single" w:color="000000" w:sz="2" w:space="0"/>
            <w:left w:val="none" w:color="auto" w:sz="0" w:space="0"/>
            <w:bottom w:val="single" w:color="000000" w:sz="4" w:space="0"/>
            <w:right w:val="none" w:color="auto" w:sz="0" w:space="0"/>
            <w:insideH w:val="single" w:color="000000" w:sz="4" w:space="0"/>
            <w:insideV w:val="single" w:color="000000" w:sz="4" w:space="0"/>
          </w:tblBorders>
        </w:tblPrEx>
        <w:trPr>
          <w:trHeight w:val="680" w:hRule="exact"/>
        </w:trPr>
        <w:tc>
          <w:tcPr>
            <w:tcW w:w="144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lang w:eastAsia="zh-CN"/>
              </w:rPr>
            </w:pPr>
            <w:r>
              <w:rPr>
                <w:rFonts w:hint="default" w:ascii="Times New Roman" w:hAnsi="Times New Roman" w:cs="Times New Roman"/>
                <w:b/>
                <w:bCs/>
                <w:color w:val="auto"/>
                <w:sz w:val="21"/>
                <w:szCs w:val="21"/>
                <w:u w:val="single"/>
                <w:lang w:eastAsia="zh-CN"/>
              </w:rPr>
              <w:t>沼液存储池</w:t>
            </w:r>
          </w:p>
        </w:tc>
        <w:tc>
          <w:tcPr>
            <w:tcW w:w="824"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u w:val="single"/>
                <w:lang w:eastAsia="zh-CN"/>
              </w:rPr>
            </w:pPr>
            <w:r>
              <w:rPr>
                <w:rFonts w:hint="default" w:ascii="Times New Roman" w:hAnsi="Times New Roman" w:eastAsia="宋体" w:cs="Times New Roman"/>
                <w:b/>
                <w:bCs/>
                <w:color w:val="auto"/>
                <w:sz w:val="21"/>
                <w:szCs w:val="21"/>
                <w:u w:val="single"/>
                <w:lang w:eastAsia="zh-CN"/>
              </w:rPr>
              <w:t>无组织</w:t>
            </w:r>
          </w:p>
        </w:tc>
        <w:tc>
          <w:tcPr>
            <w:tcW w:w="1256"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rPr>
              <w:t>0.</w:t>
            </w:r>
            <w:r>
              <w:rPr>
                <w:rFonts w:hint="default" w:ascii="Times New Roman" w:hAnsi="Times New Roman" w:eastAsia="宋体" w:cs="Times New Roman"/>
                <w:b/>
                <w:bCs/>
                <w:color w:val="auto"/>
                <w:sz w:val="21"/>
                <w:szCs w:val="21"/>
                <w:u w:val="single"/>
                <w:lang w:val="en-US" w:eastAsia="zh-CN"/>
              </w:rPr>
              <w:t>083</w:t>
            </w:r>
          </w:p>
        </w:tc>
        <w:tc>
          <w:tcPr>
            <w:tcW w:w="1256"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0.0</w:t>
            </w:r>
            <w:r>
              <w:rPr>
                <w:rFonts w:hint="default" w:ascii="Times New Roman" w:hAnsi="Times New Roman" w:eastAsia="宋体" w:cs="Times New Roman"/>
                <w:b/>
                <w:bCs/>
                <w:color w:val="auto"/>
                <w:sz w:val="21"/>
                <w:szCs w:val="21"/>
                <w:u w:val="single"/>
                <w:lang w:val="en-US" w:eastAsia="zh-CN"/>
              </w:rPr>
              <w:t>083</w:t>
            </w:r>
          </w:p>
        </w:tc>
        <w:tc>
          <w:tcPr>
            <w:tcW w:w="2510"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lang w:eastAsia="zh-CN"/>
              </w:rPr>
              <w:t>沼液存储池</w:t>
            </w:r>
            <w:r>
              <w:rPr>
                <w:rFonts w:hint="default" w:ascii="Times New Roman" w:hAnsi="Times New Roman" w:eastAsia="宋体" w:cs="Times New Roman"/>
                <w:b/>
                <w:bCs/>
                <w:color w:val="auto"/>
                <w:sz w:val="21"/>
                <w:szCs w:val="21"/>
                <w:u w:val="single"/>
              </w:rPr>
              <w:t>密闭，喷洒除臭</w:t>
            </w:r>
          </w:p>
          <w:p>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剂，去除效率可达到70%</w:t>
            </w:r>
          </w:p>
        </w:tc>
        <w:tc>
          <w:tcPr>
            <w:tcW w:w="829"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0.0025</w:t>
            </w:r>
          </w:p>
        </w:tc>
        <w:tc>
          <w:tcPr>
            <w:tcW w:w="8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0.00025</w:t>
            </w:r>
          </w:p>
        </w:tc>
      </w:tr>
      <w:tr>
        <w:tblPrEx>
          <w:tblBorders>
            <w:top w:val="single" w:color="000000" w:sz="2" w:space="0"/>
            <w:left w:val="none" w:color="auto" w:sz="0" w:space="0"/>
            <w:bottom w:val="single" w:color="000000" w:sz="4" w:space="0"/>
            <w:right w:val="none" w:color="auto" w:sz="0" w:space="0"/>
            <w:insideH w:val="single" w:color="000000" w:sz="4" w:space="0"/>
            <w:insideV w:val="single" w:color="000000" w:sz="4" w:space="0"/>
          </w:tblBorders>
        </w:tblPrEx>
        <w:trPr>
          <w:trHeight w:val="1063" w:hRule="exact"/>
        </w:trPr>
        <w:tc>
          <w:tcPr>
            <w:tcW w:w="1447"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病死猪高温无</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害化处理机</w:t>
            </w:r>
          </w:p>
        </w:tc>
        <w:tc>
          <w:tcPr>
            <w:tcW w:w="824"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u w:val="single"/>
                <w:lang w:eastAsia="zh-CN"/>
              </w:rPr>
            </w:pPr>
            <w:r>
              <w:rPr>
                <w:rFonts w:hint="default" w:ascii="Times New Roman" w:hAnsi="Times New Roman" w:eastAsia="宋体" w:cs="Times New Roman"/>
                <w:b/>
                <w:bCs/>
                <w:color w:val="auto"/>
                <w:sz w:val="21"/>
                <w:szCs w:val="21"/>
                <w:u w:val="single"/>
                <w:lang w:eastAsia="zh-CN"/>
              </w:rPr>
              <w:t>无组织</w:t>
            </w:r>
          </w:p>
        </w:tc>
        <w:tc>
          <w:tcPr>
            <w:tcW w:w="125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3.0×10</w:t>
            </w:r>
            <w:r>
              <w:rPr>
                <w:rFonts w:hint="default" w:ascii="Times New Roman" w:hAnsi="Times New Roman" w:eastAsia="宋体" w:cs="Times New Roman"/>
                <w:b/>
                <w:bCs/>
                <w:color w:val="auto"/>
                <w:sz w:val="21"/>
                <w:szCs w:val="21"/>
                <w:u w:val="single"/>
                <w:vertAlign w:val="superscript"/>
              </w:rPr>
              <w:t>-</w:t>
            </w:r>
            <w:r>
              <w:rPr>
                <w:rFonts w:hint="default" w:ascii="Times New Roman" w:hAnsi="Times New Roman" w:eastAsia="宋体" w:cs="Times New Roman"/>
                <w:b/>
                <w:bCs/>
                <w:color w:val="auto"/>
                <w:sz w:val="21"/>
                <w:szCs w:val="21"/>
                <w:u w:val="single"/>
                <w:vertAlign w:val="superscript"/>
                <w:lang w:val="en-US" w:eastAsia="zh-CN"/>
              </w:rPr>
              <w:t>5</w:t>
            </w:r>
          </w:p>
        </w:tc>
        <w:tc>
          <w:tcPr>
            <w:tcW w:w="125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5.5×10</w:t>
            </w:r>
            <w:r>
              <w:rPr>
                <w:rFonts w:hint="default" w:ascii="Times New Roman" w:hAnsi="Times New Roman" w:eastAsia="宋体" w:cs="Times New Roman"/>
                <w:b/>
                <w:bCs/>
                <w:color w:val="auto"/>
                <w:sz w:val="21"/>
                <w:szCs w:val="21"/>
                <w:u w:val="single"/>
                <w:vertAlign w:val="superscript"/>
              </w:rPr>
              <w:t>-</w:t>
            </w:r>
            <w:r>
              <w:rPr>
                <w:rFonts w:hint="default" w:ascii="Times New Roman" w:hAnsi="Times New Roman" w:eastAsia="宋体" w:cs="Times New Roman"/>
                <w:b/>
                <w:bCs/>
                <w:color w:val="auto"/>
                <w:sz w:val="21"/>
                <w:szCs w:val="21"/>
                <w:u w:val="single"/>
                <w:vertAlign w:val="superscript"/>
                <w:lang w:val="en-US" w:eastAsia="zh-CN"/>
              </w:rPr>
              <w:t>6</w:t>
            </w:r>
          </w:p>
        </w:tc>
        <w:tc>
          <w:tcPr>
            <w:tcW w:w="2510" w:type="dxa"/>
            <w:tcBorders>
              <w:tl2br w:val="nil"/>
              <w:tr2bl w:val="nil"/>
            </w:tcBorders>
            <w:noWrap w:val="0"/>
            <w:vAlign w:val="center"/>
          </w:tcPr>
          <w:p>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rPr>
              <w:t>UV光解催化氧化</w:t>
            </w:r>
          </w:p>
        </w:tc>
        <w:tc>
          <w:tcPr>
            <w:tcW w:w="829"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lang w:val="en-US" w:eastAsia="zh-CN"/>
              </w:rPr>
              <w:t>8</w:t>
            </w:r>
            <w:r>
              <w:rPr>
                <w:rFonts w:hint="default" w:ascii="Times New Roman" w:hAnsi="Times New Roman" w:eastAsia="宋体" w:cs="Times New Roman"/>
                <w:b/>
                <w:bCs/>
                <w:color w:val="auto"/>
                <w:sz w:val="21"/>
                <w:szCs w:val="21"/>
                <w:u w:val="single"/>
              </w:rPr>
              <w:t>×10</w:t>
            </w:r>
            <w:r>
              <w:rPr>
                <w:rFonts w:hint="default" w:ascii="Times New Roman" w:hAnsi="Times New Roman" w:eastAsia="宋体" w:cs="Times New Roman"/>
                <w:b/>
                <w:bCs/>
                <w:color w:val="auto"/>
                <w:sz w:val="21"/>
                <w:szCs w:val="21"/>
                <w:u w:val="single"/>
                <w:vertAlign w:val="superscript"/>
              </w:rPr>
              <w:t>-5</w:t>
            </w:r>
          </w:p>
        </w:tc>
        <w:tc>
          <w:tcPr>
            <w:tcW w:w="8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1.65×10</w:t>
            </w:r>
            <w:r>
              <w:rPr>
                <w:rFonts w:hint="default" w:ascii="Times New Roman" w:hAnsi="Times New Roman" w:eastAsia="宋体" w:cs="Times New Roman"/>
                <w:b/>
                <w:bCs/>
                <w:color w:val="auto"/>
                <w:sz w:val="21"/>
                <w:szCs w:val="21"/>
                <w:u w:val="single"/>
                <w:vertAlign w:val="superscript"/>
              </w:rPr>
              <w:t>-5</w:t>
            </w:r>
          </w:p>
        </w:tc>
      </w:tr>
    </w:tbl>
    <w:p>
      <w:pPr>
        <w:adjustRightInd/>
        <w:snapToGrid/>
        <w:spacing w:line="360" w:lineRule="auto"/>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（6）沼气燃烧废气</w:t>
      </w:r>
    </w:p>
    <w:p>
      <w:pPr>
        <w:bidi w:val="0"/>
        <w:rPr>
          <w:rFonts w:hint="default" w:ascii="Times New Roman" w:hAnsi="Times New Roman" w:cs="Times New Roman"/>
          <w:color w:val="auto"/>
          <w:lang w:val="en-US" w:eastAsia="zh-CN"/>
        </w:rPr>
      </w:pPr>
      <w:r>
        <w:rPr>
          <w:rFonts w:hint="default" w:ascii="Times New Roman" w:hAnsi="Times New Roman" w:cs="Times New Roman"/>
          <w:color w:val="auto"/>
        </w:rPr>
        <w:t>本项目运营期进入黑膜沼气池污水量为36286.706m</w:t>
      </w:r>
      <w:r>
        <w:rPr>
          <w:rFonts w:hint="default" w:ascii="Times New Roman" w:hAnsi="Times New Roman" w:cs="Times New Roman"/>
          <w:color w:val="auto"/>
          <w:vertAlign w:val="superscript"/>
        </w:rPr>
        <w:t>3</w:t>
      </w:r>
      <w:r>
        <w:rPr>
          <w:rFonts w:hint="default" w:ascii="Times New Roman" w:hAnsi="Times New Roman" w:cs="Times New Roman"/>
          <w:color w:val="auto"/>
        </w:rPr>
        <w:t>/a，COD进水浓度为15000mg/L，出水浓度为3000mg/L，COD分解产生沼气量为0.35m</w:t>
      </w:r>
      <w:r>
        <w:rPr>
          <w:rFonts w:hint="default" w:ascii="Times New Roman" w:hAnsi="Times New Roman" w:cs="Times New Roman"/>
          <w:color w:val="auto"/>
          <w:vertAlign w:val="superscript"/>
        </w:rPr>
        <w:t>3</w:t>
      </w:r>
      <w:r>
        <w:rPr>
          <w:rFonts w:hint="default" w:ascii="Times New Roman" w:hAnsi="Times New Roman" w:cs="Times New Roman"/>
          <w:color w:val="auto"/>
        </w:rPr>
        <w:t>/kg，本项目夏季废水产生量为124.42m</w:t>
      </w:r>
      <w:r>
        <w:rPr>
          <w:rFonts w:hint="default" w:ascii="Times New Roman" w:hAnsi="Times New Roman" w:cs="Times New Roman"/>
          <w:color w:val="auto"/>
          <w:vertAlign w:val="superscript"/>
        </w:rPr>
        <w:t>3</w:t>
      </w:r>
      <w:r>
        <w:rPr>
          <w:rFonts w:hint="default" w:ascii="Times New Roman" w:hAnsi="Times New Roman" w:cs="Times New Roman"/>
          <w:color w:val="auto"/>
        </w:rPr>
        <w:t>/d，其他季节废水产生量为86.862m</w:t>
      </w:r>
      <w:r>
        <w:rPr>
          <w:rFonts w:hint="default" w:ascii="Times New Roman" w:hAnsi="Times New Roman" w:cs="Times New Roman"/>
          <w:color w:val="auto"/>
          <w:vertAlign w:val="superscript"/>
        </w:rPr>
        <w:t>3</w:t>
      </w:r>
      <w:r>
        <w:rPr>
          <w:rFonts w:hint="default" w:ascii="Times New Roman" w:hAnsi="Times New Roman" w:cs="Times New Roman"/>
          <w:color w:val="auto"/>
        </w:rPr>
        <w:t>/d，计算得沼气产生夏季522.56m</w:t>
      </w:r>
      <w:r>
        <w:rPr>
          <w:rFonts w:hint="default" w:ascii="Times New Roman" w:hAnsi="Times New Roman" w:cs="Times New Roman"/>
          <w:color w:val="auto"/>
          <w:vertAlign w:val="superscript"/>
        </w:rPr>
        <w:t>3</w:t>
      </w:r>
      <w:r>
        <w:rPr>
          <w:rFonts w:hint="default" w:ascii="Times New Roman" w:hAnsi="Times New Roman" w:cs="Times New Roman"/>
          <w:color w:val="auto"/>
        </w:rPr>
        <w:t>/d，其他季节平均364.82m</w:t>
      </w:r>
      <w:r>
        <w:rPr>
          <w:rFonts w:hint="default" w:ascii="Times New Roman" w:hAnsi="Times New Roman" w:cs="Times New Roman"/>
          <w:color w:val="auto"/>
          <w:vertAlign w:val="superscript"/>
        </w:rPr>
        <w:t>3</w:t>
      </w:r>
      <w:r>
        <w:rPr>
          <w:rFonts w:hint="default" w:ascii="Times New Roman" w:hAnsi="Times New Roman" w:cs="Times New Roman"/>
          <w:color w:val="auto"/>
        </w:rPr>
        <w:t>/d，则全年全场沼气产生量共计152403.58m</w:t>
      </w:r>
      <w:r>
        <w:rPr>
          <w:rFonts w:hint="default" w:ascii="Times New Roman" w:hAnsi="Times New Roman" w:cs="Times New Roman"/>
          <w:color w:val="auto"/>
          <w:vertAlign w:val="superscript"/>
        </w:rPr>
        <w:t>3</w:t>
      </w:r>
      <w:r>
        <w:rPr>
          <w:rFonts w:hint="default" w:ascii="Times New Roman" w:hAnsi="Times New Roman" w:cs="Times New Roman"/>
          <w:color w:val="auto"/>
        </w:rPr>
        <w:t>。项目产生的沼气通过气水分离、脱硫后，用于食堂灶台，项目食堂灶台沼气用量为22.5m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default" w:ascii="Times New Roman" w:hAnsi="Times New Roman" w:cs="Times New Roman"/>
          <w:color w:val="auto"/>
          <w:lang w:val="en-US" w:eastAsia="zh-CN"/>
        </w:rPr>
        <w:t>16425</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w:t>
      </w:r>
      <w:r>
        <w:rPr>
          <w:rFonts w:hint="default" w:ascii="Times New Roman" w:hAnsi="Times New Roman" w:cs="Times New Roman"/>
          <w:color w:val="auto"/>
          <w:lang w:eastAsia="zh-CN"/>
        </w:rPr>
        <w:t>，</w:t>
      </w:r>
      <w:r>
        <w:rPr>
          <w:rFonts w:hint="default" w:ascii="Times New Roman" w:hAnsi="Times New Roman" w:cs="Times New Roman"/>
          <w:color w:val="auto"/>
        </w:rPr>
        <w:t>剩余</w:t>
      </w:r>
      <w:r>
        <w:rPr>
          <w:rFonts w:hint="default" w:ascii="Times New Roman" w:hAnsi="Times New Roman" w:cs="Times New Roman"/>
          <w:color w:val="auto"/>
          <w:lang w:val="en-US" w:eastAsia="zh-CN"/>
        </w:rPr>
        <w:t>135978.58</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沼气</w:t>
      </w:r>
      <w:r>
        <w:rPr>
          <w:rFonts w:hint="eastAsia" w:cs="Times New Roman"/>
          <w:color w:val="auto"/>
          <w:lang w:eastAsia="zh-CN"/>
        </w:rPr>
        <w:t>用于沼气热水炉</w:t>
      </w:r>
      <w:r>
        <w:rPr>
          <w:rFonts w:hint="default" w:ascii="Times New Roman" w:hAnsi="Times New Roman" w:cs="Times New Roman"/>
          <w:color w:val="auto"/>
        </w:rPr>
        <w:t>。</w:t>
      </w:r>
    </w:p>
    <w:p>
      <w:pPr>
        <w:bidi w:val="0"/>
        <w:rPr>
          <w:rFonts w:hint="default" w:ascii="Times New Roman" w:hAnsi="Times New Roman" w:cs="Times New Roman"/>
          <w:color w:val="auto"/>
        </w:rPr>
      </w:pPr>
      <w:r>
        <w:rPr>
          <w:rFonts w:hint="default" w:ascii="Times New Roman" w:hAnsi="Times New Roman" w:cs="Times New Roman"/>
          <w:color w:val="auto"/>
        </w:rPr>
        <w:t>沼气部分特性参数一览表见表3.3-7。</w:t>
      </w:r>
    </w:p>
    <w:p>
      <w:pPr>
        <w:bidi w:val="0"/>
        <w:jc w:val="center"/>
        <w:rPr>
          <w:rFonts w:hint="default" w:ascii="Times New Roman" w:hAnsi="Times New Roman" w:cs="Times New Roman"/>
          <w:b/>
          <w:bCs/>
          <w:color w:val="auto"/>
        </w:rPr>
      </w:pPr>
      <w:r>
        <w:rPr>
          <w:rFonts w:hint="default" w:ascii="Times New Roman" w:hAnsi="Times New Roman" w:cs="Times New Roman"/>
          <w:b/>
          <w:bCs/>
          <w:color w:val="auto"/>
        </w:rPr>
        <w:t>表3.3-7                   沼气部分特性参数一览表</w:t>
      </w:r>
    </w:p>
    <w:tbl>
      <w:tblPr>
        <w:tblStyle w:val="25"/>
        <w:tblW w:w="874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9"/>
        <w:gridCol w:w="2052"/>
        <w:gridCol w:w="1075"/>
        <w:gridCol w:w="48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blHeader/>
          <w:jc w:val="center"/>
        </w:trPr>
        <w:tc>
          <w:tcPr>
            <w:tcW w:w="799" w:type="dxa"/>
            <w:tcMar>
              <w:left w:w="0" w:type="dxa"/>
              <w:right w:w="0" w:type="dxa"/>
            </w:tcMar>
            <w:vAlign w:val="center"/>
          </w:tcPr>
          <w:p>
            <w:pPr>
              <w:pStyle w:val="41"/>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3127" w:type="dxa"/>
            <w:gridSpan w:val="2"/>
            <w:tcMar>
              <w:left w:w="0" w:type="dxa"/>
              <w:right w:w="0" w:type="dxa"/>
            </w:tcMar>
            <w:vAlign w:val="center"/>
          </w:tcPr>
          <w:p>
            <w:pPr>
              <w:pStyle w:val="41"/>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特性参数</w:t>
            </w:r>
          </w:p>
        </w:tc>
        <w:tc>
          <w:tcPr>
            <w:tcW w:w="4814" w:type="dxa"/>
            <w:tcMar>
              <w:left w:w="0" w:type="dxa"/>
              <w:right w:w="0" w:type="dxa"/>
            </w:tcMar>
            <w:vAlign w:val="center"/>
          </w:tcPr>
          <w:p>
            <w:pPr>
              <w:pStyle w:val="41"/>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 xml:space="preserve"> 60%、CO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 xml:space="preserve"> 35%、H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S0.034%、N</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及其他4.966%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99" w:type="dxa"/>
            <w:tcMar>
              <w:left w:w="0" w:type="dxa"/>
              <w:right w:w="0" w:type="dxa"/>
            </w:tcMar>
            <w:vAlign w:val="center"/>
          </w:tcPr>
          <w:p>
            <w:pPr>
              <w:pStyle w:val="41"/>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127" w:type="dxa"/>
            <w:gridSpan w:val="2"/>
            <w:tcMar>
              <w:left w:w="0" w:type="dxa"/>
              <w:right w:w="0" w:type="dxa"/>
            </w:tcMar>
            <w:vAlign w:val="center"/>
          </w:tcPr>
          <w:p>
            <w:pPr>
              <w:pStyle w:val="41"/>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密度（kg/m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4814" w:type="dxa"/>
            <w:tcMar>
              <w:left w:w="0" w:type="dxa"/>
              <w:right w:w="0" w:type="dxa"/>
            </w:tcMar>
            <w:vAlign w:val="center"/>
          </w:tcPr>
          <w:p>
            <w:pPr>
              <w:pStyle w:val="41"/>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1.221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99" w:type="dxa"/>
            <w:tcMar>
              <w:left w:w="0" w:type="dxa"/>
              <w:right w:w="0" w:type="dxa"/>
            </w:tcMar>
            <w:vAlign w:val="center"/>
          </w:tcPr>
          <w:p>
            <w:pPr>
              <w:pStyle w:val="41"/>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3127" w:type="dxa"/>
            <w:gridSpan w:val="2"/>
            <w:tcMar>
              <w:left w:w="0" w:type="dxa"/>
              <w:right w:w="0" w:type="dxa"/>
            </w:tcMar>
            <w:vAlign w:val="center"/>
          </w:tcPr>
          <w:p>
            <w:pPr>
              <w:pStyle w:val="41"/>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比重</w:t>
            </w:r>
          </w:p>
        </w:tc>
        <w:tc>
          <w:tcPr>
            <w:tcW w:w="4814" w:type="dxa"/>
            <w:tcMar>
              <w:left w:w="0" w:type="dxa"/>
              <w:right w:w="0" w:type="dxa"/>
            </w:tcMar>
            <w:vAlign w:val="center"/>
          </w:tcPr>
          <w:p>
            <w:pPr>
              <w:pStyle w:val="41"/>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0.944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799" w:type="dxa"/>
            <w:tcMar>
              <w:left w:w="0" w:type="dxa"/>
              <w:right w:w="0" w:type="dxa"/>
            </w:tcMar>
            <w:vAlign w:val="center"/>
          </w:tcPr>
          <w:p>
            <w:pPr>
              <w:pStyle w:val="41"/>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3127" w:type="dxa"/>
            <w:gridSpan w:val="2"/>
            <w:tcMar>
              <w:left w:w="0" w:type="dxa"/>
              <w:right w:w="0" w:type="dxa"/>
            </w:tcMar>
            <w:vAlign w:val="center"/>
          </w:tcPr>
          <w:p>
            <w:pPr>
              <w:pStyle w:val="41"/>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热值（kJ/m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4814" w:type="dxa"/>
            <w:tcMar>
              <w:left w:w="0" w:type="dxa"/>
              <w:right w:w="0" w:type="dxa"/>
            </w:tcMar>
            <w:vAlign w:val="center"/>
          </w:tcPr>
          <w:p>
            <w:pPr>
              <w:pStyle w:val="41"/>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21524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799" w:type="dxa"/>
            <w:tcMar>
              <w:left w:w="0" w:type="dxa"/>
              <w:right w:w="0" w:type="dxa"/>
            </w:tcMar>
            <w:vAlign w:val="center"/>
          </w:tcPr>
          <w:p>
            <w:pPr>
              <w:pStyle w:val="41"/>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3127" w:type="dxa"/>
            <w:gridSpan w:val="2"/>
            <w:tcMar>
              <w:left w:w="0" w:type="dxa"/>
              <w:right w:w="0" w:type="dxa"/>
            </w:tcMar>
            <w:vAlign w:val="center"/>
          </w:tcPr>
          <w:p>
            <w:pPr>
              <w:pStyle w:val="41"/>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理论空气量（m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4814" w:type="dxa"/>
            <w:tcMar>
              <w:left w:w="0" w:type="dxa"/>
              <w:right w:w="0" w:type="dxa"/>
            </w:tcMar>
            <w:vAlign w:val="center"/>
          </w:tcPr>
          <w:p>
            <w:pPr>
              <w:pStyle w:val="41"/>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5.71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99" w:type="dxa"/>
            <w:vMerge w:val="restart"/>
            <w:tcMar>
              <w:left w:w="0" w:type="dxa"/>
              <w:right w:w="0" w:type="dxa"/>
            </w:tcMar>
            <w:vAlign w:val="center"/>
          </w:tcPr>
          <w:p>
            <w:pPr>
              <w:pStyle w:val="41"/>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052" w:type="dxa"/>
            <w:vMerge w:val="restart"/>
            <w:tcMar>
              <w:left w:w="0" w:type="dxa"/>
              <w:right w:w="0" w:type="dxa"/>
            </w:tcMar>
            <w:vAlign w:val="center"/>
          </w:tcPr>
          <w:p>
            <w:pPr>
              <w:pStyle w:val="41"/>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爆炸极限（%）</w:t>
            </w:r>
          </w:p>
        </w:tc>
        <w:tc>
          <w:tcPr>
            <w:tcW w:w="1075" w:type="dxa"/>
            <w:tcMar>
              <w:left w:w="0" w:type="dxa"/>
              <w:right w:w="0" w:type="dxa"/>
            </w:tcMar>
            <w:vAlign w:val="center"/>
          </w:tcPr>
          <w:p>
            <w:pPr>
              <w:pStyle w:val="41"/>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上限</w:t>
            </w:r>
          </w:p>
        </w:tc>
        <w:tc>
          <w:tcPr>
            <w:tcW w:w="4814" w:type="dxa"/>
            <w:tcMar>
              <w:left w:w="0" w:type="dxa"/>
              <w:right w:w="0" w:type="dxa"/>
            </w:tcMar>
            <w:vAlign w:val="center"/>
          </w:tcPr>
          <w:p>
            <w:pPr>
              <w:pStyle w:val="41"/>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24.44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799" w:type="dxa"/>
            <w:vMerge w:val="continue"/>
            <w:tcMar>
              <w:left w:w="0" w:type="dxa"/>
              <w:right w:w="0" w:type="dxa"/>
            </w:tcMar>
            <w:vAlign w:val="center"/>
          </w:tcPr>
          <w:p>
            <w:pPr>
              <w:pStyle w:val="41"/>
              <w:spacing w:line="240" w:lineRule="auto"/>
              <w:ind w:firstLine="0" w:firstLineChars="0"/>
              <w:rPr>
                <w:rFonts w:hint="default" w:ascii="Times New Roman" w:hAnsi="Times New Roman" w:eastAsia="宋体" w:cs="Times New Roman"/>
                <w:color w:val="auto"/>
                <w:sz w:val="21"/>
                <w:szCs w:val="21"/>
              </w:rPr>
            </w:pPr>
          </w:p>
        </w:tc>
        <w:tc>
          <w:tcPr>
            <w:tcW w:w="2052" w:type="dxa"/>
            <w:vMerge w:val="continue"/>
            <w:tcMar>
              <w:left w:w="0" w:type="dxa"/>
              <w:right w:w="0" w:type="dxa"/>
            </w:tcMar>
            <w:vAlign w:val="center"/>
          </w:tcPr>
          <w:p>
            <w:pPr>
              <w:pStyle w:val="41"/>
              <w:spacing w:line="240" w:lineRule="auto"/>
              <w:ind w:firstLine="0" w:firstLineChars="0"/>
              <w:rPr>
                <w:rFonts w:hint="default" w:ascii="Times New Roman" w:hAnsi="Times New Roman" w:eastAsia="宋体" w:cs="Times New Roman"/>
                <w:color w:val="auto"/>
                <w:sz w:val="21"/>
                <w:szCs w:val="21"/>
              </w:rPr>
            </w:pPr>
          </w:p>
        </w:tc>
        <w:tc>
          <w:tcPr>
            <w:tcW w:w="1075" w:type="dxa"/>
            <w:tcMar>
              <w:left w:w="0" w:type="dxa"/>
              <w:right w:w="0" w:type="dxa"/>
            </w:tcMar>
            <w:vAlign w:val="center"/>
          </w:tcPr>
          <w:p>
            <w:pPr>
              <w:pStyle w:val="41"/>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下限</w:t>
            </w:r>
          </w:p>
        </w:tc>
        <w:tc>
          <w:tcPr>
            <w:tcW w:w="4814" w:type="dxa"/>
            <w:tcMar>
              <w:left w:w="0" w:type="dxa"/>
              <w:right w:w="0" w:type="dxa"/>
            </w:tcMar>
            <w:vAlign w:val="center"/>
          </w:tcPr>
          <w:p>
            <w:pPr>
              <w:pStyle w:val="41"/>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799" w:type="dxa"/>
            <w:tcMar>
              <w:left w:w="0" w:type="dxa"/>
              <w:right w:w="0" w:type="dxa"/>
            </w:tcMar>
            <w:vAlign w:val="center"/>
          </w:tcPr>
          <w:p>
            <w:pPr>
              <w:pStyle w:val="41"/>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3127" w:type="dxa"/>
            <w:gridSpan w:val="2"/>
            <w:tcMar>
              <w:left w:w="0" w:type="dxa"/>
              <w:right w:w="0" w:type="dxa"/>
            </w:tcMar>
            <w:vAlign w:val="center"/>
          </w:tcPr>
          <w:p>
            <w:pPr>
              <w:pStyle w:val="41"/>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理论烟气量（m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4814" w:type="dxa"/>
            <w:tcMar>
              <w:left w:w="0" w:type="dxa"/>
              <w:right w:w="0" w:type="dxa"/>
            </w:tcMar>
            <w:vAlign w:val="center"/>
          </w:tcPr>
          <w:p>
            <w:pPr>
              <w:pStyle w:val="41"/>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8.914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99" w:type="dxa"/>
            <w:tcMar>
              <w:left w:w="0" w:type="dxa"/>
              <w:right w:w="0" w:type="dxa"/>
            </w:tcMar>
            <w:vAlign w:val="center"/>
          </w:tcPr>
          <w:p>
            <w:pPr>
              <w:pStyle w:val="41"/>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3127" w:type="dxa"/>
            <w:gridSpan w:val="2"/>
            <w:tcMar>
              <w:left w:w="0" w:type="dxa"/>
              <w:right w:w="0" w:type="dxa"/>
            </w:tcMar>
            <w:vAlign w:val="center"/>
          </w:tcPr>
          <w:p>
            <w:pPr>
              <w:pStyle w:val="41"/>
              <w:spacing w:line="240" w:lineRule="auto"/>
              <w:ind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火焰传播速度（m/s）</w:t>
            </w:r>
          </w:p>
        </w:tc>
        <w:tc>
          <w:tcPr>
            <w:tcW w:w="4814" w:type="dxa"/>
            <w:tcMar>
              <w:left w:w="0" w:type="dxa"/>
              <w:right w:w="0" w:type="dxa"/>
            </w:tcMar>
            <w:vAlign w:val="center"/>
          </w:tcPr>
          <w:p>
            <w:pPr>
              <w:pStyle w:val="41"/>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0.198</w:t>
            </w:r>
          </w:p>
        </w:tc>
      </w:tr>
    </w:tbl>
    <w:p>
      <w:pPr>
        <w:keepNext w:val="0"/>
        <w:keepLines w:val="0"/>
        <w:pageBreakBefore w:val="0"/>
        <w:widowControl/>
        <w:suppressLineNumbers w:val="0"/>
        <w:kinsoku/>
        <w:wordWrap/>
        <w:overflowPunct/>
        <w:topLinePunct w:val="0"/>
        <w:autoSpaceDE/>
        <w:autoSpaceDN/>
        <w:bidi w:val="0"/>
        <w:adjustRightInd w:val="0"/>
        <w:snapToGrid w:val="0"/>
        <w:jc w:val="both"/>
        <w:textAlignment w:val="auto"/>
        <w:rPr>
          <w:rFonts w:hint="default" w:ascii="Times New Roman" w:hAnsi="Times New Roman" w:cs="Times New Roman"/>
          <w:b/>
          <w:bCs/>
          <w:color w:val="auto"/>
          <w:spacing w:val="4"/>
          <w:u w:val="single"/>
        </w:rPr>
      </w:pPr>
      <w:r>
        <w:rPr>
          <w:rFonts w:hint="default" w:ascii="Times New Roman" w:hAnsi="Times New Roman" w:cs="Times New Roman"/>
          <w:b/>
          <w:bCs/>
          <w:color w:val="auto"/>
          <w:spacing w:val="4"/>
          <w:u w:val="single"/>
        </w:rPr>
        <w:t>根据项目的沼气特性，经类比，1m</w:t>
      </w:r>
      <w:r>
        <w:rPr>
          <w:rFonts w:hint="default" w:ascii="Times New Roman" w:hAnsi="Times New Roman" w:cs="Times New Roman"/>
          <w:b/>
          <w:bCs/>
          <w:color w:val="auto"/>
          <w:spacing w:val="4"/>
          <w:u w:val="single"/>
          <w:vertAlign w:val="superscript"/>
        </w:rPr>
        <w:t>3</w:t>
      </w:r>
      <w:r>
        <w:rPr>
          <w:rFonts w:hint="default" w:ascii="Times New Roman" w:hAnsi="Times New Roman" w:cs="Times New Roman"/>
          <w:b/>
          <w:bCs/>
          <w:color w:val="auto"/>
          <w:spacing w:val="4"/>
          <w:u w:val="single"/>
        </w:rPr>
        <w:t>沼气燃烧后产生的废气量为7.96m</w:t>
      </w:r>
      <w:r>
        <w:rPr>
          <w:rFonts w:hint="default" w:ascii="Times New Roman" w:hAnsi="Times New Roman" w:cs="Times New Roman"/>
          <w:b/>
          <w:bCs/>
          <w:color w:val="auto"/>
          <w:spacing w:val="4"/>
          <w:u w:val="single"/>
          <w:vertAlign w:val="superscript"/>
        </w:rPr>
        <w:t>3</w:t>
      </w:r>
      <w:r>
        <w:rPr>
          <w:rFonts w:hint="default" w:ascii="Times New Roman" w:hAnsi="Times New Roman" w:cs="Times New Roman"/>
          <w:b/>
          <w:bCs/>
          <w:color w:val="auto"/>
          <w:spacing w:val="4"/>
          <w:u w:val="single"/>
        </w:rPr>
        <w:t>，SO</w:t>
      </w:r>
      <w:r>
        <w:rPr>
          <w:rFonts w:hint="default" w:ascii="Times New Roman" w:hAnsi="Times New Roman" w:cs="Times New Roman"/>
          <w:b/>
          <w:bCs/>
          <w:color w:val="auto"/>
          <w:spacing w:val="4"/>
          <w:u w:val="single"/>
          <w:vertAlign w:val="subscript"/>
        </w:rPr>
        <w:t>2</w:t>
      </w:r>
      <w:r>
        <w:rPr>
          <w:rFonts w:hint="default" w:ascii="Times New Roman" w:hAnsi="Times New Roman" w:cs="Times New Roman"/>
          <w:b/>
          <w:bCs/>
          <w:color w:val="auto"/>
          <w:spacing w:val="4"/>
          <w:u w:val="single"/>
        </w:rPr>
        <w:t>产生浓度为17mg/m</w:t>
      </w:r>
      <w:r>
        <w:rPr>
          <w:rFonts w:hint="default" w:ascii="Times New Roman" w:hAnsi="Times New Roman" w:cs="Times New Roman"/>
          <w:b/>
          <w:bCs/>
          <w:color w:val="auto"/>
          <w:spacing w:val="4"/>
          <w:u w:val="single"/>
          <w:vertAlign w:val="superscript"/>
        </w:rPr>
        <w:t>3</w:t>
      </w:r>
      <w:r>
        <w:rPr>
          <w:rFonts w:hint="default" w:ascii="Times New Roman" w:hAnsi="Times New Roman" w:cs="Times New Roman"/>
          <w:b/>
          <w:bCs/>
          <w:color w:val="auto"/>
          <w:spacing w:val="4"/>
          <w:u w:val="single"/>
        </w:rPr>
        <w:t>，烟尘产生浓度30mg/m</w:t>
      </w:r>
      <w:r>
        <w:rPr>
          <w:rFonts w:hint="default" w:ascii="Times New Roman" w:hAnsi="Times New Roman" w:cs="Times New Roman"/>
          <w:b/>
          <w:bCs/>
          <w:color w:val="auto"/>
          <w:spacing w:val="4"/>
          <w:u w:val="single"/>
          <w:vertAlign w:val="superscript"/>
        </w:rPr>
        <w:t>3</w:t>
      </w:r>
      <w:r>
        <w:rPr>
          <w:rFonts w:hint="default" w:ascii="Times New Roman" w:hAnsi="Times New Roman" w:cs="Times New Roman"/>
          <w:b/>
          <w:bCs/>
          <w:color w:val="auto"/>
          <w:spacing w:val="4"/>
          <w:u w:val="single"/>
        </w:rPr>
        <w:t>，NOx产生浓度为75mg/m</w:t>
      </w:r>
      <w:r>
        <w:rPr>
          <w:rFonts w:hint="default" w:ascii="Times New Roman" w:hAnsi="Times New Roman" w:cs="Times New Roman"/>
          <w:b/>
          <w:bCs/>
          <w:color w:val="auto"/>
          <w:spacing w:val="4"/>
          <w:u w:val="single"/>
          <w:vertAlign w:val="superscript"/>
        </w:rPr>
        <w:t>3</w:t>
      </w:r>
      <w:r>
        <w:rPr>
          <w:rFonts w:hint="default" w:ascii="Times New Roman" w:hAnsi="Times New Roman" w:cs="Times New Roman"/>
          <w:b/>
          <w:bCs/>
          <w:color w:val="auto"/>
          <w:spacing w:val="4"/>
          <w:u w:val="single"/>
        </w:rPr>
        <w:t>。则项目沼气燃烧废气量为</w:t>
      </w:r>
      <w:r>
        <w:rPr>
          <w:rFonts w:hint="default" w:ascii="Times New Roman" w:hAnsi="Times New Roman" w:cs="Times New Roman"/>
          <w:b/>
          <w:bCs/>
          <w:color w:val="auto"/>
          <w:spacing w:val="4"/>
          <w:u w:val="single"/>
          <w:lang w:val="en-US" w:eastAsia="zh-CN"/>
        </w:rPr>
        <w:t>108.2万</w:t>
      </w:r>
      <w:r>
        <w:rPr>
          <w:rFonts w:hint="default" w:ascii="Times New Roman" w:hAnsi="Times New Roman" w:cs="Times New Roman"/>
          <w:b/>
          <w:bCs/>
          <w:color w:val="auto"/>
          <w:spacing w:val="4"/>
          <w:u w:val="single"/>
        </w:rPr>
        <w:t>m</w:t>
      </w:r>
      <w:r>
        <w:rPr>
          <w:rFonts w:hint="default" w:ascii="Times New Roman" w:hAnsi="Times New Roman" w:cs="Times New Roman"/>
          <w:b/>
          <w:bCs/>
          <w:color w:val="auto"/>
          <w:spacing w:val="4"/>
          <w:u w:val="single"/>
          <w:vertAlign w:val="superscript"/>
        </w:rPr>
        <w:t>3</w:t>
      </w:r>
      <w:r>
        <w:rPr>
          <w:rFonts w:hint="default" w:ascii="Times New Roman" w:hAnsi="Times New Roman" w:cs="Times New Roman"/>
          <w:b/>
          <w:bCs/>
          <w:color w:val="auto"/>
          <w:spacing w:val="4"/>
          <w:u w:val="single"/>
        </w:rPr>
        <w:t>，SO</w:t>
      </w:r>
      <w:r>
        <w:rPr>
          <w:rFonts w:hint="default" w:ascii="Times New Roman" w:hAnsi="Times New Roman" w:cs="Times New Roman"/>
          <w:b/>
          <w:bCs/>
          <w:color w:val="auto"/>
          <w:spacing w:val="4"/>
          <w:u w:val="single"/>
          <w:vertAlign w:val="subscript"/>
        </w:rPr>
        <w:t>2</w:t>
      </w:r>
      <w:r>
        <w:rPr>
          <w:rFonts w:hint="default" w:ascii="Times New Roman" w:hAnsi="Times New Roman" w:cs="Times New Roman"/>
          <w:b/>
          <w:bCs/>
          <w:color w:val="auto"/>
          <w:spacing w:val="4"/>
          <w:u w:val="single"/>
        </w:rPr>
        <w:t>产生量为0.01</w:t>
      </w:r>
      <w:r>
        <w:rPr>
          <w:rFonts w:hint="default" w:ascii="Times New Roman" w:hAnsi="Times New Roman" w:cs="Times New Roman"/>
          <w:b/>
          <w:bCs/>
          <w:color w:val="auto"/>
          <w:spacing w:val="4"/>
          <w:u w:val="single"/>
          <w:lang w:val="en-US" w:eastAsia="zh-CN"/>
        </w:rPr>
        <w:t>8</w:t>
      </w:r>
      <w:r>
        <w:rPr>
          <w:rFonts w:hint="default" w:ascii="Times New Roman" w:hAnsi="Times New Roman" w:cs="Times New Roman"/>
          <w:b/>
          <w:bCs/>
          <w:color w:val="auto"/>
          <w:spacing w:val="4"/>
          <w:u w:val="single"/>
        </w:rPr>
        <w:t>t/a，烟尘产生量为0.0</w:t>
      </w:r>
      <w:r>
        <w:rPr>
          <w:rFonts w:hint="default" w:ascii="Times New Roman" w:hAnsi="Times New Roman" w:cs="Times New Roman"/>
          <w:b/>
          <w:bCs/>
          <w:color w:val="auto"/>
          <w:spacing w:val="4"/>
          <w:u w:val="single"/>
          <w:lang w:val="en-US" w:eastAsia="zh-CN"/>
        </w:rPr>
        <w:t>32</w:t>
      </w:r>
      <w:r>
        <w:rPr>
          <w:rFonts w:hint="default" w:ascii="Times New Roman" w:hAnsi="Times New Roman" w:cs="Times New Roman"/>
          <w:b/>
          <w:bCs/>
          <w:color w:val="auto"/>
          <w:spacing w:val="4"/>
          <w:u w:val="single"/>
        </w:rPr>
        <w:t>t/a，NOx产生量为0.0</w:t>
      </w:r>
      <w:r>
        <w:rPr>
          <w:rFonts w:hint="default" w:ascii="Times New Roman" w:hAnsi="Times New Roman" w:cs="Times New Roman"/>
          <w:b/>
          <w:bCs/>
          <w:color w:val="auto"/>
          <w:spacing w:val="4"/>
          <w:u w:val="single"/>
          <w:lang w:val="en-US" w:eastAsia="zh-CN"/>
        </w:rPr>
        <w:t>81</w:t>
      </w:r>
      <w:r>
        <w:rPr>
          <w:rFonts w:hint="default" w:ascii="Times New Roman" w:hAnsi="Times New Roman" w:cs="Times New Roman"/>
          <w:b/>
          <w:bCs/>
          <w:color w:val="auto"/>
          <w:spacing w:val="4"/>
          <w:u w:val="single"/>
        </w:rPr>
        <w:t>t/a。</w:t>
      </w:r>
      <w:r>
        <w:rPr>
          <w:rFonts w:hint="default" w:ascii="Times New Roman" w:hAnsi="Times New Roman" w:eastAsia="宋体" w:cs="Times New Roman"/>
          <w:b/>
          <w:bCs/>
          <w:color w:val="auto"/>
          <w:kern w:val="0"/>
          <w:sz w:val="24"/>
          <w:szCs w:val="24"/>
          <w:u w:val="single"/>
          <w:lang w:val="en-US" w:eastAsia="zh-CN" w:bidi="ar"/>
        </w:rPr>
        <w:t>废气排放速率分别为SO</w:t>
      </w:r>
      <w:r>
        <w:rPr>
          <w:rFonts w:hint="default" w:ascii="Times New Roman" w:hAnsi="Times New Roman" w:eastAsia="宋体" w:cs="Times New Roman"/>
          <w:b/>
          <w:bCs/>
          <w:color w:val="auto"/>
          <w:kern w:val="0"/>
          <w:sz w:val="15"/>
          <w:szCs w:val="15"/>
          <w:u w:val="single"/>
          <w:lang w:val="en-US" w:eastAsia="zh-CN" w:bidi="ar"/>
        </w:rPr>
        <w:t>2</w:t>
      </w:r>
      <w:r>
        <w:rPr>
          <w:rFonts w:hint="default" w:ascii="Times New Roman" w:hAnsi="Times New Roman" w:eastAsia="宋体" w:cs="Times New Roman"/>
          <w:b/>
          <w:bCs/>
          <w:color w:val="auto"/>
          <w:kern w:val="0"/>
          <w:sz w:val="24"/>
          <w:szCs w:val="24"/>
          <w:u w:val="single"/>
          <w:lang w:val="en-US" w:eastAsia="zh-CN" w:bidi="ar"/>
        </w:rPr>
        <w:t>0.00</w:t>
      </w:r>
      <w:r>
        <w:rPr>
          <w:rFonts w:hint="default" w:ascii="Times New Roman" w:hAnsi="Times New Roman" w:cs="Times New Roman"/>
          <w:b/>
          <w:bCs/>
          <w:color w:val="auto"/>
          <w:kern w:val="0"/>
          <w:sz w:val="24"/>
          <w:szCs w:val="24"/>
          <w:u w:val="single"/>
          <w:lang w:val="en-US" w:eastAsia="zh-CN" w:bidi="ar"/>
        </w:rPr>
        <w:t>2</w:t>
      </w:r>
      <w:r>
        <w:rPr>
          <w:rFonts w:hint="default" w:ascii="Times New Roman" w:hAnsi="Times New Roman" w:eastAsia="宋体" w:cs="Times New Roman"/>
          <w:b/>
          <w:bCs/>
          <w:color w:val="auto"/>
          <w:kern w:val="0"/>
          <w:sz w:val="24"/>
          <w:szCs w:val="24"/>
          <w:u w:val="single"/>
          <w:lang w:val="en-US" w:eastAsia="zh-CN" w:bidi="ar"/>
        </w:rPr>
        <w:t>kg/h，NO</w:t>
      </w:r>
      <w:r>
        <w:rPr>
          <w:rFonts w:hint="default" w:ascii="Times New Roman" w:hAnsi="Times New Roman" w:eastAsia="宋体" w:cs="Times New Roman"/>
          <w:b/>
          <w:bCs/>
          <w:color w:val="auto"/>
          <w:kern w:val="0"/>
          <w:sz w:val="15"/>
          <w:szCs w:val="15"/>
          <w:u w:val="single"/>
          <w:lang w:val="en-US" w:eastAsia="zh-CN" w:bidi="ar"/>
        </w:rPr>
        <w:t>x</w:t>
      </w:r>
      <w:r>
        <w:rPr>
          <w:rFonts w:hint="default" w:ascii="Times New Roman" w:hAnsi="Times New Roman" w:eastAsia="宋体" w:cs="Times New Roman"/>
          <w:b/>
          <w:bCs/>
          <w:color w:val="auto"/>
          <w:kern w:val="0"/>
          <w:sz w:val="24"/>
          <w:szCs w:val="24"/>
          <w:u w:val="single"/>
          <w:lang w:val="en-US" w:eastAsia="zh-CN" w:bidi="ar"/>
        </w:rPr>
        <w:t>0.0</w:t>
      </w:r>
      <w:r>
        <w:rPr>
          <w:rFonts w:hint="default" w:ascii="Times New Roman" w:hAnsi="Times New Roman" w:cs="Times New Roman"/>
          <w:b/>
          <w:bCs/>
          <w:color w:val="auto"/>
          <w:kern w:val="0"/>
          <w:sz w:val="24"/>
          <w:szCs w:val="24"/>
          <w:u w:val="single"/>
          <w:lang w:val="en-US" w:eastAsia="zh-CN" w:bidi="ar"/>
        </w:rPr>
        <w:t>09</w:t>
      </w:r>
      <w:r>
        <w:rPr>
          <w:rFonts w:hint="default" w:ascii="Times New Roman" w:hAnsi="Times New Roman" w:eastAsia="宋体" w:cs="Times New Roman"/>
          <w:b/>
          <w:bCs/>
          <w:color w:val="auto"/>
          <w:kern w:val="0"/>
          <w:sz w:val="24"/>
          <w:szCs w:val="24"/>
          <w:u w:val="single"/>
          <w:lang w:val="en-US" w:eastAsia="zh-CN" w:bidi="ar"/>
        </w:rPr>
        <w:t>kg/h，颗粒物0.00</w:t>
      </w:r>
      <w:r>
        <w:rPr>
          <w:rFonts w:hint="default" w:ascii="Times New Roman" w:hAnsi="Times New Roman" w:cs="Times New Roman"/>
          <w:b/>
          <w:bCs/>
          <w:color w:val="auto"/>
          <w:kern w:val="0"/>
          <w:sz w:val="24"/>
          <w:szCs w:val="24"/>
          <w:u w:val="single"/>
          <w:lang w:val="en-US" w:eastAsia="zh-CN" w:bidi="ar"/>
        </w:rPr>
        <w:t>36</w:t>
      </w:r>
      <w:r>
        <w:rPr>
          <w:rFonts w:hint="default" w:ascii="Times New Roman" w:hAnsi="Times New Roman" w:eastAsia="宋体" w:cs="Times New Roman"/>
          <w:b/>
          <w:bCs/>
          <w:color w:val="auto"/>
          <w:kern w:val="0"/>
          <w:sz w:val="24"/>
          <w:szCs w:val="24"/>
          <w:u w:val="single"/>
          <w:lang w:val="en-US" w:eastAsia="zh-CN" w:bidi="ar"/>
        </w:rPr>
        <w:t>kg/h。</w:t>
      </w:r>
    </w:p>
    <w:p>
      <w:pPr>
        <w:pStyle w:val="11"/>
        <w:spacing w:after="0"/>
        <w:ind w:firstLine="496"/>
        <w:rPr>
          <w:rFonts w:hint="default" w:ascii="Times New Roman" w:hAnsi="Times New Roman" w:cs="Times New Roman"/>
          <w:color w:val="auto"/>
          <w:spacing w:val="4"/>
        </w:rPr>
      </w:pPr>
      <w:r>
        <w:rPr>
          <w:rFonts w:hint="default" w:ascii="Times New Roman" w:hAnsi="Times New Roman" w:cs="Times New Roman"/>
          <w:color w:val="auto"/>
          <w:spacing w:val="4"/>
        </w:rPr>
        <w:t>本项目沼气燃烧废气排放能够满足《大气污染物综合排放标准》(GB16297-1996)二级排放标准。</w:t>
      </w:r>
      <w:r>
        <w:rPr>
          <w:rFonts w:hint="default" w:ascii="Times New Roman" w:hAnsi="Times New Roman" w:cs="Times New Roman"/>
          <w:color w:val="auto"/>
          <w:spacing w:val="4"/>
          <w:lang w:val="en-US" w:eastAsia="zh-CN"/>
        </w:rPr>
        <w:t>按照《大气污染物综合排放标准》（GB16297-1996）中要求，新污染排气筒高度低于15m时，其排放速率按照外推法计算结果在严格50%执行。经计算排放速率应执行的标准为SO</w:t>
      </w:r>
      <w:r>
        <w:rPr>
          <w:rFonts w:hint="default" w:ascii="Times New Roman" w:hAnsi="Times New Roman" w:cs="Times New Roman"/>
          <w:color w:val="auto"/>
          <w:spacing w:val="4"/>
          <w:vertAlign w:val="subscript"/>
          <w:lang w:val="en-US" w:eastAsia="zh-CN"/>
        </w:rPr>
        <w:t>2</w:t>
      </w:r>
      <w:r>
        <w:rPr>
          <w:rFonts w:hint="default" w:ascii="Times New Roman" w:hAnsi="Times New Roman" w:cs="Times New Roman"/>
          <w:color w:val="auto"/>
          <w:spacing w:val="4"/>
          <w:lang w:val="en-US" w:eastAsia="zh-CN"/>
        </w:rPr>
        <w:t>0.145kg/h，NOx0.043kg/h，颗粒物0.195kg/h。经计算本项目</w:t>
      </w:r>
      <w:r>
        <w:rPr>
          <w:rFonts w:hint="eastAsia" w:cs="Times New Roman"/>
          <w:color w:val="auto"/>
          <w:spacing w:val="4"/>
          <w:lang w:val="en-US" w:eastAsia="zh-CN"/>
        </w:rPr>
        <w:t>热水炉</w:t>
      </w:r>
      <w:r>
        <w:rPr>
          <w:rFonts w:hint="default" w:ascii="Times New Roman" w:hAnsi="Times New Roman" w:cs="Times New Roman"/>
          <w:color w:val="auto"/>
          <w:spacing w:val="4"/>
          <w:lang w:val="en-US" w:eastAsia="zh-CN"/>
        </w:rPr>
        <w:t>燃烧废气排放浓度和排放速率满足《大气污染物综合排放标准》（GB16297-1996）中表2二级标准要求</w:t>
      </w:r>
    </w:p>
    <w:p>
      <w:pPr>
        <w:pStyle w:val="11"/>
        <w:ind w:firstLine="496"/>
        <w:rPr>
          <w:rFonts w:hint="default" w:ascii="Times New Roman" w:hAnsi="Times New Roman" w:cs="Times New Roman"/>
          <w:color w:val="auto"/>
          <w:spacing w:val="4"/>
        </w:rPr>
      </w:pPr>
      <w:r>
        <w:rPr>
          <w:rFonts w:hint="default" w:ascii="Times New Roman" w:hAnsi="Times New Roman" w:cs="Times New Roman"/>
          <w:color w:val="auto"/>
          <w:spacing w:val="4"/>
        </w:rPr>
        <w:t>（7）食堂油烟</w:t>
      </w:r>
    </w:p>
    <w:p>
      <w:pPr>
        <w:pStyle w:val="11"/>
        <w:spacing w:after="0"/>
        <w:ind w:firstLine="496"/>
        <w:rPr>
          <w:rFonts w:hint="default" w:ascii="Times New Roman" w:hAnsi="Times New Roman" w:cs="Times New Roman"/>
          <w:color w:val="auto"/>
          <w:spacing w:val="4"/>
        </w:rPr>
      </w:pPr>
      <w:r>
        <w:rPr>
          <w:rFonts w:hint="default" w:ascii="Times New Roman" w:hAnsi="Times New Roman" w:cs="Times New Roman"/>
          <w:color w:val="auto"/>
          <w:spacing w:val="4"/>
        </w:rPr>
        <w:t>本项目设置有职工食堂1个，设2个基准灶头，使用沼气作为日常餐饮烹饪的能源，厨房在烹饪炒作时将产生厨房油烟废气污染。该项目建成后劳动定员30人，食堂每天供应三餐，类比牧原食品股份有限公司其它猪场食堂食用油用量的一般情况，每人每日消耗动植物油以14g/d计，年消耗食用油0.153t/a，做饭时挥发损失约3%，则厨房油烟产生量约0.005t/a。项目废气量为4000m</w:t>
      </w:r>
      <w:r>
        <w:rPr>
          <w:rFonts w:hint="default" w:ascii="Times New Roman" w:hAnsi="Times New Roman" w:cs="Times New Roman"/>
          <w:color w:val="auto"/>
          <w:spacing w:val="4"/>
          <w:vertAlign w:val="superscript"/>
        </w:rPr>
        <w:t>3</w:t>
      </w:r>
      <w:r>
        <w:rPr>
          <w:rFonts w:hint="default" w:ascii="Times New Roman" w:hAnsi="Times New Roman" w:cs="Times New Roman"/>
          <w:color w:val="auto"/>
          <w:spacing w:val="4"/>
        </w:rPr>
        <w:t>/h，每日4h，则油烟产生浓度为0.856mg/m</w:t>
      </w:r>
      <w:r>
        <w:rPr>
          <w:rFonts w:hint="default" w:ascii="Times New Roman" w:hAnsi="Times New Roman" w:cs="Times New Roman"/>
          <w:color w:val="auto"/>
          <w:spacing w:val="4"/>
          <w:vertAlign w:val="superscript"/>
        </w:rPr>
        <w:t>3</w:t>
      </w:r>
      <w:r>
        <w:rPr>
          <w:rFonts w:hint="default" w:ascii="Times New Roman" w:hAnsi="Times New Roman" w:cs="Times New Roman"/>
          <w:color w:val="auto"/>
          <w:spacing w:val="4"/>
        </w:rPr>
        <w:t>，建设单位安装净化效率不低于90%的油烟净化装置，经处理后引至屋顶排放。经计算，处理后餐厅油烟年排放量为0.0005t/a，排放浓度0.08mg/m</w:t>
      </w:r>
      <w:r>
        <w:rPr>
          <w:rFonts w:hint="default" w:ascii="Times New Roman" w:hAnsi="Times New Roman" w:cs="Times New Roman"/>
          <w:color w:val="auto"/>
          <w:spacing w:val="4"/>
          <w:vertAlign w:val="superscript"/>
        </w:rPr>
        <w:t>3</w:t>
      </w:r>
      <w:r>
        <w:rPr>
          <w:rFonts w:hint="default" w:ascii="Times New Roman" w:hAnsi="Times New Roman" w:cs="Times New Roman"/>
          <w:color w:val="auto"/>
          <w:spacing w:val="4"/>
        </w:rPr>
        <w:t>，能够满足河南省《餐饮业油烟污染物排放标准》（试行）（DB41/1604-2018）油烟最高允许排放浓度标准（1.5mg/m</w:t>
      </w:r>
      <w:r>
        <w:rPr>
          <w:rFonts w:hint="default" w:ascii="Times New Roman" w:hAnsi="Times New Roman" w:cs="Times New Roman"/>
          <w:color w:val="auto"/>
          <w:spacing w:val="4"/>
          <w:vertAlign w:val="superscript"/>
        </w:rPr>
        <w:t>3</w:t>
      </w:r>
      <w:r>
        <w:rPr>
          <w:rFonts w:hint="default" w:ascii="Times New Roman" w:hAnsi="Times New Roman" w:cs="Times New Roman"/>
          <w:color w:val="auto"/>
          <w:spacing w:val="4"/>
        </w:rPr>
        <w:t>），油烟去除效率大于等于90%的去除效率的要求，可实现达标排放。</w:t>
      </w:r>
    </w:p>
    <w:bookmarkEnd w:id="360"/>
    <w:bookmarkEnd w:id="361"/>
    <w:bookmarkEnd w:id="362"/>
    <w:bookmarkEnd w:id="363"/>
    <w:bookmarkEnd w:id="364"/>
    <w:bookmarkEnd w:id="365"/>
    <w:bookmarkEnd w:id="366"/>
    <w:bookmarkEnd w:id="367"/>
    <w:p>
      <w:pPr>
        <w:pStyle w:val="11"/>
        <w:spacing w:after="0"/>
        <w:ind w:firstLine="496"/>
        <w:rPr>
          <w:rFonts w:hint="default" w:ascii="Times New Roman" w:hAnsi="Times New Roman" w:eastAsia="宋体" w:cs="Times New Roman"/>
          <w:b/>
          <w:bCs/>
          <w:color w:val="auto"/>
          <w:spacing w:val="4"/>
          <w:u w:val="single"/>
          <w:lang w:eastAsia="zh-CN"/>
        </w:rPr>
      </w:pPr>
      <w:bookmarkStart w:id="368" w:name="_Toc269400685"/>
      <w:r>
        <w:rPr>
          <w:rFonts w:hint="default" w:ascii="Times New Roman" w:hAnsi="Times New Roman" w:cs="Times New Roman"/>
          <w:b/>
          <w:bCs/>
          <w:color w:val="auto"/>
          <w:spacing w:val="4"/>
          <w:u w:val="single"/>
          <w:lang w:eastAsia="zh-CN"/>
        </w:rPr>
        <w:t>（</w:t>
      </w:r>
      <w:r>
        <w:rPr>
          <w:rFonts w:hint="default" w:ascii="Times New Roman" w:hAnsi="Times New Roman" w:cs="Times New Roman"/>
          <w:b/>
          <w:bCs/>
          <w:color w:val="auto"/>
          <w:spacing w:val="4"/>
          <w:u w:val="single"/>
          <w:lang w:val="en-US" w:eastAsia="zh-CN"/>
        </w:rPr>
        <w:t>8</w:t>
      </w:r>
      <w:r>
        <w:rPr>
          <w:rFonts w:hint="default" w:ascii="Times New Roman" w:hAnsi="Times New Roman" w:cs="Times New Roman"/>
          <w:b/>
          <w:bCs/>
          <w:color w:val="auto"/>
          <w:spacing w:val="4"/>
          <w:u w:val="single"/>
          <w:lang w:eastAsia="zh-CN"/>
        </w:rPr>
        <w:t>）臭气浓度</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类比同类项目恶臭污染源排放情况，本项目各区域内臭气产生浓度情况见下表。</w:t>
      </w:r>
    </w:p>
    <w:p>
      <w:pPr>
        <w:tabs>
          <w:tab w:val="left" w:pos="1448"/>
        </w:tabs>
        <w:spacing w:before="43"/>
        <w:ind w:left="100" w:right="55" w:firstLine="480"/>
        <w:jc w:val="center"/>
        <w:rPr>
          <w:rFonts w:hint="default" w:ascii="Times New Roman" w:hAnsi="Times New Roman" w:cs="Times New Roman"/>
          <w:b/>
          <w:bCs/>
          <w:color w:val="auto"/>
          <w:u w:val="single"/>
        </w:rPr>
      </w:pPr>
      <w:r>
        <w:rPr>
          <w:rFonts w:hint="default" w:ascii="Times New Roman" w:hAnsi="Times New Roman" w:cs="Times New Roman"/>
          <w:b/>
          <w:bCs/>
          <w:color w:val="auto"/>
          <w:u w:val="single"/>
        </w:rPr>
        <w:t>表 3.</w:t>
      </w:r>
      <w:r>
        <w:rPr>
          <w:rFonts w:hint="default" w:ascii="Times New Roman" w:hAnsi="Times New Roman" w:cs="Times New Roman"/>
          <w:b/>
          <w:bCs/>
          <w:color w:val="auto"/>
          <w:u w:val="single"/>
          <w:lang w:val="en-US" w:eastAsia="zh-CN"/>
        </w:rPr>
        <w:t xml:space="preserve">3-8            </w:t>
      </w:r>
      <w:r>
        <w:rPr>
          <w:rFonts w:hint="default" w:ascii="Times New Roman" w:hAnsi="Times New Roman" w:cs="Times New Roman"/>
          <w:b/>
          <w:bCs/>
          <w:color w:val="auto"/>
          <w:u w:val="single"/>
        </w:rPr>
        <w:t xml:space="preserve"> 臭气污染源强一览表</w:t>
      </w:r>
    </w:p>
    <w:tbl>
      <w:tblPr>
        <w:tblStyle w:val="26"/>
        <w:tblW w:w="9174"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1533"/>
        <w:gridCol w:w="1723"/>
        <w:gridCol w:w="1177"/>
        <w:gridCol w:w="1650"/>
        <w:gridCol w:w="176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1"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项目</w:t>
            </w:r>
          </w:p>
        </w:tc>
        <w:tc>
          <w:tcPr>
            <w:tcW w:w="1533"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猪舍</w:t>
            </w:r>
          </w:p>
        </w:tc>
        <w:tc>
          <w:tcPr>
            <w:tcW w:w="1723"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污水处理系统区</w:t>
            </w:r>
          </w:p>
        </w:tc>
        <w:tc>
          <w:tcPr>
            <w:tcW w:w="1177"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固粪处理</w:t>
            </w:r>
          </w:p>
        </w:tc>
        <w:tc>
          <w:tcPr>
            <w:tcW w:w="1650"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沼液存储池</w:t>
            </w:r>
          </w:p>
        </w:tc>
        <w:tc>
          <w:tcPr>
            <w:tcW w:w="1760"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病死猪高温无害化处理机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3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auto"/>
                <w:sz w:val="21"/>
                <w:szCs w:val="21"/>
                <w:u w:val="single"/>
                <w:lang w:eastAsia="zh-CN"/>
              </w:rPr>
            </w:pPr>
            <w:r>
              <w:rPr>
                <w:rFonts w:hint="default" w:ascii="Times New Roman" w:hAnsi="Times New Roman" w:cs="Times New Roman"/>
                <w:b/>
                <w:bCs/>
                <w:color w:val="auto"/>
                <w:sz w:val="21"/>
                <w:szCs w:val="21"/>
                <w:u w:val="single"/>
                <w:lang w:eastAsia="zh-CN"/>
              </w:rPr>
              <w:t>臭气浓度</w:t>
            </w:r>
          </w:p>
        </w:tc>
        <w:tc>
          <w:tcPr>
            <w:tcW w:w="153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cs="Times New Roman"/>
                <w:b/>
                <w:bCs/>
                <w:color w:val="auto"/>
                <w:sz w:val="21"/>
                <w:szCs w:val="21"/>
                <w:u w:val="single"/>
                <w:lang w:val="en-US" w:eastAsia="zh-CN"/>
              </w:rPr>
              <w:t>40</w:t>
            </w:r>
          </w:p>
        </w:tc>
        <w:tc>
          <w:tcPr>
            <w:tcW w:w="172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cs="Times New Roman"/>
                <w:b/>
                <w:bCs/>
                <w:color w:val="auto"/>
                <w:sz w:val="21"/>
                <w:szCs w:val="21"/>
                <w:u w:val="single"/>
                <w:lang w:val="en-US" w:eastAsia="zh-CN"/>
              </w:rPr>
              <w:t>70</w:t>
            </w:r>
          </w:p>
        </w:tc>
        <w:tc>
          <w:tcPr>
            <w:tcW w:w="117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cs="Times New Roman"/>
                <w:b/>
                <w:bCs/>
                <w:color w:val="auto"/>
                <w:sz w:val="21"/>
                <w:szCs w:val="21"/>
                <w:u w:val="single"/>
                <w:lang w:val="en-US" w:eastAsia="zh-CN"/>
              </w:rPr>
              <w:t>80</w:t>
            </w:r>
          </w:p>
        </w:tc>
        <w:tc>
          <w:tcPr>
            <w:tcW w:w="165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cs="Times New Roman"/>
                <w:b/>
                <w:bCs/>
                <w:color w:val="auto"/>
                <w:sz w:val="21"/>
                <w:szCs w:val="21"/>
                <w:u w:val="single"/>
                <w:lang w:val="en-US" w:eastAsia="zh-CN"/>
              </w:rPr>
              <w:t>75</w:t>
            </w:r>
          </w:p>
        </w:tc>
        <w:tc>
          <w:tcPr>
            <w:tcW w:w="176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cs="Times New Roman"/>
                <w:b/>
                <w:bCs/>
                <w:color w:val="auto"/>
                <w:sz w:val="21"/>
                <w:szCs w:val="21"/>
                <w:u w:val="single"/>
                <w:lang w:val="en-US" w:eastAsia="zh-CN"/>
              </w:rPr>
              <w:t>50</w:t>
            </w:r>
          </w:p>
        </w:tc>
      </w:tr>
    </w:tbl>
    <w:p>
      <w:pPr>
        <w:keepNext w:val="0"/>
        <w:keepLines w:val="0"/>
        <w:widowControl/>
        <w:suppressLineNumbers w:val="0"/>
        <w:jc w:val="left"/>
        <w:rPr>
          <w:rFonts w:hint="default" w:ascii="Times New Roman" w:hAnsi="Times New Roman" w:cs="Times New Roman"/>
          <w:b/>
          <w:bCs/>
          <w:color w:val="auto"/>
          <w:u w:val="single"/>
        </w:rPr>
      </w:pPr>
      <w:r>
        <w:rPr>
          <w:rFonts w:hint="default" w:ascii="Times New Roman" w:hAnsi="Times New Roman" w:cs="Times New Roman"/>
          <w:b/>
          <w:bCs/>
          <w:color w:val="auto"/>
          <w:u w:val="single"/>
        </w:rPr>
        <w:t>项目厂界臭气浓度采用类比已经验收的牧原范县</w:t>
      </w:r>
      <w:r>
        <w:rPr>
          <w:rFonts w:hint="default" w:ascii="Times New Roman" w:hAnsi="Times New Roman" w:cs="Times New Roman"/>
          <w:b/>
          <w:bCs/>
          <w:color w:val="auto"/>
          <w:u w:val="single"/>
          <w:lang w:eastAsia="zh-CN"/>
        </w:rPr>
        <w:t>九</w:t>
      </w:r>
      <w:r>
        <w:rPr>
          <w:rFonts w:hint="default" w:ascii="Times New Roman" w:hAnsi="Times New Roman" w:cs="Times New Roman"/>
          <w:b/>
          <w:bCs/>
          <w:color w:val="auto"/>
          <w:u w:val="single"/>
        </w:rPr>
        <w:t>场验收监测报告中监测数据</w:t>
      </w:r>
      <w:r>
        <w:rPr>
          <w:rFonts w:hint="default" w:ascii="Times New Roman" w:hAnsi="Times New Roman" w:cs="Times New Roman"/>
          <w:b/>
          <w:bCs/>
          <w:color w:val="auto"/>
          <w:u w:val="single"/>
          <w:lang w:eastAsia="zh-CN"/>
        </w:rPr>
        <w:t>。</w:t>
      </w:r>
      <w:r>
        <w:rPr>
          <w:rFonts w:hint="default" w:ascii="Times New Roman" w:hAnsi="Times New Roman" w:cs="Times New Roman"/>
          <w:b/>
          <w:bCs/>
          <w:color w:val="auto"/>
          <w:szCs w:val="21"/>
          <w:u w:val="single"/>
        </w:rPr>
        <w:t>河南范县牧原农牧有限公司范县九场生猪养殖项目</w:t>
      </w:r>
      <w:r>
        <w:rPr>
          <w:rFonts w:hint="default" w:ascii="Times New Roman" w:hAnsi="Times New Roman" w:cs="Times New Roman"/>
          <w:b/>
          <w:bCs/>
          <w:color w:val="auto"/>
          <w:u w:val="single"/>
        </w:rPr>
        <w:t>，位于濮阳市范县辛庄镇冯堤口南侧，同本项目区域自然条件及气象条件</w:t>
      </w:r>
      <w:r>
        <w:rPr>
          <w:rFonts w:hint="default" w:ascii="Times New Roman" w:hAnsi="Times New Roman" w:cs="Times New Roman"/>
          <w:b/>
          <w:bCs/>
          <w:color w:val="auto"/>
          <w:u w:val="single"/>
          <w:lang w:eastAsia="zh-CN"/>
        </w:rPr>
        <w:t>基本</w:t>
      </w:r>
      <w:r>
        <w:rPr>
          <w:rFonts w:hint="default" w:ascii="Times New Roman" w:hAnsi="Times New Roman" w:cs="Times New Roman"/>
          <w:b/>
          <w:bCs/>
          <w:color w:val="auto"/>
          <w:u w:val="single"/>
        </w:rPr>
        <w:t>一致。</w:t>
      </w:r>
      <w:r>
        <w:rPr>
          <w:rFonts w:hint="default" w:ascii="Times New Roman" w:hAnsi="Times New Roman" w:cs="Times New Roman"/>
          <w:b/>
          <w:bCs/>
          <w:color w:val="auto"/>
          <w:u w:val="single"/>
          <w:lang w:eastAsia="zh-CN"/>
        </w:rPr>
        <w:t>九</w:t>
      </w:r>
      <w:r>
        <w:rPr>
          <w:rFonts w:hint="default" w:ascii="Times New Roman" w:hAnsi="Times New Roman" w:cs="Times New Roman"/>
          <w:b/>
          <w:bCs/>
          <w:color w:val="auto"/>
          <w:u w:val="single"/>
        </w:rPr>
        <w:t>场占地面积</w:t>
      </w:r>
      <w:r>
        <w:rPr>
          <w:rFonts w:hint="default" w:ascii="Times New Roman" w:hAnsi="Times New Roman" w:cs="Times New Roman"/>
          <w:b/>
          <w:bCs/>
          <w:color w:val="auto"/>
          <w:u w:val="single"/>
          <w:lang w:val="en-US" w:eastAsia="zh-CN"/>
        </w:rPr>
        <w:t>522</w:t>
      </w:r>
      <w:r>
        <w:rPr>
          <w:rFonts w:hint="default" w:ascii="Times New Roman" w:hAnsi="Times New Roman" w:cs="Times New Roman"/>
          <w:b/>
          <w:bCs/>
          <w:color w:val="auto"/>
          <w:u w:val="single"/>
        </w:rPr>
        <w:t>亩，年存栏量15000头</w:t>
      </w:r>
      <w:r>
        <w:rPr>
          <w:rFonts w:hint="default" w:ascii="Times New Roman" w:hAnsi="Times New Roman" w:cs="Times New Roman"/>
          <w:b/>
          <w:bCs/>
          <w:color w:val="auto"/>
          <w:u w:val="single"/>
          <w:lang w:eastAsia="zh-CN"/>
        </w:rPr>
        <w:t>母猪</w:t>
      </w:r>
      <w:r>
        <w:rPr>
          <w:rFonts w:hint="default" w:ascii="Times New Roman" w:hAnsi="Times New Roman" w:cs="Times New Roman"/>
          <w:b/>
          <w:bCs/>
          <w:color w:val="auto"/>
          <w:u w:val="single"/>
        </w:rPr>
        <w:t>，比本项目存栏量</w:t>
      </w:r>
      <w:r>
        <w:rPr>
          <w:rFonts w:hint="default" w:ascii="Times New Roman" w:hAnsi="Times New Roman" w:cs="Times New Roman"/>
          <w:b/>
          <w:bCs/>
          <w:color w:val="auto"/>
          <w:u w:val="single"/>
          <w:lang w:eastAsia="zh-CN"/>
        </w:rPr>
        <w:t>大</w:t>
      </w:r>
      <w:r>
        <w:rPr>
          <w:rFonts w:hint="default" w:ascii="Times New Roman" w:hAnsi="Times New Roman" w:cs="Times New Roman"/>
          <w:b/>
          <w:bCs/>
          <w:color w:val="auto"/>
          <w:u w:val="single"/>
        </w:rPr>
        <w:t>；</w:t>
      </w:r>
      <w:r>
        <w:rPr>
          <w:rFonts w:hint="default" w:ascii="Times New Roman" w:hAnsi="Times New Roman" w:cs="Times New Roman"/>
          <w:b/>
          <w:bCs/>
          <w:color w:val="auto"/>
          <w:u w:val="single"/>
          <w:lang w:eastAsia="zh-CN"/>
        </w:rPr>
        <w:t>九</w:t>
      </w:r>
      <w:r>
        <w:rPr>
          <w:rFonts w:hint="default" w:ascii="Times New Roman" w:hAnsi="Times New Roman" w:cs="Times New Roman"/>
          <w:b/>
          <w:bCs/>
          <w:color w:val="auto"/>
          <w:u w:val="single"/>
        </w:rPr>
        <w:t>场建设有污水处理站、</w:t>
      </w:r>
      <w:r>
        <w:rPr>
          <w:rFonts w:hint="default" w:ascii="Times New Roman" w:hAnsi="Times New Roman" w:cs="Times New Roman"/>
          <w:b/>
          <w:bCs/>
          <w:color w:val="auto"/>
          <w:u w:val="single"/>
          <w:lang w:eastAsia="zh-CN"/>
        </w:rPr>
        <w:t>固粪处理</w:t>
      </w:r>
      <w:r>
        <w:rPr>
          <w:rFonts w:hint="default" w:ascii="Times New Roman" w:hAnsi="Times New Roman" w:cs="Times New Roman"/>
          <w:b/>
          <w:bCs/>
          <w:color w:val="auto"/>
          <w:u w:val="single"/>
        </w:rPr>
        <w:t>区，其工艺同本项目</w:t>
      </w:r>
      <w:r>
        <w:rPr>
          <w:rFonts w:hint="default" w:ascii="Times New Roman" w:hAnsi="Times New Roman" w:cs="Times New Roman"/>
          <w:b/>
          <w:bCs/>
          <w:color w:val="auto"/>
          <w:u w:val="single"/>
          <w:lang w:eastAsia="zh-CN"/>
        </w:rPr>
        <w:t>基本一致</w:t>
      </w:r>
      <w:r>
        <w:rPr>
          <w:rFonts w:hint="default" w:ascii="Times New Roman" w:hAnsi="Times New Roman" w:cs="Times New Roman"/>
          <w:b/>
          <w:bCs/>
          <w:color w:val="auto"/>
          <w:u w:val="single"/>
        </w:rPr>
        <w:t>，规模</w:t>
      </w:r>
      <w:r>
        <w:rPr>
          <w:rFonts w:hint="default" w:ascii="Times New Roman" w:hAnsi="Times New Roman" w:cs="Times New Roman"/>
          <w:b/>
          <w:bCs/>
          <w:color w:val="auto"/>
          <w:u w:val="single"/>
          <w:lang w:eastAsia="zh-CN"/>
        </w:rPr>
        <w:t>大</w:t>
      </w:r>
      <w:r>
        <w:rPr>
          <w:rFonts w:hint="default" w:ascii="Times New Roman" w:hAnsi="Times New Roman" w:cs="Times New Roman"/>
          <w:b/>
          <w:bCs/>
          <w:color w:val="auto"/>
          <w:u w:val="single"/>
        </w:rPr>
        <w:t>于本项目</w:t>
      </w:r>
      <w:r>
        <w:rPr>
          <w:rFonts w:hint="default" w:ascii="Times New Roman" w:hAnsi="Times New Roman" w:cs="Times New Roman"/>
          <w:b/>
          <w:bCs/>
          <w:color w:val="auto"/>
          <w:u w:val="single"/>
          <w:lang w:eastAsia="zh-CN"/>
        </w:rPr>
        <w:t>，</w:t>
      </w:r>
      <w:r>
        <w:rPr>
          <w:rFonts w:hint="default" w:ascii="Times New Roman" w:hAnsi="Times New Roman" w:eastAsia="宋体" w:cs="Times New Roman"/>
          <w:b/>
          <w:bCs/>
          <w:color w:val="auto"/>
          <w:kern w:val="0"/>
          <w:sz w:val="24"/>
          <w:szCs w:val="24"/>
          <w:u w:val="single"/>
          <w:lang w:val="en-US" w:eastAsia="zh-CN" w:bidi="ar"/>
        </w:rPr>
        <w:t>综上，范县</w:t>
      </w:r>
      <w:r>
        <w:rPr>
          <w:rFonts w:hint="default" w:ascii="Times New Roman" w:hAnsi="Times New Roman" w:cs="Times New Roman"/>
          <w:b/>
          <w:bCs/>
          <w:color w:val="auto"/>
          <w:kern w:val="0"/>
          <w:sz w:val="24"/>
          <w:szCs w:val="24"/>
          <w:u w:val="single"/>
          <w:lang w:val="en-US" w:eastAsia="zh-CN" w:bidi="ar"/>
        </w:rPr>
        <w:t>九</w:t>
      </w:r>
      <w:r>
        <w:rPr>
          <w:rFonts w:hint="default" w:ascii="Times New Roman" w:hAnsi="Times New Roman" w:eastAsia="宋体" w:cs="Times New Roman"/>
          <w:b/>
          <w:bCs/>
          <w:color w:val="auto"/>
          <w:kern w:val="0"/>
          <w:sz w:val="24"/>
          <w:szCs w:val="24"/>
          <w:u w:val="single"/>
          <w:lang w:val="en-US" w:eastAsia="zh-CN" w:bidi="ar"/>
        </w:rPr>
        <w:t>场同本项目具有可类比性。</w:t>
      </w:r>
    </w:p>
    <w:p>
      <w:pPr>
        <w:pStyle w:val="11"/>
        <w:spacing w:after="0"/>
        <w:ind w:firstLine="496"/>
        <w:rPr>
          <w:rFonts w:hint="default" w:ascii="Times New Roman" w:hAnsi="Times New Roman" w:cs="Times New Roman"/>
          <w:b/>
          <w:bCs/>
          <w:color w:val="auto"/>
          <w:spacing w:val="4"/>
          <w:u w:val="single"/>
        </w:rPr>
      </w:pPr>
      <w:r>
        <w:rPr>
          <w:rFonts w:hint="default" w:ascii="Times New Roman" w:hAnsi="Times New Roman" w:cs="Times New Roman"/>
          <w:b/>
          <w:bCs/>
          <w:color w:val="auto"/>
          <w:u w:val="single"/>
        </w:rPr>
        <w:t>根据牧原范县</w:t>
      </w:r>
      <w:r>
        <w:rPr>
          <w:rFonts w:hint="default" w:ascii="Times New Roman" w:hAnsi="Times New Roman" w:cs="Times New Roman"/>
          <w:b/>
          <w:bCs/>
          <w:color w:val="auto"/>
          <w:u w:val="single"/>
          <w:lang w:eastAsia="zh-CN"/>
        </w:rPr>
        <w:t>九</w:t>
      </w:r>
      <w:r>
        <w:rPr>
          <w:rFonts w:hint="default" w:ascii="Times New Roman" w:hAnsi="Times New Roman" w:cs="Times New Roman"/>
          <w:b/>
          <w:bCs/>
          <w:color w:val="auto"/>
          <w:u w:val="single"/>
        </w:rPr>
        <w:t>场验收监测报告，其厂界下风向臭气浓度范围为12~19</w:t>
      </w:r>
      <w:r>
        <w:rPr>
          <w:rFonts w:hint="default" w:ascii="Times New Roman" w:hAnsi="Times New Roman" w:cs="Times New Roman"/>
          <w:b/>
          <w:bCs/>
          <w:color w:val="auto"/>
          <w:u w:val="single"/>
          <w:lang w:eastAsia="zh-CN"/>
        </w:rPr>
        <w:t>，</w:t>
      </w:r>
      <w:r>
        <w:rPr>
          <w:rFonts w:hint="default" w:ascii="Times New Roman" w:hAnsi="Times New Roman" w:cs="Times New Roman"/>
          <w:b/>
          <w:bCs/>
          <w:color w:val="auto"/>
          <w:u w:val="single"/>
        </w:rPr>
        <w:t>本项目</w:t>
      </w:r>
      <w:r>
        <w:rPr>
          <w:rFonts w:hint="default" w:ascii="Times New Roman" w:hAnsi="Times New Roman" w:cs="Times New Roman"/>
          <w:b/>
          <w:bCs/>
          <w:color w:val="auto"/>
          <w:u w:val="single"/>
          <w:lang w:eastAsia="zh-CN"/>
        </w:rPr>
        <w:t>取</w:t>
      </w:r>
      <w:r>
        <w:rPr>
          <w:rFonts w:hint="default" w:ascii="Times New Roman" w:hAnsi="Times New Roman" w:cs="Times New Roman"/>
          <w:b/>
          <w:bCs/>
          <w:color w:val="auto"/>
          <w:u w:val="single"/>
          <w:lang w:val="en-US" w:eastAsia="zh-CN"/>
        </w:rPr>
        <w:t>19</w:t>
      </w:r>
      <w:r>
        <w:rPr>
          <w:rFonts w:hint="default" w:ascii="Times New Roman" w:hAnsi="Times New Roman" w:cs="Times New Roman"/>
          <w:b/>
          <w:bCs/>
          <w:color w:val="auto"/>
          <w:u w:val="single"/>
        </w:rPr>
        <w:t>，可满足《畜禽养殖业污染物排放标准》（GB18596-2001）臭气浓度70的要求。</w:t>
      </w:r>
    </w:p>
    <w:p>
      <w:pPr>
        <w:pStyle w:val="11"/>
        <w:spacing w:after="0"/>
        <w:ind w:firstLine="496"/>
        <w:rPr>
          <w:rFonts w:hint="default" w:ascii="Times New Roman" w:hAnsi="Times New Roman" w:cs="Times New Roman"/>
          <w:color w:val="auto"/>
          <w:spacing w:val="4"/>
        </w:rPr>
      </w:pPr>
      <w:r>
        <w:rPr>
          <w:rFonts w:hint="default" w:ascii="Times New Roman" w:hAnsi="Times New Roman" w:cs="Times New Roman"/>
          <w:color w:val="auto"/>
          <w:spacing w:val="4"/>
        </w:rPr>
        <w:t>3.3.2.2</w:t>
      </w:r>
      <w:bookmarkEnd w:id="368"/>
      <w:r>
        <w:rPr>
          <w:rFonts w:hint="default" w:ascii="Times New Roman" w:hAnsi="Times New Roman" w:cs="Times New Roman"/>
          <w:color w:val="auto"/>
          <w:spacing w:val="4"/>
        </w:rPr>
        <w:t>废水污染物产排情况</w:t>
      </w:r>
    </w:p>
    <w:p>
      <w:pPr>
        <w:pStyle w:val="11"/>
        <w:spacing w:after="0"/>
        <w:ind w:firstLine="496"/>
        <w:rPr>
          <w:rFonts w:hint="default" w:ascii="Times New Roman" w:hAnsi="Times New Roman" w:cs="Times New Roman"/>
          <w:color w:val="auto"/>
          <w:spacing w:val="4"/>
        </w:rPr>
      </w:pPr>
      <w:r>
        <w:rPr>
          <w:rFonts w:hint="default" w:ascii="Times New Roman" w:hAnsi="Times New Roman" w:cs="Times New Roman"/>
          <w:color w:val="auto"/>
          <w:spacing w:val="4"/>
        </w:rPr>
        <w:t>（1）废水产生情况</w:t>
      </w:r>
    </w:p>
    <w:p>
      <w:pPr>
        <w:pStyle w:val="11"/>
        <w:spacing w:after="0"/>
        <w:ind w:firstLine="496"/>
        <w:rPr>
          <w:rFonts w:hint="default" w:ascii="Times New Roman" w:hAnsi="Times New Roman" w:cs="Times New Roman"/>
          <w:color w:val="auto"/>
          <w:spacing w:val="4"/>
        </w:rPr>
      </w:pPr>
      <w:r>
        <w:rPr>
          <w:rFonts w:hint="default" w:ascii="Times New Roman" w:hAnsi="Times New Roman" w:cs="Times New Roman"/>
          <w:color w:val="auto"/>
          <w:spacing w:val="4"/>
        </w:rPr>
        <w:t>废水是养猪场产生的重要污染物，包括猪尿、猪舍冲洗水及工人生活污水等。</w:t>
      </w:r>
    </w:p>
    <w:p>
      <w:pPr>
        <w:pStyle w:val="11"/>
        <w:spacing w:after="0"/>
        <w:ind w:firstLine="496"/>
        <w:rPr>
          <w:rFonts w:hint="default" w:ascii="Times New Roman" w:hAnsi="Times New Roman" w:cs="Times New Roman"/>
          <w:color w:val="auto"/>
          <w:spacing w:val="4"/>
        </w:rPr>
      </w:pPr>
      <w:r>
        <w:rPr>
          <w:rFonts w:hint="default" w:ascii="Times New Roman" w:hAnsi="Times New Roman" w:cs="Times New Roman"/>
          <w:color w:val="auto"/>
          <w:spacing w:val="4"/>
        </w:rPr>
        <w:t>●猪尿</w:t>
      </w:r>
    </w:p>
    <w:p>
      <w:pPr>
        <w:pStyle w:val="11"/>
        <w:spacing w:after="0"/>
        <w:ind w:firstLine="496"/>
        <w:rPr>
          <w:rFonts w:hint="default" w:ascii="Times New Roman" w:hAnsi="Times New Roman" w:cs="Times New Roman"/>
          <w:color w:val="auto"/>
          <w:spacing w:val="4"/>
        </w:rPr>
      </w:pPr>
      <w:r>
        <w:rPr>
          <w:rFonts w:hint="default" w:ascii="Times New Roman" w:hAnsi="Times New Roman" w:cs="Times New Roman"/>
          <w:color w:val="auto"/>
          <w:spacing w:val="4"/>
        </w:rPr>
        <w:t>本项目投入运营后怀孕舍存栏6500头，哺乳猪舍存栏1000头，后备舍存栏1400头，夏季猪尿产生量为95.158m</w:t>
      </w:r>
      <w:r>
        <w:rPr>
          <w:rFonts w:hint="default" w:ascii="Times New Roman" w:hAnsi="Times New Roman" w:cs="Times New Roman"/>
          <w:color w:val="auto"/>
          <w:spacing w:val="4"/>
          <w:vertAlign w:val="superscript"/>
        </w:rPr>
        <w:t>3</w:t>
      </w:r>
      <w:r>
        <w:rPr>
          <w:rFonts w:hint="default" w:ascii="Times New Roman" w:hAnsi="Times New Roman" w:cs="Times New Roman"/>
          <w:color w:val="auto"/>
          <w:spacing w:val="4"/>
        </w:rPr>
        <w:t>/d，其他季节猪尿产生量为57.6m</w:t>
      </w:r>
      <w:r>
        <w:rPr>
          <w:rFonts w:hint="default" w:ascii="Times New Roman" w:hAnsi="Times New Roman" w:cs="Times New Roman"/>
          <w:color w:val="auto"/>
          <w:spacing w:val="4"/>
          <w:vertAlign w:val="superscript"/>
        </w:rPr>
        <w:t>3</w:t>
      </w:r>
      <w:r>
        <w:rPr>
          <w:rFonts w:hint="default" w:ascii="Times New Roman" w:hAnsi="Times New Roman" w:cs="Times New Roman"/>
          <w:color w:val="auto"/>
          <w:spacing w:val="4"/>
        </w:rPr>
        <w:t>/d，全年猪尿产生量为24213.976m</w:t>
      </w:r>
      <w:r>
        <w:rPr>
          <w:rFonts w:hint="default" w:ascii="Times New Roman" w:hAnsi="Times New Roman" w:cs="Times New Roman"/>
          <w:color w:val="auto"/>
          <w:spacing w:val="4"/>
          <w:vertAlign w:val="superscript"/>
        </w:rPr>
        <w:t>3</w:t>
      </w:r>
      <w:r>
        <w:rPr>
          <w:rFonts w:hint="default" w:ascii="Times New Roman" w:hAnsi="Times New Roman" w:cs="Times New Roman"/>
          <w:color w:val="auto"/>
          <w:spacing w:val="4"/>
        </w:rPr>
        <w:t>/a。</w:t>
      </w:r>
    </w:p>
    <w:p>
      <w:pPr>
        <w:pStyle w:val="11"/>
        <w:spacing w:after="0"/>
        <w:ind w:firstLine="496"/>
        <w:rPr>
          <w:rFonts w:hint="default" w:ascii="Times New Roman" w:hAnsi="Times New Roman" w:cs="Times New Roman"/>
          <w:b/>
          <w:bCs/>
          <w:color w:val="auto"/>
          <w:spacing w:val="4"/>
          <w:u w:val="single"/>
        </w:rPr>
      </w:pPr>
      <w:r>
        <w:rPr>
          <w:rFonts w:hint="default" w:ascii="Times New Roman" w:hAnsi="Times New Roman" w:cs="Times New Roman"/>
          <w:b/>
          <w:bCs/>
          <w:color w:val="auto"/>
          <w:spacing w:val="4"/>
          <w:u w:val="single"/>
        </w:rPr>
        <w:t>●猪舍冲洗废水</w:t>
      </w:r>
    </w:p>
    <w:p>
      <w:pPr>
        <w:pStyle w:val="11"/>
        <w:spacing w:after="0"/>
        <w:ind w:firstLine="496"/>
        <w:rPr>
          <w:rFonts w:hint="default" w:ascii="Times New Roman" w:hAnsi="Times New Roman" w:cs="Times New Roman"/>
          <w:b/>
          <w:bCs/>
          <w:color w:val="auto"/>
          <w:spacing w:val="4"/>
          <w:u w:val="single"/>
        </w:rPr>
      </w:pPr>
      <w:r>
        <w:rPr>
          <w:rFonts w:hint="default" w:ascii="Times New Roman" w:hAnsi="Times New Roman" w:cs="Times New Roman"/>
          <w:b/>
          <w:bCs/>
          <w:color w:val="auto"/>
          <w:spacing w:val="4"/>
          <w:u w:val="single"/>
        </w:rPr>
        <w:t>依据牧原公司已建养殖场运行中的干清粪工艺的冲洗规律，利用高压水枪在猪转栏时对各猪舍进行冲洗、消毒。怀孕舍冲洗频率为每年3次，哺乳舍冲洗频率为每年12次，后备舍冲洗频率为每年3次。本项目猪舍冲洗水量总计为7434m</w:t>
      </w:r>
      <w:r>
        <w:rPr>
          <w:rFonts w:hint="default" w:ascii="Times New Roman" w:hAnsi="Times New Roman" w:cs="Times New Roman"/>
          <w:b/>
          <w:bCs/>
          <w:color w:val="auto"/>
          <w:spacing w:val="4"/>
          <w:u w:val="single"/>
          <w:vertAlign w:val="superscript"/>
        </w:rPr>
        <w:t>3</w:t>
      </w:r>
      <w:r>
        <w:rPr>
          <w:rFonts w:hint="default" w:ascii="Times New Roman" w:hAnsi="Times New Roman" w:cs="Times New Roman"/>
          <w:b/>
          <w:bCs/>
          <w:color w:val="auto"/>
          <w:spacing w:val="4"/>
          <w:u w:val="single"/>
        </w:rPr>
        <w:t>/a，合20.37m</w:t>
      </w:r>
      <w:r>
        <w:rPr>
          <w:rFonts w:hint="default" w:ascii="Times New Roman" w:hAnsi="Times New Roman" w:cs="Times New Roman"/>
          <w:b/>
          <w:bCs/>
          <w:color w:val="auto"/>
          <w:spacing w:val="4"/>
          <w:u w:val="single"/>
          <w:vertAlign w:val="superscript"/>
        </w:rPr>
        <w:t>3</w:t>
      </w:r>
      <w:r>
        <w:rPr>
          <w:rFonts w:hint="default" w:ascii="Times New Roman" w:hAnsi="Times New Roman" w:cs="Times New Roman"/>
          <w:b/>
          <w:bCs/>
          <w:color w:val="auto"/>
          <w:spacing w:val="4"/>
          <w:u w:val="single"/>
        </w:rPr>
        <w:t>/d，冲洗过程损耗量按10%计，则猪舍冲洗废水产生量为6690.6m</w:t>
      </w:r>
      <w:r>
        <w:rPr>
          <w:rFonts w:hint="default" w:ascii="Times New Roman" w:hAnsi="Times New Roman" w:cs="Times New Roman"/>
          <w:b/>
          <w:bCs/>
          <w:color w:val="auto"/>
          <w:spacing w:val="4"/>
          <w:u w:val="single"/>
          <w:vertAlign w:val="superscript"/>
        </w:rPr>
        <w:t>3</w:t>
      </w:r>
      <w:r>
        <w:rPr>
          <w:rFonts w:hint="default" w:ascii="Times New Roman" w:hAnsi="Times New Roman" w:cs="Times New Roman"/>
          <w:b/>
          <w:bCs/>
          <w:color w:val="auto"/>
          <w:spacing w:val="4"/>
          <w:u w:val="single"/>
        </w:rPr>
        <w:t>/a，合18.33m</w:t>
      </w:r>
      <w:r>
        <w:rPr>
          <w:rFonts w:hint="default" w:ascii="Times New Roman" w:hAnsi="Times New Roman" w:cs="Times New Roman"/>
          <w:b/>
          <w:bCs/>
          <w:color w:val="auto"/>
          <w:spacing w:val="4"/>
          <w:u w:val="single"/>
          <w:vertAlign w:val="superscript"/>
        </w:rPr>
        <w:t>3</w:t>
      </w:r>
      <w:r>
        <w:rPr>
          <w:rFonts w:hint="default" w:ascii="Times New Roman" w:hAnsi="Times New Roman" w:cs="Times New Roman"/>
          <w:b/>
          <w:bCs/>
          <w:color w:val="auto"/>
          <w:spacing w:val="4"/>
          <w:u w:val="single"/>
        </w:rPr>
        <w:t>/d。</w:t>
      </w:r>
    </w:p>
    <w:p>
      <w:pPr>
        <w:pStyle w:val="11"/>
        <w:spacing w:after="0"/>
        <w:ind w:firstLine="496"/>
        <w:rPr>
          <w:rFonts w:hint="default" w:ascii="Times New Roman" w:hAnsi="Times New Roman" w:cs="Times New Roman"/>
          <w:color w:val="auto"/>
          <w:spacing w:val="4"/>
        </w:rPr>
      </w:pPr>
      <w:r>
        <w:rPr>
          <w:rFonts w:hint="default" w:ascii="Times New Roman" w:hAnsi="Times New Roman" w:cs="Times New Roman"/>
          <w:color w:val="auto"/>
          <w:spacing w:val="4"/>
        </w:rPr>
        <w:t>●猪粪带入污水系统的废水</w:t>
      </w:r>
    </w:p>
    <w:p>
      <w:pPr>
        <w:pStyle w:val="11"/>
        <w:spacing w:after="0"/>
        <w:ind w:firstLine="496"/>
        <w:rPr>
          <w:rFonts w:hint="default" w:ascii="Times New Roman" w:hAnsi="Times New Roman" w:cs="Times New Roman"/>
          <w:color w:val="auto"/>
          <w:spacing w:val="4"/>
        </w:rPr>
      </w:pPr>
      <w:r>
        <w:rPr>
          <w:rFonts w:hint="default" w:ascii="Times New Roman" w:hAnsi="Times New Roman" w:cs="Times New Roman"/>
          <w:color w:val="auto"/>
          <w:spacing w:val="4"/>
        </w:rPr>
        <w:t>本项目采用干清粪工艺，清粪比为90%，猪粪含水率80%，粪尿产生后经粪污储存池暂存后用泵运至污水处理系统进行固液分离，经固液分离后，猪粪运至堆肥发酵场制有机肥，污水经缓冲池后进入黑膜沼气池进行处理，分离出污水量为7.9</w:t>
      </w:r>
      <w:r>
        <w:rPr>
          <w:rFonts w:hint="default" w:ascii="Times New Roman" w:hAnsi="Times New Roman" w:cs="Times New Roman"/>
          <w:color w:val="auto"/>
          <w:spacing w:val="4"/>
          <w:lang w:val="en-US" w:eastAsia="zh-CN"/>
        </w:rPr>
        <w:t>2</w:t>
      </w:r>
      <w:r>
        <w:rPr>
          <w:rFonts w:hint="default" w:ascii="Times New Roman" w:hAnsi="Times New Roman" w:cs="Times New Roman"/>
          <w:color w:val="auto"/>
          <w:spacing w:val="4"/>
        </w:rPr>
        <w:t>7m</w:t>
      </w:r>
      <w:r>
        <w:rPr>
          <w:rFonts w:hint="default" w:ascii="Times New Roman" w:hAnsi="Times New Roman" w:cs="Times New Roman"/>
          <w:color w:val="auto"/>
          <w:spacing w:val="4"/>
          <w:vertAlign w:val="superscript"/>
        </w:rPr>
        <w:t>3</w:t>
      </w:r>
      <w:r>
        <w:rPr>
          <w:rFonts w:hint="default" w:ascii="Times New Roman" w:hAnsi="Times New Roman" w:cs="Times New Roman"/>
          <w:color w:val="auto"/>
          <w:spacing w:val="4"/>
        </w:rPr>
        <w:t>/d、2</w:t>
      </w:r>
      <w:r>
        <w:rPr>
          <w:rFonts w:hint="default" w:ascii="Times New Roman" w:hAnsi="Times New Roman" w:cs="Times New Roman"/>
          <w:color w:val="auto"/>
          <w:spacing w:val="4"/>
          <w:lang w:val="en-US" w:eastAsia="zh-CN"/>
        </w:rPr>
        <w:t>893.355</w:t>
      </w:r>
      <w:r>
        <w:rPr>
          <w:rFonts w:hint="default" w:ascii="Times New Roman" w:hAnsi="Times New Roman" w:cs="Times New Roman"/>
          <w:color w:val="auto"/>
          <w:spacing w:val="4"/>
        </w:rPr>
        <w:t>m</w:t>
      </w:r>
      <w:r>
        <w:rPr>
          <w:rFonts w:hint="default" w:ascii="Times New Roman" w:hAnsi="Times New Roman" w:cs="Times New Roman"/>
          <w:color w:val="auto"/>
          <w:spacing w:val="4"/>
          <w:vertAlign w:val="superscript"/>
        </w:rPr>
        <w:t>3</w:t>
      </w:r>
      <w:r>
        <w:rPr>
          <w:rFonts w:hint="default" w:ascii="Times New Roman" w:hAnsi="Times New Roman" w:cs="Times New Roman"/>
          <w:color w:val="auto"/>
          <w:spacing w:val="4"/>
        </w:rPr>
        <w:t>/a，分离水进入污水处理工程缓冲池进一步处理。</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80"/>
        <w:jc w:val="both"/>
        <w:textAlignment w:val="auto"/>
        <w:rPr>
          <w:rFonts w:hint="default" w:ascii="Times New Roman" w:hAnsi="Times New Roman" w:cs="Times New Roman"/>
          <w:color w:val="auto"/>
          <w:spacing w:val="4"/>
          <w:sz w:val="24"/>
          <w:szCs w:val="24"/>
        </w:rPr>
      </w:pPr>
      <w:r>
        <w:rPr>
          <w:rFonts w:hint="default" w:ascii="Times New Roman" w:hAnsi="Times New Roman" w:cs="Times New Roman"/>
          <w:color w:val="auto"/>
          <w:spacing w:val="4"/>
          <w:sz w:val="24"/>
          <w:szCs w:val="24"/>
        </w:rPr>
        <w:t>●</w:t>
      </w:r>
      <w:r>
        <w:rPr>
          <w:rFonts w:hint="default" w:ascii="Times New Roman" w:hAnsi="Times New Roman" w:cs="Times New Roman"/>
          <w:color w:val="auto"/>
          <w:spacing w:val="4"/>
          <w:sz w:val="24"/>
          <w:szCs w:val="24"/>
          <w:lang w:eastAsia="zh-CN"/>
        </w:rPr>
        <w:t>沼渣固液分离废水</w:t>
      </w:r>
    </w:p>
    <w:p>
      <w:pPr>
        <w:pStyle w:val="11"/>
        <w:spacing w:after="0"/>
        <w:ind w:firstLine="480"/>
        <w:rPr>
          <w:rFonts w:hint="default" w:ascii="Times New Roman" w:hAnsi="Times New Roman" w:cs="Times New Roman"/>
          <w:color w:val="auto"/>
          <w:spacing w:val="4"/>
        </w:rPr>
      </w:pPr>
      <w:r>
        <w:rPr>
          <w:rFonts w:hint="default" w:ascii="Times New Roman" w:hAnsi="Times New Roman" w:cs="Times New Roman"/>
          <w:color w:val="auto"/>
          <w:spacing w:val="4"/>
          <w:sz w:val="24"/>
          <w:szCs w:val="24"/>
        </w:rPr>
        <w:t>本项目黑膜沼气池产生的沼渣（含水93%）</w:t>
      </w:r>
      <w:r>
        <w:rPr>
          <w:rFonts w:hint="default" w:ascii="Times New Roman" w:hAnsi="Times New Roman" w:cs="Times New Roman"/>
          <w:color w:val="auto"/>
          <w:spacing w:val="4"/>
          <w:sz w:val="24"/>
          <w:szCs w:val="24"/>
          <w:lang w:val="en-US" w:eastAsia="zh-CN"/>
        </w:rPr>
        <w:t>2030.8</w:t>
      </w:r>
      <w:r>
        <w:rPr>
          <w:rFonts w:hint="default" w:ascii="Times New Roman" w:hAnsi="Times New Roman" w:cs="Times New Roman"/>
          <w:color w:val="auto"/>
          <w:spacing w:val="4"/>
          <w:sz w:val="24"/>
          <w:szCs w:val="24"/>
        </w:rPr>
        <w:t>t/a，沼渣收集后运至</w:t>
      </w:r>
      <w:r>
        <w:rPr>
          <w:rFonts w:hint="default" w:ascii="Times New Roman" w:hAnsi="Times New Roman" w:cs="Times New Roman"/>
          <w:color w:val="auto"/>
          <w:spacing w:val="4"/>
          <w:sz w:val="24"/>
          <w:szCs w:val="24"/>
          <w:lang w:eastAsia="zh-CN"/>
        </w:rPr>
        <w:t>收集池经固液分离后的</w:t>
      </w:r>
      <w:r>
        <w:rPr>
          <w:rFonts w:hint="default" w:ascii="Times New Roman" w:hAnsi="Times New Roman" w:cs="Times New Roman"/>
          <w:color w:val="auto"/>
          <w:spacing w:val="4"/>
          <w:sz w:val="24"/>
          <w:szCs w:val="24"/>
        </w:rPr>
        <w:t>产生</w:t>
      </w:r>
      <w:r>
        <w:rPr>
          <w:rFonts w:hint="default" w:ascii="Times New Roman" w:hAnsi="Times New Roman" w:cs="Times New Roman"/>
          <w:color w:val="auto"/>
          <w:spacing w:val="4"/>
          <w:sz w:val="24"/>
          <w:szCs w:val="24"/>
          <w:lang w:eastAsia="zh-CN"/>
        </w:rPr>
        <w:t>滤液</w:t>
      </w:r>
      <w:r>
        <w:rPr>
          <w:rFonts w:hint="default" w:ascii="Times New Roman" w:hAnsi="Times New Roman" w:cs="Times New Roman"/>
          <w:color w:val="auto"/>
          <w:spacing w:val="4"/>
          <w:sz w:val="24"/>
          <w:szCs w:val="24"/>
        </w:rPr>
        <w:t>量为</w:t>
      </w:r>
      <w:r>
        <w:rPr>
          <w:rFonts w:hint="default" w:ascii="Times New Roman" w:hAnsi="Times New Roman" w:cs="Times New Roman"/>
          <w:color w:val="auto"/>
          <w:spacing w:val="4"/>
          <w:sz w:val="24"/>
          <w:szCs w:val="24"/>
          <w:lang w:val="en-US" w:eastAsia="zh-CN"/>
        </w:rPr>
        <w:t>1624.6</w:t>
      </w:r>
      <w:r>
        <w:rPr>
          <w:rFonts w:hint="default" w:ascii="Times New Roman" w:hAnsi="Times New Roman" w:cs="Times New Roman"/>
          <w:color w:val="auto"/>
          <w:spacing w:val="4"/>
          <w:sz w:val="24"/>
          <w:szCs w:val="24"/>
        </w:rPr>
        <w:t>m</w:t>
      </w:r>
      <w:r>
        <w:rPr>
          <w:rFonts w:hint="default" w:ascii="Times New Roman" w:hAnsi="Times New Roman" w:cs="Times New Roman"/>
          <w:color w:val="auto"/>
          <w:spacing w:val="4"/>
          <w:sz w:val="24"/>
          <w:szCs w:val="24"/>
          <w:vertAlign w:val="superscript"/>
        </w:rPr>
        <w:t>3</w:t>
      </w:r>
      <w:r>
        <w:rPr>
          <w:rFonts w:hint="default" w:ascii="Times New Roman" w:hAnsi="Times New Roman" w:cs="Times New Roman"/>
          <w:color w:val="auto"/>
          <w:spacing w:val="4"/>
          <w:sz w:val="24"/>
          <w:szCs w:val="24"/>
        </w:rPr>
        <w:t>/a，折</w:t>
      </w:r>
      <w:r>
        <w:rPr>
          <w:rFonts w:hint="default" w:ascii="Times New Roman" w:hAnsi="Times New Roman" w:cs="Times New Roman"/>
          <w:color w:val="auto"/>
          <w:spacing w:val="4"/>
          <w:sz w:val="24"/>
          <w:szCs w:val="24"/>
          <w:lang w:val="en-US" w:eastAsia="zh-CN"/>
        </w:rPr>
        <w:t>4.45</w:t>
      </w:r>
      <w:r>
        <w:rPr>
          <w:rFonts w:hint="default" w:ascii="Times New Roman" w:hAnsi="Times New Roman" w:cs="Times New Roman"/>
          <w:color w:val="auto"/>
          <w:spacing w:val="4"/>
          <w:sz w:val="24"/>
          <w:szCs w:val="24"/>
        </w:rPr>
        <w:t>m</w:t>
      </w:r>
      <w:r>
        <w:rPr>
          <w:rFonts w:hint="default" w:ascii="Times New Roman" w:hAnsi="Times New Roman" w:cs="Times New Roman"/>
          <w:color w:val="auto"/>
          <w:spacing w:val="4"/>
          <w:sz w:val="24"/>
          <w:szCs w:val="24"/>
          <w:vertAlign w:val="superscript"/>
        </w:rPr>
        <w:t>3</w:t>
      </w:r>
      <w:r>
        <w:rPr>
          <w:rFonts w:hint="default" w:ascii="Times New Roman" w:hAnsi="Times New Roman" w:cs="Times New Roman"/>
          <w:color w:val="auto"/>
          <w:spacing w:val="4"/>
          <w:sz w:val="24"/>
          <w:szCs w:val="24"/>
        </w:rPr>
        <w:t>/d，收集后去厌氧发酵系统处理。</w:t>
      </w:r>
    </w:p>
    <w:p>
      <w:pPr>
        <w:pStyle w:val="11"/>
        <w:spacing w:after="0"/>
        <w:ind w:firstLine="496"/>
        <w:rPr>
          <w:rFonts w:hint="default" w:ascii="Times New Roman" w:hAnsi="Times New Roman" w:cs="Times New Roman"/>
          <w:color w:val="auto"/>
          <w:spacing w:val="4"/>
        </w:rPr>
      </w:pPr>
      <w:r>
        <w:rPr>
          <w:rFonts w:hint="default" w:ascii="Times New Roman" w:hAnsi="Times New Roman" w:cs="Times New Roman"/>
          <w:color w:val="auto"/>
          <w:spacing w:val="4"/>
        </w:rPr>
        <w:t>●员工生活及办公废水</w:t>
      </w:r>
    </w:p>
    <w:p>
      <w:pPr>
        <w:pStyle w:val="11"/>
        <w:spacing w:after="0"/>
        <w:ind w:firstLine="496"/>
        <w:rPr>
          <w:rFonts w:hint="default" w:ascii="Times New Roman" w:hAnsi="Times New Roman" w:cs="Times New Roman"/>
          <w:color w:val="auto"/>
          <w:spacing w:val="4"/>
        </w:rPr>
      </w:pPr>
      <w:r>
        <w:rPr>
          <w:rFonts w:hint="default" w:ascii="Times New Roman" w:hAnsi="Times New Roman" w:cs="Times New Roman"/>
          <w:color w:val="auto"/>
          <w:spacing w:val="4"/>
        </w:rPr>
        <w:t>项目生活用水量为3.6m</w:t>
      </w:r>
      <w:r>
        <w:rPr>
          <w:rFonts w:hint="default" w:ascii="Times New Roman" w:hAnsi="Times New Roman" w:cs="Times New Roman"/>
          <w:color w:val="auto"/>
          <w:spacing w:val="4"/>
          <w:vertAlign w:val="superscript"/>
        </w:rPr>
        <w:t>3</w:t>
      </w:r>
      <w:r>
        <w:rPr>
          <w:rFonts w:hint="default" w:ascii="Times New Roman" w:hAnsi="Times New Roman" w:cs="Times New Roman"/>
          <w:color w:val="auto"/>
          <w:spacing w:val="4"/>
        </w:rPr>
        <w:t>/d、1314m</w:t>
      </w:r>
      <w:r>
        <w:rPr>
          <w:rFonts w:hint="default" w:ascii="Times New Roman" w:hAnsi="Times New Roman" w:cs="Times New Roman"/>
          <w:color w:val="auto"/>
          <w:spacing w:val="4"/>
          <w:vertAlign w:val="superscript"/>
        </w:rPr>
        <w:t>3</w:t>
      </w:r>
      <w:r>
        <w:rPr>
          <w:rFonts w:hint="default" w:ascii="Times New Roman" w:hAnsi="Times New Roman" w:cs="Times New Roman"/>
          <w:color w:val="auto"/>
          <w:spacing w:val="4"/>
        </w:rPr>
        <w:t>/a，排放系数按0.8计，则生活污水排放量为2.88m</w:t>
      </w:r>
      <w:r>
        <w:rPr>
          <w:rFonts w:hint="default" w:ascii="Times New Roman" w:hAnsi="Times New Roman" w:cs="Times New Roman"/>
          <w:color w:val="auto"/>
          <w:spacing w:val="4"/>
          <w:vertAlign w:val="superscript"/>
        </w:rPr>
        <w:t>3</w:t>
      </w:r>
      <w:r>
        <w:rPr>
          <w:rFonts w:hint="default" w:ascii="Times New Roman" w:hAnsi="Times New Roman" w:cs="Times New Roman"/>
          <w:color w:val="auto"/>
          <w:spacing w:val="4"/>
        </w:rPr>
        <w:t>/d、1051.2m</w:t>
      </w:r>
      <w:r>
        <w:rPr>
          <w:rFonts w:hint="default" w:ascii="Times New Roman" w:hAnsi="Times New Roman" w:cs="Times New Roman"/>
          <w:color w:val="auto"/>
          <w:spacing w:val="4"/>
          <w:vertAlign w:val="superscript"/>
        </w:rPr>
        <w:t>3</w:t>
      </w:r>
      <w:r>
        <w:rPr>
          <w:rFonts w:hint="default" w:ascii="Times New Roman" w:hAnsi="Times New Roman" w:cs="Times New Roman"/>
          <w:color w:val="auto"/>
          <w:spacing w:val="4"/>
        </w:rPr>
        <w:t>/a。</w:t>
      </w:r>
    </w:p>
    <w:p>
      <w:pPr>
        <w:pStyle w:val="11"/>
        <w:spacing w:after="0"/>
        <w:ind w:firstLine="496"/>
        <w:rPr>
          <w:rFonts w:hint="default" w:ascii="Times New Roman" w:hAnsi="Times New Roman" w:cs="Times New Roman"/>
          <w:color w:val="auto"/>
          <w:spacing w:val="4"/>
        </w:rPr>
      </w:pPr>
      <w:r>
        <w:rPr>
          <w:rFonts w:hint="default" w:ascii="Times New Roman" w:hAnsi="Times New Roman" w:cs="Times New Roman"/>
          <w:color w:val="auto"/>
          <w:spacing w:val="4"/>
        </w:rPr>
        <w:t>●病死猪高温无害化处理冷凝水</w:t>
      </w:r>
    </w:p>
    <w:p>
      <w:pPr>
        <w:pStyle w:val="11"/>
        <w:spacing w:after="0"/>
        <w:ind w:firstLine="496"/>
        <w:rPr>
          <w:rFonts w:hint="default" w:ascii="Times New Roman" w:hAnsi="Times New Roman" w:cs="Times New Roman"/>
          <w:color w:val="auto"/>
          <w:spacing w:val="4"/>
        </w:rPr>
      </w:pPr>
      <w:r>
        <w:rPr>
          <w:rFonts w:hint="default" w:ascii="Times New Roman" w:hAnsi="Times New Roman" w:cs="Times New Roman"/>
          <w:color w:val="auto"/>
          <w:spacing w:val="4"/>
        </w:rPr>
        <w:t>根据厂家提供的经验数据，病死猪高温无害化处理机运行一次冷凝水产生量约为0.075m</w:t>
      </w:r>
      <w:r>
        <w:rPr>
          <w:rFonts w:hint="default" w:ascii="Times New Roman" w:hAnsi="Times New Roman" w:cs="Times New Roman"/>
          <w:color w:val="auto"/>
          <w:spacing w:val="4"/>
          <w:vertAlign w:val="superscript"/>
        </w:rPr>
        <w:t>3</w:t>
      </w:r>
      <w:r>
        <w:rPr>
          <w:rFonts w:hint="default" w:ascii="Times New Roman" w:hAnsi="Times New Roman" w:cs="Times New Roman"/>
          <w:color w:val="auto"/>
          <w:spacing w:val="4"/>
        </w:rPr>
        <w:t>，故废水产生量为0.075m</w:t>
      </w:r>
      <w:r>
        <w:rPr>
          <w:rFonts w:hint="default" w:ascii="Times New Roman" w:hAnsi="Times New Roman" w:cs="Times New Roman"/>
          <w:color w:val="auto"/>
          <w:spacing w:val="4"/>
          <w:vertAlign w:val="superscript"/>
        </w:rPr>
        <w:t>3</w:t>
      </w:r>
      <w:r>
        <w:rPr>
          <w:rFonts w:hint="default" w:ascii="Times New Roman" w:hAnsi="Times New Roman" w:cs="Times New Roman"/>
          <w:color w:val="auto"/>
          <w:spacing w:val="4"/>
        </w:rPr>
        <w:t>/d（27.375t/a）。</w:t>
      </w:r>
    </w:p>
    <w:p>
      <w:pPr>
        <w:keepNext w:val="0"/>
        <w:keepLines w:val="0"/>
        <w:pageBreakBefore w:val="0"/>
        <w:widowControl w:val="0"/>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color w:val="auto"/>
          <w:spacing w:val="4"/>
        </w:rPr>
        <w:t>●</w:t>
      </w:r>
      <w:r>
        <w:rPr>
          <w:rFonts w:hint="default" w:ascii="Times New Roman" w:hAnsi="Times New Roman" w:cs="Times New Roman"/>
          <w:bCs/>
          <w:color w:val="auto"/>
          <w:sz w:val="24"/>
          <w:szCs w:val="24"/>
        </w:rPr>
        <w:t>固粪处理区水帘排水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color w:val="auto"/>
          <w:sz w:val="24"/>
          <w:szCs w:val="24"/>
        </w:rPr>
        <w:t>项目固粪处理区采用水帘除臭，水帘除臭装置水池容积为为0.5m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，正常情况水帘泵流量为10m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/h，损耗水量按1%计，即0.1m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/h，2.4m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/d。水帘用水循环使用，每10天更换一回，一次更换量为0.5m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，废水产生量为</w:t>
      </w:r>
      <w:r>
        <w:rPr>
          <w:rFonts w:hint="default" w:ascii="Times New Roman" w:hAnsi="Times New Roman" w:cs="Times New Roman"/>
          <w:bCs/>
          <w:color w:val="auto"/>
          <w:sz w:val="24"/>
          <w:szCs w:val="24"/>
        </w:rPr>
        <w:t>18.25m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/a（折0.05m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/d）</w:t>
      </w:r>
      <w:r>
        <w:rPr>
          <w:rFonts w:hint="default" w:ascii="Times New Roman" w:hAnsi="Times New Roman" w:cs="Times New Roman"/>
          <w:color w:val="auto"/>
          <w:sz w:val="24"/>
          <w:szCs w:val="24"/>
        </w:rPr>
        <w:t>更换水排放进入沼气池。</w:t>
      </w:r>
    </w:p>
    <w:p>
      <w:pPr>
        <w:pStyle w:val="11"/>
        <w:spacing w:after="0"/>
        <w:ind w:firstLine="496"/>
        <w:rPr>
          <w:rFonts w:hint="default" w:ascii="Times New Roman" w:hAnsi="Times New Roman" w:cs="Times New Roman"/>
          <w:color w:val="auto"/>
          <w:spacing w:val="4"/>
        </w:rPr>
      </w:pPr>
      <w:r>
        <w:rPr>
          <w:rFonts w:hint="default" w:ascii="Times New Roman" w:hAnsi="Times New Roman" w:cs="Times New Roman"/>
          <w:color w:val="auto"/>
          <w:spacing w:val="4"/>
        </w:rPr>
        <w:t>●项目养殖区初期雨水量核算</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80"/>
        <w:jc w:val="both"/>
        <w:textAlignment w:val="auto"/>
        <w:rPr>
          <w:rFonts w:hint="default" w:ascii="Times New Roman" w:hAnsi="Times New Roman" w:eastAsia="宋体" w:cs="Times New Roman"/>
          <w:color w:val="auto"/>
          <w:spacing w:val="4"/>
          <w:sz w:val="24"/>
          <w:szCs w:val="24"/>
          <w:lang w:eastAsia="zh-CN"/>
        </w:rPr>
      </w:pPr>
      <w:r>
        <w:rPr>
          <w:rFonts w:hint="default" w:ascii="Times New Roman" w:hAnsi="Times New Roman" w:cs="Times New Roman"/>
          <w:color w:val="auto"/>
          <w:spacing w:val="4"/>
          <w:sz w:val="24"/>
          <w:szCs w:val="24"/>
        </w:rPr>
        <w:t>项目初期雨水主要产生于项目养殖区脏道及粪污处理区，养殖区初期雨水主要为脏道落雨，脏道即养殖场粪污输送通道。</w:t>
      </w:r>
      <w:r>
        <w:rPr>
          <w:rFonts w:hint="default" w:ascii="Times New Roman" w:hAnsi="Times New Roman" w:cs="Times New Roman"/>
          <w:color w:val="auto"/>
          <w:spacing w:val="4"/>
          <w:sz w:val="24"/>
          <w:szCs w:val="24"/>
          <w:lang w:eastAsia="zh-CN"/>
        </w:rPr>
        <w:t>根据</w:t>
      </w:r>
      <w:r>
        <w:rPr>
          <w:rFonts w:hint="default" w:ascii="Times New Roman" w:hAnsi="Times New Roman" w:cs="Times New Roman"/>
          <w:bCs/>
          <w:color w:val="auto"/>
          <w:sz w:val="24"/>
        </w:rPr>
        <w:t>牧原公司其他分场</w:t>
      </w:r>
      <w:r>
        <w:rPr>
          <w:rFonts w:hint="default" w:ascii="Times New Roman" w:hAnsi="Times New Roman" w:cs="Times New Roman"/>
          <w:bCs/>
          <w:color w:val="auto"/>
          <w:sz w:val="24"/>
          <w:lang w:eastAsia="zh-CN"/>
        </w:rPr>
        <w:t>的实际建设情况，项目采用干清粪工艺，各个衔接过程均设有预埋管道，粪污均采取密闭方式运至处理场所，场区内无粪污产生点，因此产生的初期雨水不再设计初期雨水收集池集中收集，直接外排至场区外。</w:t>
      </w:r>
    </w:p>
    <w:p>
      <w:pPr>
        <w:ind w:firstLine="480"/>
        <w:rPr>
          <w:rFonts w:hint="default" w:ascii="Times New Roman" w:hAnsi="Times New Roman" w:cs="Times New Roman"/>
          <w:color w:val="auto"/>
        </w:rPr>
      </w:pPr>
      <w:r>
        <w:rPr>
          <w:rFonts w:hint="default" w:ascii="Times New Roman" w:hAnsi="Times New Roman" w:cs="Times New Roman"/>
          <w:color w:val="auto"/>
        </w:rPr>
        <w:t>（2）污水水质分析</w:t>
      </w:r>
    </w:p>
    <w:p>
      <w:pPr>
        <w:ind w:firstLine="480"/>
        <w:rPr>
          <w:rFonts w:hint="default" w:ascii="Times New Roman" w:hAnsi="Times New Roman" w:cs="Times New Roman"/>
          <w:bCs/>
          <w:color w:val="auto"/>
        </w:rPr>
      </w:pPr>
      <w:r>
        <w:rPr>
          <w:rFonts w:hint="default" w:ascii="Times New Roman" w:hAnsi="Times New Roman" w:cs="Times New Roman"/>
          <w:bCs/>
          <w:color w:val="auto"/>
        </w:rPr>
        <w:t>本项目废水主要为养殖废水和生活污水，生活污水水质为COD300mg/L、BOD150mg/L、SS200mg/L、NH</w:t>
      </w:r>
      <w:r>
        <w:rPr>
          <w:rFonts w:hint="default" w:ascii="Times New Roman" w:hAnsi="Times New Roman" w:cs="Times New Roman"/>
          <w:bCs/>
          <w:color w:val="auto"/>
          <w:vertAlign w:val="subscript"/>
        </w:rPr>
        <w:t>3</w:t>
      </w:r>
      <w:r>
        <w:rPr>
          <w:rFonts w:hint="default" w:ascii="Times New Roman" w:hAnsi="Times New Roman" w:cs="Times New Roman"/>
          <w:bCs/>
          <w:color w:val="auto"/>
        </w:rPr>
        <w:t>-N30mg/L；养殖废水为猪尿、猪舍冲洗废水、猪粪废水及</w:t>
      </w:r>
      <w:r>
        <w:rPr>
          <w:rFonts w:hint="default" w:ascii="Times New Roman" w:hAnsi="Times New Roman" w:cs="Times New Roman"/>
          <w:bCs/>
          <w:color w:val="auto"/>
          <w:lang w:eastAsia="zh-CN"/>
        </w:rPr>
        <w:t>固粪处理区</w:t>
      </w:r>
      <w:r>
        <w:rPr>
          <w:rFonts w:hint="default" w:ascii="Times New Roman" w:hAnsi="Times New Roman" w:cs="Times New Roman"/>
          <w:bCs/>
          <w:color w:val="auto"/>
        </w:rPr>
        <w:t>渗滤液，根据牧原公司其他分场的实际监测数据和《畜禽养殖废水达标处理新工艺》（朱杰、黄涛编著）确定本项目猪场污水的污染物浓度</w:t>
      </w:r>
      <w:r>
        <w:rPr>
          <w:rFonts w:hint="default" w:ascii="Times New Roman" w:hAnsi="Times New Roman" w:cs="Times New Roman"/>
          <w:color w:val="auto"/>
        </w:rPr>
        <w:t>，养殖废水水质为</w:t>
      </w:r>
      <w:r>
        <w:rPr>
          <w:rFonts w:hint="default" w:ascii="Times New Roman" w:hAnsi="Times New Roman" w:cs="Times New Roman"/>
          <w:bCs/>
          <w:color w:val="auto"/>
        </w:rPr>
        <w:t>COD19500mg/L、BOD8000mg/L、SS16000mg/L、NH</w:t>
      </w:r>
      <w:r>
        <w:rPr>
          <w:rFonts w:hint="default" w:ascii="Times New Roman" w:hAnsi="Times New Roman" w:cs="Times New Roman"/>
          <w:bCs/>
          <w:color w:val="auto"/>
          <w:vertAlign w:val="subscript"/>
        </w:rPr>
        <w:t>3</w:t>
      </w:r>
      <w:r>
        <w:rPr>
          <w:rFonts w:hint="default" w:ascii="Times New Roman" w:hAnsi="Times New Roman" w:cs="Times New Roman"/>
          <w:bCs/>
          <w:color w:val="auto"/>
        </w:rPr>
        <w:t>-N1200mg/L。</w:t>
      </w:r>
    </w:p>
    <w:p>
      <w:pPr>
        <w:ind w:firstLine="480"/>
        <w:rPr>
          <w:rFonts w:hint="default" w:ascii="Times New Roman" w:hAnsi="Times New Roman" w:cs="Times New Roman"/>
          <w:bCs/>
          <w:color w:val="auto"/>
        </w:rPr>
      </w:pPr>
      <w:r>
        <w:rPr>
          <w:rFonts w:hint="default" w:ascii="Times New Roman" w:hAnsi="Times New Roman" w:cs="Times New Roman"/>
          <w:color w:val="auto"/>
        </w:rPr>
        <w:t>（3）污水处理工艺及废水排放情况</w:t>
      </w:r>
    </w:p>
    <w:p>
      <w:pPr>
        <w:ind w:firstLine="480"/>
        <w:rPr>
          <w:rFonts w:hint="default" w:ascii="Times New Roman" w:hAnsi="Times New Roman" w:cs="Times New Roman"/>
          <w:bCs/>
          <w:color w:val="auto"/>
        </w:rPr>
      </w:pPr>
      <w:r>
        <w:rPr>
          <w:rFonts w:hint="default" w:ascii="Times New Roman" w:hAnsi="Times New Roman" w:cs="Times New Roman"/>
          <w:bCs/>
          <w:color w:val="auto"/>
        </w:rPr>
        <w:t>本项目采取“干清粪、黑膜沼气池、沼气沼液综合利用”处理工艺，养殖废水和生活污水进入黑膜沼气池进行35d厌氧发酵处理，黑膜沼气池设计容积为13393m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，能满足夏季35天容纳能力要求。</w:t>
      </w:r>
      <w:r>
        <w:rPr>
          <w:rFonts w:hint="default" w:ascii="Times New Roman" w:hAnsi="Times New Roman" w:cs="Times New Roman"/>
          <w:b/>
          <w:bCs w:val="0"/>
          <w:color w:val="auto"/>
          <w:sz w:val="24"/>
          <w:szCs w:val="24"/>
          <w:u w:val="single"/>
        </w:rPr>
        <w:t>根据西华牧原农业有限公司四场实验室自行监测数据，沼气池进口处COD浓度为14399.3mg/L，出口浓度为1913.1mg/L。结合监测数据和《畜禽养殖废水达标处理新工艺》（朱杰、黄涛编著），确定本项目猪场污水的污染物浓度。</w:t>
      </w:r>
      <w:r>
        <w:rPr>
          <w:rFonts w:hint="default" w:ascii="Times New Roman" w:hAnsi="Times New Roman" w:cs="Times New Roman"/>
          <w:bCs/>
          <w:color w:val="auto"/>
        </w:rPr>
        <w:t>本项目废水主要污染物产生及排放情况见表3.3-</w:t>
      </w:r>
      <w:r>
        <w:rPr>
          <w:rFonts w:hint="default" w:ascii="Times New Roman" w:hAnsi="Times New Roman" w:cs="Times New Roman"/>
          <w:bCs/>
          <w:color w:val="auto"/>
          <w:lang w:val="en-US" w:eastAsia="zh-CN"/>
        </w:rPr>
        <w:t>9</w:t>
      </w:r>
      <w:r>
        <w:rPr>
          <w:rFonts w:hint="default" w:ascii="Times New Roman" w:hAnsi="Times New Roman" w:cs="Times New Roman"/>
          <w:bCs/>
          <w:color w:val="auto"/>
        </w:rPr>
        <w:t>。</w:t>
      </w:r>
    </w:p>
    <w:p>
      <w:pPr>
        <w:spacing w:afterLines="30"/>
        <w:ind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表3.3-</w:t>
      </w:r>
      <w:r>
        <w:rPr>
          <w:rFonts w:hint="default" w:ascii="Times New Roman" w:hAnsi="Times New Roman" w:cs="Times New Roman"/>
          <w:b/>
          <w:color w:val="auto"/>
          <w:szCs w:val="21"/>
          <w:lang w:val="en-US" w:eastAsia="zh-CN"/>
        </w:rPr>
        <w:t>9</w:t>
      </w:r>
      <w:r>
        <w:rPr>
          <w:rFonts w:hint="default" w:ascii="Times New Roman" w:hAnsi="Times New Roman" w:cs="Times New Roman"/>
          <w:b/>
          <w:color w:val="auto"/>
          <w:szCs w:val="21"/>
        </w:rPr>
        <w:t xml:space="preserve">                 工程废水主要污染物产生及排放情况一览表</w:t>
      </w:r>
    </w:p>
    <w:tbl>
      <w:tblPr>
        <w:tblStyle w:val="25"/>
        <w:tblW w:w="89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97"/>
        <w:gridCol w:w="1179"/>
        <w:gridCol w:w="1016"/>
        <w:gridCol w:w="1156"/>
        <w:gridCol w:w="1012"/>
        <w:gridCol w:w="1708"/>
        <w:gridCol w:w="108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797"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bookmarkStart w:id="369" w:name="_Toc269400718"/>
            <w:bookmarkStart w:id="370" w:name="_Toc406847417"/>
            <w:bookmarkStart w:id="371" w:name="_Toc311979863"/>
            <w:bookmarkStart w:id="372" w:name="_Toc311979931"/>
            <w:bookmarkStart w:id="373" w:name="_Toc413166137"/>
            <w:bookmarkStart w:id="374" w:name="_Toc311979818"/>
            <w:bookmarkStart w:id="375" w:name="_Toc407001410"/>
            <w:bookmarkStart w:id="376" w:name="_Toc388881918"/>
            <w:r>
              <w:rPr>
                <w:rFonts w:hint="default" w:ascii="Times New Roman" w:hAnsi="Times New Roman" w:cs="Times New Roman"/>
                <w:bCs/>
                <w:color w:val="auto"/>
                <w:sz w:val="21"/>
                <w:szCs w:val="21"/>
              </w:rPr>
              <w:t>污染源</w:t>
            </w:r>
          </w:p>
        </w:tc>
        <w:tc>
          <w:tcPr>
            <w:tcW w:w="1179"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废水量（m</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/a）</w:t>
            </w:r>
          </w:p>
        </w:tc>
        <w:tc>
          <w:tcPr>
            <w:tcW w:w="1016"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污染因子</w:t>
            </w:r>
          </w:p>
        </w:tc>
        <w:tc>
          <w:tcPr>
            <w:tcW w:w="1156"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浓度</w:t>
            </w:r>
          </w:p>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mg/L</w:t>
            </w:r>
          </w:p>
        </w:tc>
        <w:tc>
          <w:tcPr>
            <w:tcW w:w="1012"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产生量</w:t>
            </w:r>
          </w:p>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t/a</w:t>
            </w:r>
          </w:p>
        </w:tc>
        <w:tc>
          <w:tcPr>
            <w:tcW w:w="1708"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处理措施及效率</w:t>
            </w:r>
          </w:p>
        </w:tc>
        <w:tc>
          <w:tcPr>
            <w:tcW w:w="1086"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去向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797" w:type="dxa"/>
            <w:vMerge w:val="restart"/>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养殖废水</w:t>
            </w:r>
          </w:p>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（尿液、猪舍冲洗废水、进污水站猪粪含水、高温无害化处理机冷凝水等）</w:t>
            </w:r>
          </w:p>
        </w:tc>
        <w:tc>
          <w:tcPr>
            <w:tcW w:w="1179" w:type="dxa"/>
            <w:vMerge w:val="restart"/>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35235.506</w:t>
            </w:r>
          </w:p>
        </w:tc>
        <w:tc>
          <w:tcPr>
            <w:tcW w:w="1016"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COD</w:t>
            </w:r>
          </w:p>
        </w:tc>
        <w:tc>
          <w:tcPr>
            <w:tcW w:w="1156"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19500</w:t>
            </w:r>
          </w:p>
        </w:tc>
        <w:tc>
          <w:tcPr>
            <w:tcW w:w="1012"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687.09</w:t>
            </w:r>
          </w:p>
        </w:tc>
        <w:tc>
          <w:tcPr>
            <w:tcW w:w="1708" w:type="dxa"/>
            <w:vMerge w:val="restart"/>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采用“固液分离+黑膜沼气池厌氧处理”工艺，废水沼渣带走188</w:t>
            </w:r>
            <w:r>
              <w:rPr>
                <w:rFonts w:hint="default" w:ascii="Times New Roman" w:hAnsi="Times New Roman" w:cs="Times New Roman"/>
                <w:bCs/>
                <w:color w:val="auto"/>
                <w:sz w:val="21"/>
                <w:szCs w:val="21"/>
                <w:lang w:val="en-US" w:eastAsia="zh-CN"/>
              </w:rPr>
              <w:t>7.05</w:t>
            </w:r>
            <w:r>
              <w:rPr>
                <w:rFonts w:hint="default" w:ascii="Times New Roman" w:hAnsi="Times New Roman" w:cs="Times New Roman"/>
                <w:bCs/>
                <w:color w:val="auto"/>
                <w:sz w:val="21"/>
                <w:szCs w:val="21"/>
              </w:rPr>
              <w:t>m</w:t>
            </w:r>
            <w:r>
              <w:rPr>
                <w:rFonts w:hint="default" w:ascii="Times New Roman" w:hAnsi="Times New Roman" w:cs="Times New Roman"/>
                <w:bCs/>
                <w:color w:val="auto"/>
                <w:sz w:val="21"/>
                <w:szCs w:val="21"/>
                <w:vertAlign w:val="superscript"/>
              </w:rPr>
              <w:t>3</w:t>
            </w:r>
            <w:r>
              <w:rPr>
                <w:rFonts w:hint="default" w:ascii="Times New Roman" w:hAnsi="Times New Roman" w:cs="Times New Roman"/>
                <w:bCs/>
                <w:color w:val="auto"/>
                <w:sz w:val="21"/>
                <w:szCs w:val="21"/>
              </w:rPr>
              <w:t>/a；</w:t>
            </w:r>
          </w:p>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各污染物去除效率：</w:t>
            </w:r>
          </w:p>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 xml:space="preserve">COD </w:t>
            </w:r>
            <w:r>
              <w:rPr>
                <w:rFonts w:hint="default" w:ascii="Times New Roman" w:hAnsi="Times New Roman" w:cs="Times New Roman"/>
                <w:bCs/>
                <w:color w:val="auto"/>
                <w:sz w:val="21"/>
                <w:szCs w:val="21"/>
                <w:lang w:val="en-US" w:eastAsia="zh-CN"/>
              </w:rPr>
              <w:t>93</w:t>
            </w:r>
            <w:r>
              <w:rPr>
                <w:rFonts w:hint="default" w:ascii="Times New Roman" w:hAnsi="Times New Roman" w:cs="Times New Roman"/>
                <w:bCs/>
                <w:color w:val="auto"/>
                <w:sz w:val="21"/>
                <w:szCs w:val="21"/>
              </w:rPr>
              <w:t>%、</w:t>
            </w:r>
          </w:p>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BOD</w:t>
            </w:r>
            <w:r>
              <w:rPr>
                <w:rFonts w:hint="default" w:ascii="Times New Roman" w:hAnsi="Times New Roman" w:cs="Times New Roman"/>
                <w:bCs/>
                <w:color w:val="auto"/>
                <w:sz w:val="21"/>
                <w:szCs w:val="21"/>
                <w:vertAlign w:val="subscript"/>
              </w:rPr>
              <w:t>5</w:t>
            </w:r>
            <w:r>
              <w:rPr>
                <w:rFonts w:hint="default" w:ascii="Times New Roman" w:hAnsi="Times New Roman" w:cs="Times New Roman"/>
                <w:bCs/>
                <w:color w:val="auto"/>
                <w:sz w:val="21"/>
                <w:szCs w:val="21"/>
              </w:rPr>
              <w:t xml:space="preserve"> 81.5%、</w:t>
            </w:r>
          </w:p>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SS 86.8%、</w:t>
            </w:r>
          </w:p>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NH</w:t>
            </w:r>
            <w:r>
              <w:rPr>
                <w:rFonts w:hint="default" w:ascii="Times New Roman" w:hAnsi="Times New Roman" w:cs="Times New Roman"/>
                <w:bCs/>
                <w:color w:val="auto"/>
                <w:sz w:val="21"/>
                <w:szCs w:val="21"/>
                <w:vertAlign w:val="subscript"/>
              </w:rPr>
              <w:t>3</w:t>
            </w:r>
            <w:r>
              <w:rPr>
                <w:rFonts w:hint="default" w:ascii="Times New Roman" w:hAnsi="Times New Roman" w:cs="Times New Roman"/>
                <w:bCs/>
                <w:color w:val="auto"/>
                <w:sz w:val="21"/>
                <w:szCs w:val="21"/>
              </w:rPr>
              <w:t>-N20.6%</w:t>
            </w:r>
            <w:r>
              <w:rPr>
                <w:rFonts w:hint="default" w:ascii="Times New Roman" w:hAnsi="Times New Roman" w:cs="Times New Roman"/>
                <w:bCs/>
                <w:color w:val="auto"/>
                <w:sz w:val="21"/>
                <w:szCs w:val="21"/>
                <w:lang w:eastAsia="zh-CN"/>
              </w:rPr>
              <w:t>、</w:t>
            </w:r>
            <w:r>
              <w:rPr>
                <w:rFonts w:hint="default" w:ascii="Times New Roman" w:hAnsi="Times New Roman" w:cs="Times New Roman"/>
                <w:b/>
                <w:bCs w:val="0"/>
                <w:color w:val="auto"/>
                <w:sz w:val="20"/>
                <w:szCs w:val="20"/>
                <w:u w:val="single"/>
              </w:rPr>
              <w:t>TP22.4%</w:t>
            </w:r>
          </w:p>
        </w:tc>
        <w:tc>
          <w:tcPr>
            <w:tcW w:w="1086" w:type="dxa"/>
            <w:vMerge w:val="restart"/>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施肥季节做农肥，非耕作期由</w:t>
            </w:r>
            <w:r>
              <w:rPr>
                <w:rFonts w:hint="default" w:ascii="Times New Roman" w:hAnsi="Times New Roman" w:cs="Times New Roman"/>
                <w:bCs/>
                <w:color w:val="auto"/>
                <w:sz w:val="21"/>
                <w:szCs w:val="21"/>
                <w:lang w:eastAsia="zh-CN"/>
              </w:rPr>
              <w:t>沼液存储池</w:t>
            </w:r>
            <w:r>
              <w:rPr>
                <w:rFonts w:hint="default" w:ascii="Times New Roman" w:hAnsi="Times New Roman" w:cs="Times New Roman"/>
                <w:bCs/>
                <w:color w:val="auto"/>
                <w:sz w:val="21"/>
                <w:szCs w:val="21"/>
              </w:rPr>
              <w:t>暂时贮存，不外排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797"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179"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16"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BOD</w:t>
            </w:r>
            <w:r>
              <w:rPr>
                <w:rFonts w:hint="default" w:ascii="Times New Roman" w:hAnsi="Times New Roman" w:cs="Times New Roman"/>
                <w:bCs/>
                <w:color w:val="auto"/>
                <w:sz w:val="21"/>
                <w:szCs w:val="21"/>
                <w:vertAlign w:val="subscript"/>
              </w:rPr>
              <w:t>5</w:t>
            </w:r>
          </w:p>
        </w:tc>
        <w:tc>
          <w:tcPr>
            <w:tcW w:w="1156"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8000</w:t>
            </w:r>
          </w:p>
        </w:tc>
        <w:tc>
          <w:tcPr>
            <w:tcW w:w="1012"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281.88</w:t>
            </w:r>
          </w:p>
        </w:tc>
        <w:tc>
          <w:tcPr>
            <w:tcW w:w="1708"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86"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97"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179"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16"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SS</w:t>
            </w:r>
          </w:p>
        </w:tc>
        <w:tc>
          <w:tcPr>
            <w:tcW w:w="1156"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16000</w:t>
            </w:r>
          </w:p>
        </w:tc>
        <w:tc>
          <w:tcPr>
            <w:tcW w:w="1012"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563.77</w:t>
            </w:r>
          </w:p>
        </w:tc>
        <w:tc>
          <w:tcPr>
            <w:tcW w:w="1708"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86"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797"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179"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16"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NH</w:t>
            </w:r>
            <w:r>
              <w:rPr>
                <w:rFonts w:hint="default" w:ascii="Times New Roman" w:hAnsi="Times New Roman" w:cs="Times New Roman"/>
                <w:bCs/>
                <w:color w:val="auto"/>
                <w:sz w:val="21"/>
                <w:szCs w:val="21"/>
                <w:vertAlign w:val="subscript"/>
              </w:rPr>
              <w:t>3</w:t>
            </w:r>
            <w:r>
              <w:rPr>
                <w:rFonts w:hint="default" w:ascii="Times New Roman" w:hAnsi="Times New Roman" w:cs="Times New Roman"/>
                <w:bCs/>
                <w:color w:val="auto"/>
                <w:sz w:val="21"/>
                <w:szCs w:val="21"/>
              </w:rPr>
              <w:t>-N</w:t>
            </w:r>
          </w:p>
        </w:tc>
        <w:tc>
          <w:tcPr>
            <w:tcW w:w="1156"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1200</w:t>
            </w:r>
          </w:p>
        </w:tc>
        <w:tc>
          <w:tcPr>
            <w:tcW w:w="1012"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42.28</w:t>
            </w:r>
          </w:p>
        </w:tc>
        <w:tc>
          <w:tcPr>
            <w:tcW w:w="1708"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86"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797"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179"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16" w:type="dxa"/>
            <w:tcMar>
              <w:left w:w="0" w:type="dxa"/>
              <w:right w:w="0" w:type="dxa"/>
            </w:tcMar>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TP</w:t>
            </w:r>
          </w:p>
        </w:tc>
        <w:tc>
          <w:tcPr>
            <w:tcW w:w="1156" w:type="dxa"/>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50</w:t>
            </w:r>
          </w:p>
        </w:tc>
        <w:tc>
          <w:tcPr>
            <w:tcW w:w="1012" w:type="dxa"/>
            <w:tcMar>
              <w:left w:w="0" w:type="dxa"/>
              <w:right w:w="0" w:type="dxa"/>
            </w:tcMar>
            <w:vAlign w:val="center"/>
          </w:tcPr>
          <w:p>
            <w:pPr>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1.76</w:t>
            </w:r>
          </w:p>
        </w:tc>
        <w:tc>
          <w:tcPr>
            <w:tcW w:w="1708"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86"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797" w:type="dxa"/>
            <w:vMerge w:val="restart"/>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生活污水</w:t>
            </w:r>
          </w:p>
        </w:tc>
        <w:tc>
          <w:tcPr>
            <w:tcW w:w="1179" w:type="dxa"/>
            <w:vMerge w:val="restart"/>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1051.2</w:t>
            </w:r>
          </w:p>
        </w:tc>
        <w:tc>
          <w:tcPr>
            <w:tcW w:w="1016"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COD</w:t>
            </w:r>
          </w:p>
        </w:tc>
        <w:tc>
          <w:tcPr>
            <w:tcW w:w="1156"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300</w:t>
            </w:r>
          </w:p>
        </w:tc>
        <w:tc>
          <w:tcPr>
            <w:tcW w:w="1012"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0.32</w:t>
            </w:r>
          </w:p>
        </w:tc>
        <w:tc>
          <w:tcPr>
            <w:tcW w:w="1708"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86"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7"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179"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16"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BOD</w:t>
            </w:r>
            <w:r>
              <w:rPr>
                <w:rFonts w:hint="default" w:ascii="Times New Roman" w:hAnsi="Times New Roman" w:cs="Times New Roman"/>
                <w:bCs/>
                <w:color w:val="auto"/>
                <w:sz w:val="21"/>
                <w:szCs w:val="21"/>
                <w:vertAlign w:val="subscript"/>
              </w:rPr>
              <w:t>5</w:t>
            </w:r>
          </w:p>
        </w:tc>
        <w:tc>
          <w:tcPr>
            <w:tcW w:w="1156"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150</w:t>
            </w:r>
          </w:p>
        </w:tc>
        <w:tc>
          <w:tcPr>
            <w:tcW w:w="1012"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0.16</w:t>
            </w:r>
          </w:p>
        </w:tc>
        <w:tc>
          <w:tcPr>
            <w:tcW w:w="1708"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86"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7"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179"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16"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SS</w:t>
            </w:r>
          </w:p>
        </w:tc>
        <w:tc>
          <w:tcPr>
            <w:tcW w:w="1156"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200</w:t>
            </w:r>
          </w:p>
        </w:tc>
        <w:tc>
          <w:tcPr>
            <w:tcW w:w="1012"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0.21</w:t>
            </w:r>
          </w:p>
        </w:tc>
        <w:tc>
          <w:tcPr>
            <w:tcW w:w="1708"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86"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97"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179"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16"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NH</w:t>
            </w:r>
            <w:r>
              <w:rPr>
                <w:rFonts w:hint="default" w:ascii="Times New Roman" w:hAnsi="Times New Roman" w:cs="Times New Roman"/>
                <w:bCs/>
                <w:color w:val="auto"/>
                <w:sz w:val="21"/>
                <w:szCs w:val="21"/>
                <w:vertAlign w:val="subscript"/>
              </w:rPr>
              <w:t>3</w:t>
            </w:r>
            <w:r>
              <w:rPr>
                <w:rFonts w:hint="default" w:ascii="Times New Roman" w:hAnsi="Times New Roman" w:cs="Times New Roman"/>
                <w:bCs/>
                <w:color w:val="auto"/>
                <w:sz w:val="21"/>
                <w:szCs w:val="21"/>
              </w:rPr>
              <w:t>-N</w:t>
            </w:r>
          </w:p>
        </w:tc>
        <w:tc>
          <w:tcPr>
            <w:tcW w:w="1156"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30</w:t>
            </w:r>
          </w:p>
        </w:tc>
        <w:tc>
          <w:tcPr>
            <w:tcW w:w="1012"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0.03</w:t>
            </w:r>
          </w:p>
        </w:tc>
        <w:tc>
          <w:tcPr>
            <w:tcW w:w="1708"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86"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797"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179"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16" w:type="dxa"/>
            <w:tcMar>
              <w:left w:w="0" w:type="dxa"/>
              <w:right w:w="0" w:type="dxa"/>
            </w:tcMar>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TP</w:t>
            </w:r>
          </w:p>
        </w:tc>
        <w:tc>
          <w:tcPr>
            <w:tcW w:w="1156" w:type="dxa"/>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lang w:val="en-US" w:eastAsia="zh-CN"/>
              </w:rPr>
              <w:t>4</w:t>
            </w:r>
          </w:p>
        </w:tc>
        <w:tc>
          <w:tcPr>
            <w:tcW w:w="1012" w:type="dxa"/>
            <w:tcMar>
              <w:left w:w="0" w:type="dxa"/>
              <w:right w:w="0" w:type="dxa"/>
            </w:tcMar>
            <w:vAlign w:val="center"/>
          </w:tcPr>
          <w:p>
            <w:pPr>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0.004</w:t>
            </w:r>
          </w:p>
        </w:tc>
        <w:tc>
          <w:tcPr>
            <w:tcW w:w="1708"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86"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7" w:type="dxa"/>
            <w:vMerge w:val="restart"/>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污水处理系统进口（固液分离前）</w:t>
            </w:r>
          </w:p>
        </w:tc>
        <w:tc>
          <w:tcPr>
            <w:tcW w:w="1179" w:type="dxa"/>
            <w:vMerge w:val="restart"/>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36286.706</w:t>
            </w:r>
          </w:p>
        </w:tc>
        <w:tc>
          <w:tcPr>
            <w:tcW w:w="1016"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COD</w:t>
            </w:r>
          </w:p>
        </w:tc>
        <w:tc>
          <w:tcPr>
            <w:tcW w:w="1156"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19813</w:t>
            </w:r>
          </w:p>
        </w:tc>
        <w:tc>
          <w:tcPr>
            <w:tcW w:w="1012"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718.95</w:t>
            </w:r>
          </w:p>
        </w:tc>
        <w:tc>
          <w:tcPr>
            <w:tcW w:w="1708"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86"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7"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179"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16"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BOD</w:t>
            </w:r>
            <w:r>
              <w:rPr>
                <w:rFonts w:hint="default" w:ascii="Times New Roman" w:hAnsi="Times New Roman" w:cs="Times New Roman"/>
                <w:bCs/>
                <w:color w:val="auto"/>
                <w:sz w:val="21"/>
                <w:szCs w:val="21"/>
                <w:vertAlign w:val="subscript"/>
              </w:rPr>
              <w:t>5</w:t>
            </w:r>
          </w:p>
        </w:tc>
        <w:tc>
          <w:tcPr>
            <w:tcW w:w="1156"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7555</w:t>
            </w:r>
          </w:p>
        </w:tc>
        <w:tc>
          <w:tcPr>
            <w:tcW w:w="1012"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274.15</w:t>
            </w:r>
          </w:p>
        </w:tc>
        <w:tc>
          <w:tcPr>
            <w:tcW w:w="1708"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86"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7"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179"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16"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SS</w:t>
            </w:r>
          </w:p>
        </w:tc>
        <w:tc>
          <w:tcPr>
            <w:tcW w:w="1156"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15095</w:t>
            </w:r>
          </w:p>
        </w:tc>
        <w:tc>
          <w:tcPr>
            <w:tcW w:w="1012"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547.75</w:t>
            </w:r>
          </w:p>
        </w:tc>
        <w:tc>
          <w:tcPr>
            <w:tcW w:w="1708"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86"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797"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179"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16"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NH</w:t>
            </w:r>
            <w:r>
              <w:rPr>
                <w:rFonts w:hint="default" w:ascii="Times New Roman" w:hAnsi="Times New Roman" w:cs="Times New Roman"/>
                <w:bCs/>
                <w:color w:val="auto"/>
                <w:sz w:val="21"/>
                <w:szCs w:val="21"/>
                <w:vertAlign w:val="subscript"/>
              </w:rPr>
              <w:t>3</w:t>
            </w:r>
            <w:r>
              <w:rPr>
                <w:rFonts w:hint="default" w:ascii="Times New Roman" w:hAnsi="Times New Roman" w:cs="Times New Roman"/>
                <w:bCs/>
                <w:color w:val="auto"/>
                <w:sz w:val="21"/>
                <w:szCs w:val="21"/>
              </w:rPr>
              <w:t>-N</w:t>
            </w:r>
          </w:p>
        </w:tc>
        <w:tc>
          <w:tcPr>
            <w:tcW w:w="1156"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1133</w:t>
            </w:r>
          </w:p>
        </w:tc>
        <w:tc>
          <w:tcPr>
            <w:tcW w:w="1012"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41.11</w:t>
            </w:r>
          </w:p>
        </w:tc>
        <w:tc>
          <w:tcPr>
            <w:tcW w:w="1708"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86"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1797"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179"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16" w:type="dxa"/>
            <w:tcMar>
              <w:left w:w="0" w:type="dxa"/>
              <w:right w:w="0" w:type="dxa"/>
            </w:tcMar>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TP</w:t>
            </w:r>
          </w:p>
        </w:tc>
        <w:tc>
          <w:tcPr>
            <w:tcW w:w="1156" w:type="dxa"/>
            <w:vAlign w:val="center"/>
          </w:tcPr>
          <w:p>
            <w:pPr>
              <w:widowControl/>
              <w:spacing w:line="240" w:lineRule="auto"/>
              <w:ind w:firstLine="0" w:firstLineChars="0"/>
              <w:jc w:val="center"/>
              <w:textAlignment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kern w:val="0"/>
                <w:sz w:val="21"/>
                <w:szCs w:val="21"/>
                <w:u w:val="single"/>
                <w:lang w:val="en-US" w:eastAsia="zh-CN"/>
              </w:rPr>
              <w:t>49</w:t>
            </w:r>
          </w:p>
        </w:tc>
        <w:tc>
          <w:tcPr>
            <w:tcW w:w="1012" w:type="dxa"/>
            <w:tcMar>
              <w:left w:w="0" w:type="dxa"/>
              <w:right w:w="0" w:type="dxa"/>
            </w:tcMar>
            <w:vAlign w:val="center"/>
          </w:tcPr>
          <w:p>
            <w:pPr>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1.78</w:t>
            </w:r>
          </w:p>
        </w:tc>
        <w:tc>
          <w:tcPr>
            <w:tcW w:w="1708"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86"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7" w:type="dxa"/>
            <w:vMerge w:val="restart"/>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固液分离后进入黑膜沼气池进水浓度</w:t>
            </w:r>
          </w:p>
        </w:tc>
        <w:tc>
          <w:tcPr>
            <w:tcW w:w="1179" w:type="dxa"/>
            <w:vMerge w:val="restart"/>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36286.706</w:t>
            </w:r>
          </w:p>
        </w:tc>
        <w:tc>
          <w:tcPr>
            <w:tcW w:w="1016"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COD</w:t>
            </w:r>
          </w:p>
        </w:tc>
        <w:tc>
          <w:tcPr>
            <w:tcW w:w="1156"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14399.3</w:t>
            </w:r>
          </w:p>
        </w:tc>
        <w:tc>
          <w:tcPr>
            <w:tcW w:w="1012" w:type="dxa"/>
            <w:tcMar>
              <w:left w:w="0" w:type="dxa"/>
              <w:right w:w="0" w:type="dxa"/>
            </w:tcMar>
            <w:vAlign w:val="center"/>
          </w:tcPr>
          <w:p>
            <w:pPr>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522.5</w:t>
            </w:r>
          </w:p>
        </w:tc>
        <w:tc>
          <w:tcPr>
            <w:tcW w:w="1708"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86"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7"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179"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16"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BOD</w:t>
            </w:r>
            <w:r>
              <w:rPr>
                <w:rFonts w:hint="default" w:ascii="Times New Roman" w:hAnsi="Times New Roman" w:cs="Times New Roman"/>
                <w:bCs/>
                <w:color w:val="auto"/>
                <w:sz w:val="21"/>
                <w:szCs w:val="21"/>
                <w:vertAlign w:val="subscript"/>
              </w:rPr>
              <w:t>5</w:t>
            </w:r>
          </w:p>
        </w:tc>
        <w:tc>
          <w:tcPr>
            <w:tcW w:w="1156"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6000</w:t>
            </w:r>
          </w:p>
        </w:tc>
        <w:tc>
          <w:tcPr>
            <w:tcW w:w="1012"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217.72</w:t>
            </w:r>
          </w:p>
        </w:tc>
        <w:tc>
          <w:tcPr>
            <w:tcW w:w="1708"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86"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7"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179"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16"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SS</w:t>
            </w:r>
          </w:p>
        </w:tc>
        <w:tc>
          <w:tcPr>
            <w:tcW w:w="1156"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7800</w:t>
            </w:r>
          </w:p>
        </w:tc>
        <w:tc>
          <w:tcPr>
            <w:tcW w:w="1012"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283.04</w:t>
            </w:r>
          </w:p>
        </w:tc>
        <w:tc>
          <w:tcPr>
            <w:tcW w:w="1708"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86"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797"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179"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16"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NH</w:t>
            </w:r>
            <w:r>
              <w:rPr>
                <w:rFonts w:hint="default" w:ascii="Times New Roman" w:hAnsi="Times New Roman" w:cs="Times New Roman"/>
                <w:bCs/>
                <w:color w:val="auto"/>
                <w:sz w:val="21"/>
                <w:szCs w:val="21"/>
                <w:vertAlign w:val="subscript"/>
              </w:rPr>
              <w:t>3</w:t>
            </w:r>
            <w:r>
              <w:rPr>
                <w:rFonts w:hint="default" w:ascii="Times New Roman" w:hAnsi="Times New Roman" w:cs="Times New Roman"/>
                <w:bCs/>
                <w:color w:val="auto"/>
                <w:sz w:val="21"/>
                <w:szCs w:val="21"/>
              </w:rPr>
              <w:t>-N</w:t>
            </w:r>
          </w:p>
        </w:tc>
        <w:tc>
          <w:tcPr>
            <w:tcW w:w="1156"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1000</w:t>
            </w:r>
          </w:p>
        </w:tc>
        <w:tc>
          <w:tcPr>
            <w:tcW w:w="1012"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36.29</w:t>
            </w:r>
          </w:p>
        </w:tc>
        <w:tc>
          <w:tcPr>
            <w:tcW w:w="1708"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86"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797"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179"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16" w:type="dxa"/>
            <w:tcMar>
              <w:left w:w="0" w:type="dxa"/>
              <w:right w:w="0" w:type="dxa"/>
            </w:tcMar>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TP</w:t>
            </w:r>
          </w:p>
        </w:tc>
        <w:tc>
          <w:tcPr>
            <w:tcW w:w="1156" w:type="dxa"/>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lang w:val="en-US" w:eastAsia="zh-CN"/>
              </w:rPr>
              <w:t>40</w:t>
            </w:r>
          </w:p>
        </w:tc>
        <w:tc>
          <w:tcPr>
            <w:tcW w:w="1012" w:type="dxa"/>
            <w:tcMar>
              <w:left w:w="0" w:type="dxa"/>
              <w:right w:w="0" w:type="dxa"/>
            </w:tcMar>
            <w:vAlign w:val="center"/>
          </w:tcPr>
          <w:p>
            <w:pPr>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1.45</w:t>
            </w:r>
          </w:p>
        </w:tc>
        <w:tc>
          <w:tcPr>
            <w:tcW w:w="1708"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86"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797" w:type="dxa"/>
            <w:vMerge w:val="restart"/>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污水处理系统</w:t>
            </w:r>
          </w:p>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出口</w:t>
            </w:r>
          </w:p>
        </w:tc>
        <w:tc>
          <w:tcPr>
            <w:tcW w:w="1179" w:type="dxa"/>
            <w:vMerge w:val="restart"/>
            <w:vAlign w:val="center"/>
          </w:tcPr>
          <w:p>
            <w:pPr>
              <w:widowControl/>
              <w:spacing w:line="240" w:lineRule="auto"/>
              <w:ind w:firstLine="0" w:firstLineChars="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kern w:val="0"/>
                <w:sz w:val="21"/>
                <w:szCs w:val="21"/>
                <w:lang w:val="en-US" w:eastAsia="zh-CN"/>
              </w:rPr>
              <w:t>34399.656</w:t>
            </w:r>
          </w:p>
        </w:tc>
        <w:tc>
          <w:tcPr>
            <w:tcW w:w="1016"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COD</w:t>
            </w:r>
          </w:p>
        </w:tc>
        <w:tc>
          <w:tcPr>
            <w:tcW w:w="1156"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1913.1</w:t>
            </w:r>
          </w:p>
        </w:tc>
        <w:tc>
          <w:tcPr>
            <w:tcW w:w="1012" w:type="dxa"/>
            <w:tcMar>
              <w:left w:w="0" w:type="dxa"/>
              <w:right w:w="0" w:type="dxa"/>
            </w:tcMar>
            <w:vAlign w:val="center"/>
          </w:tcPr>
          <w:p>
            <w:pPr>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65.8</w:t>
            </w:r>
          </w:p>
        </w:tc>
        <w:tc>
          <w:tcPr>
            <w:tcW w:w="1708"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86"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797"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179"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16"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BOD</w:t>
            </w:r>
            <w:r>
              <w:rPr>
                <w:rFonts w:hint="default" w:ascii="Times New Roman" w:hAnsi="Times New Roman" w:cs="Times New Roman"/>
                <w:bCs/>
                <w:color w:val="auto"/>
                <w:sz w:val="21"/>
                <w:szCs w:val="21"/>
                <w:vertAlign w:val="subscript"/>
              </w:rPr>
              <w:t>5</w:t>
            </w:r>
          </w:p>
        </w:tc>
        <w:tc>
          <w:tcPr>
            <w:tcW w:w="1156"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1400</w:t>
            </w:r>
          </w:p>
        </w:tc>
        <w:tc>
          <w:tcPr>
            <w:tcW w:w="1012"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48.16</w:t>
            </w:r>
          </w:p>
        </w:tc>
        <w:tc>
          <w:tcPr>
            <w:tcW w:w="1708"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86"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1797"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179"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16"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SS</w:t>
            </w:r>
          </w:p>
        </w:tc>
        <w:tc>
          <w:tcPr>
            <w:tcW w:w="1156"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2000</w:t>
            </w:r>
          </w:p>
        </w:tc>
        <w:tc>
          <w:tcPr>
            <w:tcW w:w="1012"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68.80</w:t>
            </w:r>
          </w:p>
        </w:tc>
        <w:tc>
          <w:tcPr>
            <w:tcW w:w="1708"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86"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797"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179"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16"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NH</w:t>
            </w:r>
            <w:r>
              <w:rPr>
                <w:rFonts w:hint="default" w:ascii="Times New Roman" w:hAnsi="Times New Roman" w:cs="Times New Roman"/>
                <w:bCs/>
                <w:color w:val="auto"/>
                <w:sz w:val="21"/>
                <w:szCs w:val="21"/>
                <w:vertAlign w:val="subscript"/>
              </w:rPr>
              <w:t>3</w:t>
            </w:r>
            <w:r>
              <w:rPr>
                <w:rFonts w:hint="default" w:ascii="Times New Roman" w:hAnsi="Times New Roman" w:cs="Times New Roman"/>
                <w:bCs/>
                <w:color w:val="auto"/>
                <w:sz w:val="21"/>
                <w:szCs w:val="21"/>
              </w:rPr>
              <w:t>-N</w:t>
            </w:r>
          </w:p>
        </w:tc>
        <w:tc>
          <w:tcPr>
            <w:tcW w:w="1156"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900</w:t>
            </w:r>
          </w:p>
        </w:tc>
        <w:tc>
          <w:tcPr>
            <w:tcW w:w="1012" w:type="dxa"/>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30.96</w:t>
            </w:r>
          </w:p>
        </w:tc>
        <w:tc>
          <w:tcPr>
            <w:tcW w:w="1708"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86"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797"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179"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16" w:type="dxa"/>
            <w:tcMar>
              <w:left w:w="0" w:type="dxa"/>
              <w:right w:w="0" w:type="dxa"/>
            </w:tcMar>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TP</w:t>
            </w:r>
          </w:p>
        </w:tc>
        <w:tc>
          <w:tcPr>
            <w:tcW w:w="1156" w:type="dxa"/>
            <w:vAlign w:val="center"/>
          </w:tcPr>
          <w:p>
            <w:pPr>
              <w:spacing w:line="240" w:lineRule="auto"/>
              <w:ind w:firstLine="0" w:firstLineChars="0"/>
              <w:jc w:val="center"/>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lang w:val="en-US" w:eastAsia="zh-CN"/>
              </w:rPr>
              <w:t>38</w:t>
            </w:r>
          </w:p>
        </w:tc>
        <w:tc>
          <w:tcPr>
            <w:tcW w:w="1012" w:type="dxa"/>
            <w:tcMar>
              <w:left w:w="0" w:type="dxa"/>
              <w:right w:w="0" w:type="dxa"/>
            </w:tcMar>
            <w:vAlign w:val="center"/>
          </w:tcPr>
          <w:p>
            <w:pPr>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1.31</w:t>
            </w:r>
          </w:p>
        </w:tc>
        <w:tc>
          <w:tcPr>
            <w:tcW w:w="1708"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086"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Cs/>
                <w:color w:val="auto"/>
                <w:sz w:val="21"/>
                <w:szCs w:val="21"/>
              </w:rPr>
            </w:pPr>
          </w:p>
        </w:tc>
      </w:tr>
    </w:tbl>
    <w:p>
      <w:pPr>
        <w:ind w:firstLine="480"/>
        <w:outlineLvl w:val="3"/>
        <w:rPr>
          <w:rFonts w:hint="default" w:ascii="Times New Roman" w:hAnsi="Times New Roman" w:cs="Times New Roman"/>
          <w:bCs/>
          <w:color w:val="auto"/>
        </w:rPr>
      </w:pPr>
      <w:r>
        <w:rPr>
          <w:rFonts w:hint="default" w:ascii="Times New Roman" w:hAnsi="Times New Roman" w:cs="Times New Roman"/>
          <w:bCs/>
          <w:color w:val="auto"/>
        </w:rPr>
        <w:t>项目场区废水经过厌氧发酵处理后通过污水管道排入</w:t>
      </w:r>
      <w:r>
        <w:rPr>
          <w:rFonts w:hint="default" w:ascii="Times New Roman" w:hAnsi="Times New Roman" w:cs="Times New Roman"/>
          <w:bCs/>
          <w:color w:val="auto"/>
          <w:lang w:eastAsia="zh-CN"/>
        </w:rPr>
        <w:t>沼液存储池</w:t>
      </w:r>
      <w:r>
        <w:rPr>
          <w:rFonts w:hint="default" w:ascii="Times New Roman" w:hAnsi="Times New Roman" w:cs="Times New Roman"/>
          <w:bCs/>
          <w:color w:val="auto"/>
        </w:rPr>
        <w:t>内。沼液在耕作施肥期用于配套消纳地进行综合利用，在非施肥期在场内</w:t>
      </w:r>
      <w:r>
        <w:rPr>
          <w:rFonts w:hint="default" w:ascii="Times New Roman" w:hAnsi="Times New Roman" w:cs="Times New Roman"/>
          <w:bCs/>
          <w:color w:val="auto"/>
          <w:lang w:eastAsia="zh-CN"/>
        </w:rPr>
        <w:t>沼液存储池</w:t>
      </w:r>
      <w:r>
        <w:rPr>
          <w:rFonts w:hint="default" w:ascii="Times New Roman" w:hAnsi="Times New Roman" w:cs="Times New Roman"/>
          <w:bCs/>
          <w:color w:val="auto"/>
        </w:rPr>
        <w:t>中暂存，不外排。</w:t>
      </w:r>
    </w:p>
    <w:p>
      <w:pPr>
        <w:pStyle w:val="37"/>
        <w:ind w:firstLine="480"/>
        <w:rPr>
          <w:rFonts w:hint="default" w:ascii="Times New Roman" w:hAnsi="Times New Roman" w:cs="Times New Roman"/>
          <w:color w:val="auto"/>
        </w:rPr>
      </w:pPr>
      <w:r>
        <w:rPr>
          <w:rFonts w:hint="default" w:ascii="Times New Roman" w:hAnsi="Times New Roman" w:cs="Times New Roman"/>
          <w:color w:val="auto"/>
        </w:rPr>
        <w:t>3.3.2.3噪声</w:t>
      </w:r>
      <w:bookmarkEnd w:id="369"/>
      <w:r>
        <w:rPr>
          <w:rFonts w:hint="default" w:ascii="Times New Roman" w:hAnsi="Times New Roman" w:cs="Times New Roman"/>
          <w:color w:val="auto"/>
        </w:rPr>
        <w:t>排放情况</w:t>
      </w:r>
      <w:bookmarkEnd w:id="370"/>
      <w:bookmarkEnd w:id="371"/>
      <w:bookmarkEnd w:id="372"/>
      <w:bookmarkEnd w:id="373"/>
      <w:bookmarkEnd w:id="374"/>
      <w:bookmarkEnd w:id="375"/>
      <w:bookmarkEnd w:id="376"/>
    </w:p>
    <w:p>
      <w:pPr>
        <w:ind w:firstLine="480"/>
        <w:rPr>
          <w:rFonts w:hint="default" w:ascii="Times New Roman" w:hAnsi="Times New Roman" w:cs="Times New Roman"/>
          <w:bCs/>
          <w:color w:val="auto"/>
        </w:rPr>
      </w:pPr>
      <w:bookmarkStart w:id="377" w:name="_Toc269400719"/>
      <w:bookmarkStart w:id="378" w:name="_Toc311979819"/>
      <w:bookmarkStart w:id="379" w:name="_Toc311979932"/>
      <w:bookmarkStart w:id="380" w:name="_Toc311979864"/>
      <w:r>
        <w:rPr>
          <w:rFonts w:hint="default" w:ascii="Times New Roman" w:hAnsi="Times New Roman" w:cs="Times New Roman"/>
          <w:bCs/>
          <w:color w:val="auto"/>
        </w:rPr>
        <w:t>噪声主要为猪叫声、猪舍配套风机、固液分离机等设备运行时产生的噪声，根据类比调查，其源强为70～85dB(A)。工程主要噪声设施源强情况见表3.3-</w:t>
      </w:r>
      <w:r>
        <w:rPr>
          <w:rFonts w:hint="default" w:ascii="Times New Roman" w:hAnsi="Times New Roman" w:cs="Times New Roman"/>
          <w:bCs/>
          <w:color w:val="auto"/>
          <w:lang w:val="en-US" w:eastAsia="zh-CN"/>
        </w:rPr>
        <w:t>10</w:t>
      </w:r>
      <w:r>
        <w:rPr>
          <w:rFonts w:hint="default" w:ascii="Times New Roman" w:hAnsi="Times New Roman" w:cs="Times New Roman"/>
          <w:bCs/>
          <w:color w:val="auto"/>
        </w:rPr>
        <w:t>。</w:t>
      </w:r>
    </w:p>
    <w:p>
      <w:pPr>
        <w:ind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表3.3-</w:t>
      </w:r>
      <w:r>
        <w:rPr>
          <w:rFonts w:hint="default" w:ascii="Times New Roman" w:hAnsi="Times New Roman" w:cs="Times New Roman"/>
          <w:b/>
          <w:color w:val="auto"/>
          <w:szCs w:val="21"/>
          <w:lang w:val="en-US" w:eastAsia="zh-CN"/>
        </w:rPr>
        <w:t>10</w:t>
      </w:r>
      <w:r>
        <w:rPr>
          <w:rFonts w:hint="default" w:ascii="Times New Roman" w:hAnsi="Times New Roman" w:cs="Times New Roman"/>
          <w:b/>
          <w:color w:val="auto"/>
          <w:szCs w:val="21"/>
        </w:rPr>
        <w:t xml:space="preserve">                工程主要噪声源强一览表</w:t>
      </w:r>
    </w:p>
    <w:tbl>
      <w:tblPr>
        <w:tblStyle w:val="25"/>
        <w:tblW w:w="9067"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605"/>
        <w:gridCol w:w="1354"/>
        <w:gridCol w:w="1368"/>
        <w:gridCol w:w="650"/>
        <w:gridCol w:w="2838"/>
        <w:gridCol w:w="125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455" w:hRule="atLeast"/>
        </w:trPr>
        <w:tc>
          <w:tcPr>
            <w:tcW w:w="1605"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污染物来源</w:t>
            </w:r>
          </w:p>
        </w:tc>
        <w:tc>
          <w:tcPr>
            <w:tcW w:w="1354"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种类</w:t>
            </w:r>
          </w:p>
        </w:tc>
        <w:tc>
          <w:tcPr>
            <w:tcW w:w="1368"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产生方式</w:t>
            </w:r>
          </w:p>
        </w:tc>
        <w:tc>
          <w:tcPr>
            <w:tcW w:w="650"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源强</w:t>
            </w:r>
          </w:p>
        </w:tc>
        <w:tc>
          <w:tcPr>
            <w:tcW w:w="2838"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治理措施</w:t>
            </w:r>
          </w:p>
        </w:tc>
        <w:tc>
          <w:tcPr>
            <w:tcW w:w="1252"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排放源强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20" w:hRule="atLeast"/>
        </w:trPr>
        <w:tc>
          <w:tcPr>
            <w:tcW w:w="1605" w:type="dxa"/>
            <w:vMerge w:val="restart"/>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猪舍</w:t>
            </w:r>
          </w:p>
        </w:tc>
        <w:tc>
          <w:tcPr>
            <w:tcW w:w="1354"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猪叫</w:t>
            </w:r>
          </w:p>
        </w:tc>
        <w:tc>
          <w:tcPr>
            <w:tcW w:w="1368"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间断</w:t>
            </w:r>
          </w:p>
        </w:tc>
        <w:tc>
          <w:tcPr>
            <w:tcW w:w="650"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70</w:t>
            </w:r>
          </w:p>
        </w:tc>
        <w:tc>
          <w:tcPr>
            <w:tcW w:w="2838"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隔声降噪</w:t>
            </w:r>
          </w:p>
        </w:tc>
        <w:tc>
          <w:tcPr>
            <w:tcW w:w="1252"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20" w:hRule="atLeast"/>
        </w:trPr>
        <w:tc>
          <w:tcPr>
            <w:tcW w:w="1605"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354"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风机</w:t>
            </w:r>
          </w:p>
        </w:tc>
        <w:tc>
          <w:tcPr>
            <w:tcW w:w="1368"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连续</w:t>
            </w:r>
          </w:p>
        </w:tc>
        <w:tc>
          <w:tcPr>
            <w:tcW w:w="650"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80</w:t>
            </w:r>
          </w:p>
        </w:tc>
        <w:tc>
          <w:tcPr>
            <w:tcW w:w="2838"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厂房隔声</w:t>
            </w:r>
          </w:p>
        </w:tc>
        <w:tc>
          <w:tcPr>
            <w:tcW w:w="1252"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20" w:hRule="atLeast"/>
        </w:trPr>
        <w:tc>
          <w:tcPr>
            <w:tcW w:w="1605"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污水处理区</w:t>
            </w:r>
          </w:p>
        </w:tc>
        <w:tc>
          <w:tcPr>
            <w:tcW w:w="1354"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水泵</w:t>
            </w:r>
          </w:p>
        </w:tc>
        <w:tc>
          <w:tcPr>
            <w:tcW w:w="1368"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连续</w:t>
            </w:r>
          </w:p>
        </w:tc>
        <w:tc>
          <w:tcPr>
            <w:tcW w:w="650"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85</w:t>
            </w:r>
          </w:p>
        </w:tc>
        <w:tc>
          <w:tcPr>
            <w:tcW w:w="2838"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选低噪声设备、隔声、减振</w:t>
            </w:r>
          </w:p>
        </w:tc>
        <w:tc>
          <w:tcPr>
            <w:tcW w:w="1252"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65</w:t>
            </w:r>
          </w:p>
        </w:tc>
      </w:tr>
    </w:tbl>
    <w:p>
      <w:pPr>
        <w:pStyle w:val="37"/>
        <w:ind w:firstLine="480"/>
        <w:rPr>
          <w:rFonts w:hint="default" w:ascii="Times New Roman" w:hAnsi="Times New Roman" w:cs="Times New Roman"/>
          <w:color w:val="auto"/>
        </w:rPr>
      </w:pPr>
      <w:bookmarkStart w:id="381" w:name="_Toc413166138"/>
      <w:bookmarkStart w:id="382" w:name="_Toc407001411"/>
      <w:bookmarkStart w:id="383" w:name="_Toc388881919"/>
      <w:bookmarkStart w:id="384" w:name="_Toc406847418"/>
      <w:r>
        <w:rPr>
          <w:rFonts w:hint="default" w:ascii="Times New Roman" w:hAnsi="Times New Roman" w:cs="Times New Roman"/>
          <w:color w:val="auto"/>
        </w:rPr>
        <w:t>3.3.2.4固体废物</w:t>
      </w:r>
      <w:bookmarkEnd w:id="377"/>
      <w:r>
        <w:rPr>
          <w:rFonts w:hint="default" w:ascii="Times New Roman" w:hAnsi="Times New Roman" w:cs="Times New Roman"/>
          <w:color w:val="auto"/>
        </w:rPr>
        <w:t>排放情况</w:t>
      </w:r>
      <w:bookmarkEnd w:id="378"/>
      <w:bookmarkEnd w:id="379"/>
      <w:bookmarkEnd w:id="380"/>
      <w:bookmarkEnd w:id="381"/>
      <w:bookmarkEnd w:id="382"/>
      <w:bookmarkEnd w:id="383"/>
      <w:bookmarkEnd w:id="384"/>
    </w:p>
    <w:p>
      <w:pPr>
        <w:ind w:firstLine="480"/>
        <w:rPr>
          <w:rFonts w:hint="default" w:ascii="Times New Roman" w:hAnsi="Times New Roman" w:cs="Times New Roman"/>
          <w:bCs/>
          <w:color w:val="auto"/>
        </w:rPr>
      </w:pPr>
      <w:r>
        <w:rPr>
          <w:rFonts w:hint="default" w:ascii="Times New Roman" w:hAnsi="Times New Roman" w:cs="Times New Roman"/>
          <w:bCs/>
          <w:color w:val="auto"/>
        </w:rPr>
        <w:t>本项目产生的固体废物主要包括猪粪固形物、养殖过程产生的少量病死猪尸、疾病防疫产生的医疗废物、废脱硫剂</w:t>
      </w:r>
      <w:r>
        <w:rPr>
          <w:rFonts w:hint="default" w:ascii="Times New Roman" w:hAnsi="Times New Roman" w:cs="Times New Roman"/>
          <w:color w:val="auto"/>
        </w:rPr>
        <w:t>及</w:t>
      </w:r>
      <w:r>
        <w:rPr>
          <w:rFonts w:hint="default" w:ascii="Times New Roman" w:hAnsi="Times New Roman" w:cs="Times New Roman"/>
          <w:bCs/>
          <w:color w:val="auto"/>
        </w:rPr>
        <w:t>职工生活垃圾</w:t>
      </w:r>
      <w:r>
        <w:rPr>
          <w:rFonts w:hint="default" w:ascii="Times New Roman" w:hAnsi="Times New Roman" w:cs="Times New Roman"/>
          <w:bCs/>
          <w:color w:val="auto"/>
          <w:lang w:eastAsia="zh-CN"/>
        </w:rPr>
        <w:t>、废导热油、废</w:t>
      </w:r>
      <w:r>
        <w:rPr>
          <w:rFonts w:hint="default" w:ascii="Times New Roman" w:hAnsi="Times New Roman" w:cs="Times New Roman"/>
          <w:bCs/>
          <w:color w:val="auto"/>
          <w:lang w:val="en-US" w:eastAsia="zh-CN"/>
        </w:rPr>
        <w:t>UV灯管</w:t>
      </w:r>
      <w:r>
        <w:rPr>
          <w:rFonts w:hint="default" w:ascii="Times New Roman" w:hAnsi="Times New Roman" w:cs="Times New Roman"/>
          <w:bCs/>
          <w:color w:val="auto"/>
        </w:rPr>
        <w:t>等。</w:t>
      </w:r>
    </w:p>
    <w:p>
      <w:pPr>
        <w:ind w:firstLine="480"/>
        <w:rPr>
          <w:rFonts w:hint="default" w:ascii="Times New Roman" w:hAnsi="Times New Roman" w:cs="Times New Roman"/>
          <w:bCs/>
          <w:color w:val="auto"/>
        </w:rPr>
      </w:pPr>
      <w:r>
        <w:rPr>
          <w:rFonts w:hint="default" w:ascii="Times New Roman" w:hAnsi="Times New Roman" w:cs="Times New Roman"/>
          <w:bCs/>
          <w:color w:val="auto"/>
        </w:rPr>
        <w:t>（1）猪粪</w:t>
      </w:r>
    </w:p>
    <w:p>
      <w:pPr>
        <w:ind w:firstLine="480"/>
        <w:rPr>
          <w:rFonts w:hint="default" w:ascii="Times New Roman" w:hAnsi="Times New Roman" w:cs="Times New Roman"/>
          <w:bCs/>
          <w:color w:val="auto"/>
        </w:rPr>
      </w:pPr>
      <w:r>
        <w:rPr>
          <w:rFonts w:hint="default" w:ascii="Times New Roman" w:hAnsi="Times New Roman" w:cs="Times New Roman"/>
          <w:bCs/>
          <w:color w:val="auto"/>
        </w:rPr>
        <w:t>根据</w:t>
      </w:r>
      <w:r>
        <w:rPr>
          <w:rFonts w:hint="default" w:ascii="Times New Roman" w:hAnsi="Times New Roman" w:cs="Times New Roman"/>
          <w:color w:val="auto"/>
        </w:rPr>
        <w:t>《畜禽养殖场污染防治最佳可行技术指南（试行）</w:t>
      </w:r>
      <w:r>
        <w:rPr>
          <w:rFonts w:hint="default" w:ascii="Times New Roman" w:hAnsi="Times New Roman" w:cs="Times New Roman"/>
          <w:color w:val="auto"/>
          <w:lang w:eastAsia="zh-CN"/>
        </w:rPr>
        <w:t>编制说明</w:t>
      </w:r>
      <w:r>
        <w:rPr>
          <w:rFonts w:hint="default" w:ascii="Times New Roman" w:hAnsi="Times New Roman" w:cs="Times New Roman"/>
          <w:color w:val="auto"/>
        </w:rPr>
        <w:t>》</w:t>
      </w:r>
      <w:r>
        <w:rPr>
          <w:rFonts w:hint="default" w:ascii="Times New Roman" w:hAnsi="Times New Roman" w:cs="Times New Roman"/>
          <w:bCs/>
          <w:color w:val="auto"/>
        </w:rPr>
        <w:t>，猪粪排泄量计算公式为：Yf=0.530F-0.049，式中，Yf为猪粪排泄量，F为饲料采食量。</w:t>
      </w:r>
    </w:p>
    <w:p>
      <w:pPr>
        <w:ind w:firstLine="480"/>
        <w:rPr>
          <w:rFonts w:hint="default" w:ascii="Times New Roman" w:hAnsi="Times New Roman" w:cs="Times New Roman"/>
          <w:bCs/>
          <w:color w:val="auto"/>
        </w:rPr>
      </w:pPr>
      <w:r>
        <w:rPr>
          <w:rFonts w:hint="default" w:ascii="Times New Roman" w:hAnsi="Times New Roman" w:cs="Times New Roman"/>
          <w:bCs/>
          <w:color w:val="auto"/>
        </w:rPr>
        <w:t>通过计算，项目猪粪产生情况见表3.3-1</w:t>
      </w:r>
      <w:r>
        <w:rPr>
          <w:rFonts w:hint="default" w:ascii="Times New Roman" w:hAnsi="Times New Roman" w:cs="Times New Roman"/>
          <w:bCs/>
          <w:color w:val="auto"/>
          <w:lang w:val="en-US" w:eastAsia="zh-CN"/>
        </w:rPr>
        <w:t>1</w:t>
      </w:r>
      <w:r>
        <w:rPr>
          <w:rFonts w:hint="default" w:ascii="Times New Roman" w:hAnsi="Times New Roman" w:cs="Times New Roman"/>
          <w:bCs/>
          <w:color w:val="auto"/>
        </w:rPr>
        <w:t>。</w:t>
      </w:r>
    </w:p>
    <w:p>
      <w:pPr>
        <w:ind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表3.3-1</w:t>
      </w:r>
      <w:r>
        <w:rPr>
          <w:rFonts w:hint="default" w:ascii="Times New Roman" w:hAnsi="Times New Roman" w:cs="Times New Roman"/>
          <w:b/>
          <w:color w:val="auto"/>
          <w:szCs w:val="21"/>
          <w:lang w:val="en-US" w:eastAsia="zh-CN"/>
        </w:rPr>
        <w:t>1</w:t>
      </w:r>
      <w:r>
        <w:rPr>
          <w:rFonts w:hint="default" w:ascii="Times New Roman" w:hAnsi="Times New Roman" w:cs="Times New Roman"/>
          <w:b/>
          <w:color w:val="auto"/>
          <w:szCs w:val="21"/>
        </w:rPr>
        <w:t xml:space="preserve">                     猪粪产生情况一览表</w:t>
      </w:r>
    </w:p>
    <w:tbl>
      <w:tblPr>
        <w:tblStyle w:val="25"/>
        <w:tblW w:w="917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326"/>
        <w:gridCol w:w="1317"/>
        <w:gridCol w:w="1987"/>
        <w:gridCol w:w="1699"/>
        <w:gridCol w:w="152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17" w:type="dxa"/>
            <w:vMerge w:val="restart"/>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种类</w:t>
            </w:r>
          </w:p>
        </w:tc>
        <w:tc>
          <w:tcPr>
            <w:tcW w:w="1326" w:type="dxa"/>
            <w:vMerge w:val="restart"/>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存栏数（头）</w:t>
            </w:r>
          </w:p>
        </w:tc>
        <w:tc>
          <w:tcPr>
            <w:tcW w:w="1317"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饲料定额</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（kg/头.d）</w:t>
            </w:r>
          </w:p>
        </w:tc>
        <w:tc>
          <w:tcPr>
            <w:tcW w:w="1987" w:type="dxa"/>
            <w:vMerge w:val="restart"/>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单头猪粪便产生量</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（kg/头.d）</w:t>
            </w:r>
          </w:p>
        </w:tc>
        <w:tc>
          <w:tcPr>
            <w:tcW w:w="322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猪粪便产生量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17"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p>
        </w:tc>
        <w:tc>
          <w:tcPr>
            <w:tcW w:w="1326"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p>
        </w:tc>
        <w:tc>
          <w:tcPr>
            <w:tcW w:w="1317"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987"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p>
        </w:tc>
        <w:tc>
          <w:tcPr>
            <w:tcW w:w="1699"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（t/d）</w:t>
            </w:r>
          </w:p>
        </w:tc>
        <w:tc>
          <w:tcPr>
            <w:tcW w:w="152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17"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怀孕猪</w:t>
            </w:r>
          </w:p>
        </w:tc>
        <w:tc>
          <w:tcPr>
            <w:tcW w:w="1326"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6500</w:t>
            </w:r>
          </w:p>
        </w:tc>
        <w:tc>
          <w:tcPr>
            <w:tcW w:w="1317"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w:t>
            </w:r>
          </w:p>
        </w:tc>
        <w:tc>
          <w:tcPr>
            <w:tcW w:w="1987"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1.28</w:t>
            </w:r>
          </w:p>
        </w:tc>
        <w:tc>
          <w:tcPr>
            <w:tcW w:w="1699"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8.32</w:t>
            </w:r>
          </w:p>
        </w:tc>
        <w:tc>
          <w:tcPr>
            <w:tcW w:w="152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3036.80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317"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哺乳猪</w:t>
            </w:r>
          </w:p>
        </w:tc>
        <w:tc>
          <w:tcPr>
            <w:tcW w:w="1326"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1000</w:t>
            </w:r>
          </w:p>
        </w:tc>
        <w:tc>
          <w:tcPr>
            <w:tcW w:w="1317"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1987"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2.87</w:t>
            </w:r>
          </w:p>
        </w:tc>
        <w:tc>
          <w:tcPr>
            <w:tcW w:w="1699"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2.87</w:t>
            </w:r>
          </w:p>
        </w:tc>
        <w:tc>
          <w:tcPr>
            <w:tcW w:w="152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1047.55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1317"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后备舍</w:t>
            </w:r>
          </w:p>
        </w:tc>
        <w:tc>
          <w:tcPr>
            <w:tcW w:w="1326"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w:t>
            </w:r>
          </w:p>
        </w:tc>
        <w:tc>
          <w:tcPr>
            <w:tcW w:w="1317"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w:t>
            </w:r>
          </w:p>
        </w:tc>
        <w:tc>
          <w:tcPr>
            <w:tcW w:w="1987"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1.28</w:t>
            </w:r>
          </w:p>
        </w:tc>
        <w:tc>
          <w:tcPr>
            <w:tcW w:w="1699"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1.792</w:t>
            </w:r>
          </w:p>
        </w:tc>
        <w:tc>
          <w:tcPr>
            <w:tcW w:w="152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654.08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47" w:type="dxa"/>
            <w:gridSpan w:val="4"/>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小计</w:t>
            </w:r>
          </w:p>
        </w:tc>
        <w:tc>
          <w:tcPr>
            <w:tcW w:w="1699"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12.982</w:t>
            </w:r>
          </w:p>
        </w:tc>
        <w:tc>
          <w:tcPr>
            <w:tcW w:w="152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4738.43 </w:t>
            </w:r>
          </w:p>
        </w:tc>
      </w:tr>
    </w:tbl>
    <w:p>
      <w:pPr>
        <w:ind w:firstLine="480"/>
        <w:rPr>
          <w:rFonts w:hint="default" w:ascii="Times New Roman" w:hAnsi="Times New Roman" w:cs="Times New Roman"/>
          <w:bCs/>
          <w:color w:val="auto"/>
        </w:rPr>
      </w:pPr>
      <w:r>
        <w:rPr>
          <w:rFonts w:hint="default" w:ascii="Times New Roman" w:hAnsi="Times New Roman" w:cs="Times New Roman"/>
          <w:color w:val="auto"/>
          <w:szCs w:val="20"/>
        </w:rPr>
        <w:t>项目年产生猪</w:t>
      </w:r>
      <w:r>
        <w:rPr>
          <w:rFonts w:hint="default" w:ascii="Times New Roman" w:hAnsi="Times New Roman" w:cs="Times New Roman"/>
          <w:color w:val="auto"/>
        </w:rPr>
        <w:t>粪</w:t>
      </w:r>
      <w:r>
        <w:rPr>
          <w:rFonts w:hint="default" w:ascii="Times New Roman" w:hAnsi="Times New Roman" w:cs="Times New Roman"/>
          <w:color w:val="auto"/>
          <w:spacing w:val="-6"/>
          <w:kern w:val="0"/>
        </w:rPr>
        <w:t>4738.43</w:t>
      </w:r>
      <w:r>
        <w:rPr>
          <w:rFonts w:hint="default" w:ascii="Times New Roman" w:hAnsi="Times New Roman" w:cs="Times New Roman"/>
          <w:color w:val="auto"/>
        </w:rPr>
        <w:t>t/a，</w:t>
      </w:r>
      <w:r>
        <w:rPr>
          <w:rFonts w:hint="default" w:ascii="Times New Roman" w:hAnsi="Times New Roman" w:cs="Times New Roman"/>
          <w:color w:val="auto"/>
          <w:szCs w:val="20"/>
        </w:rPr>
        <w:t>猪粪含水率80%，猪粪干重为947.7t/a。项目采用干清粪工艺，</w:t>
      </w:r>
      <w:r>
        <w:rPr>
          <w:rFonts w:hint="default" w:ascii="Times New Roman" w:hAnsi="Times New Roman" w:cs="Times New Roman"/>
          <w:bCs/>
          <w:color w:val="auto"/>
          <w:szCs w:val="20"/>
        </w:rPr>
        <w:t>经固液分离机分离出猪粪，分离率为50%，被分离出来的猪粪量为干重为473.85t/a，总重为1353.86t/a（含水率为65%）</w:t>
      </w:r>
      <w:r>
        <w:rPr>
          <w:rFonts w:hint="default" w:ascii="Times New Roman" w:hAnsi="Times New Roman" w:cs="Times New Roman"/>
          <w:color w:val="auto"/>
          <w:szCs w:val="20"/>
        </w:rPr>
        <w:t>，剩余的猪粪（干重为473.85t/a）进入黑膜沼气池进行厌氧反应。</w:t>
      </w:r>
      <w:r>
        <w:rPr>
          <w:rFonts w:hint="default" w:ascii="Times New Roman" w:hAnsi="Times New Roman" w:cs="Times New Roman"/>
          <w:bCs/>
          <w:color w:val="auto"/>
          <w:szCs w:val="20"/>
        </w:rPr>
        <w:t>固液分离机分离出来的猪粪产生后经收集运往固粪处理区堆肥处理后</w:t>
      </w:r>
      <w:r>
        <w:rPr>
          <w:rFonts w:hint="default" w:ascii="Times New Roman" w:hAnsi="Times New Roman" w:cs="Times New Roman"/>
          <w:color w:val="auto"/>
          <w:szCs w:val="20"/>
        </w:rPr>
        <w:t>作为有机肥半成品外售</w:t>
      </w:r>
      <w:r>
        <w:rPr>
          <w:rFonts w:hint="default" w:ascii="Times New Roman" w:hAnsi="Times New Roman" w:cs="Times New Roman"/>
          <w:bCs/>
          <w:color w:val="auto"/>
        </w:rPr>
        <w:t>。</w:t>
      </w:r>
    </w:p>
    <w:p>
      <w:pPr>
        <w:ind w:firstLine="480"/>
        <w:rPr>
          <w:rFonts w:hint="default" w:ascii="Times New Roman" w:hAnsi="Times New Roman" w:cs="Times New Roman"/>
          <w:bCs/>
          <w:color w:val="auto"/>
        </w:rPr>
      </w:pPr>
      <w:r>
        <w:rPr>
          <w:rFonts w:hint="default" w:ascii="Times New Roman" w:hAnsi="Times New Roman" w:cs="Times New Roman"/>
          <w:bCs/>
          <w:color w:val="auto"/>
        </w:rPr>
        <w:t>（</w:t>
      </w:r>
      <w:r>
        <w:rPr>
          <w:rFonts w:hint="default" w:ascii="Times New Roman" w:hAnsi="Times New Roman" w:cs="Times New Roman"/>
          <w:bCs/>
          <w:color w:val="auto"/>
          <w:lang w:val="en-US" w:eastAsia="zh-CN"/>
        </w:rPr>
        <w:t>2</w:t>
      </w:r>
      <w:r>
        <w:rPr>
          <w:rFonts w:hint="default" w:ascii="Times New Roman" w:hAnsi="Times New Roman" w:cs="Times New Roman"/>
          <w:bCs/>
          <w:color w:val="auto"/>
        </w:rPr>
        <w:t>）母猪胎盘、病死猪</w:t>
      </w:r>
    </w:p>
    <w:p>
      <w:pPr>
        <w:ind w:firstLine="480"/>
        <w:rPr>
          <w:rFonts w:hint="default" w:ascii="Times New Roman" w:hAnsi="Times New Roman" w:cs="Times New Roman"/>
          <w:bCs/>
          <w:color w:val="auto"/>
        </w:rPr>
      </w:pPr>
      <w:r>
        <w:rPr>
          <w:rFonts w:hint="default" w:ascii="Times New Roman" w:hAnsi="Times New Roman" w:cs="Times New Roman"/>
          <w:bCs/>
          <w:color w:val="auto"/>
        </w:rPr>
        <w:t>母猪在生育过程中会产生的胎盘，根据牧原公司其他母猪场，每头母猪生育产生胎盘量约为2kg/a，则本项目母猪胎盘产生量约为1</w:t>
      </w:r>
      <w:r>
        <w:rPr>
          <w:rFonts w:hint="default" w:ascii="Times New Roman" w:hAnsi="Times New Roman" w:cs="Times New Roman"/>
          <w:bCs/>
          <w:color w:val="auto"/>
          <w:lang w:val="en-US" w:eastAsia="zh-CN"/>
        </w:rPr>
        <w:t>7.8</w:t>
      </w:r>
      <w:r>
        <w:rPr>
          <w:rFonts w:hint="default" w:ascii="Times New Roman" w:hAnsi="Times New Roman" w:cs="Times New Roman"/>
          <w:bCs/>
          <w:color w:val="auto"/>
        </w:rPr>
        <w:t>t/a。</w:t>
      </w:r>
    </w:p>
    <w:p>
      <w:pPr>
        <w:ind w:firstLine="480"/>
        <w:rPr>
          <w:rFonts w:hint="default" w:ascii="Times New Roman" w:hAnsi="Times New Roman" w:cs="Times New Roman"/>
          <w:bCs/>
          <w:color w:val="auto"/>
        </w:rPr>
      </w:pPr>
      <w:r>
        <w:rPr>
          <w:rFonts w:hint="default" w:ascii="Times New Roman" w:hAnsi="Times New Roman" w:cs="Times New Roman"/>
          <w:bCs/>
          <w:color w:val="auto"/>
        </w:rPr>
        <w:t>由于养殖场采用科学化管理与养殖，死猪主要来源为病死猪，根据目前规模化养殖场的管理水平，出现病死猪的几率和数量较低。类比牧原食品股份有限公司现有已运营养殖场的具体情况，本项目猪死亡率及病死猪产生情况见下表：</w:t>
      </w:r>
    </w:p>
    <w:p>
      <w:pPr>
        <w:ind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表3.3-1</w:t>
      </w:r>
      <w:r>
        <w:rPr>
          <w:rFonts w:hint="default" w:ascii="Times New Roman" w:hAnsi="Times New Roman" w:cs="Times New Roman"/>
          <w:b/>
          <w:color w:val="auto"/>
          <w:szCs w:val="21"/>
          <w:lang w:val="en-US" w:eastAsia="zh-CN"/>
        </w:rPr>
        <w:t>2</w:t>
      </w:r>
      <w:r>
        <w:rPr>
          <w:rFonts w:hint="default" w:ascii="Times New Roman" w:hAnsi="Times New Roman" w:cs="Times New Roman"/>
          <w:b/>
          <w:color w:val="auto"/>
          <w:szCs w:val="21"/>
        </w:rPr>
        <w:t xml:space="preserve">                 各种类猪死亡率及平均重量一览表</w:t>
      </w:r>
    </w:p>
    <w:tbl>
      <w:tblPr>
        <w:tblStyle w:val="25"/>
        <w:tblW w:w="916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1250"/>
        <w:gridCol w:w="1182"/>
        <w:gridCol w:w="1290"/>
        <w:gridCol w:w="1530"/>
        <w:gridCol w:w="241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503"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种类</w:t>
            </w:r>
          </w:p>
        </w:tc>
        <w:tc>
          <w:tcPr>
            <w:tcW w:w="1250"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存栏量</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（头）</w:t>
            </w:r>
          </w:p>
        </w:tc>
        <w:tc>
          <w:tcPr>
            <w:tcW w:w="1182" w:type="dxa"/>
            <w:tcMar>
              <w:top w:w="57" w:type="dxa"/>
              <w:bottom w:w="57" w:type="dxa"/>
            </w:tcMar>
            <w:vAlign w:val="center"/>
          </w:tcPr>
          <w:p>
            <w:pPr>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死亡率</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290"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死亡数</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（头）</w:t>
            </w:r>
          </w:p>
        </w:tc>
        <w:tc>
          <w:tcPr>
            <w:tcW w:w="1530"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平均重量</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（kg/头）</w:t>
            </w:r>
          </w:p>
        </w:tc>
        <w:tc>
          <w:tcPr>
            <w:tcW w:w="2413"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病死猪重量（t/a）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503"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母猪</w:t>
            </w:r>
          </w:p>
        </w:tc>
        <w:tc>
          <w:tcPr>
            <w:tcW w:w="1250" w:type="dxa"/>
            <w:tcMar>
              <w:top w:w="57" w:type="dxa"/>
              <w:bottom w:w="57"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8900</w:t>
            </w:r>
          </w:p>
        </w:tc>
        <w:tc>
          <w:tcPr>
            <w:tcW w:w="1182"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290" w:type="dxa"/>
            <w:tcMar>
              <w:top w:w="57" w:type="dxa"/>
              <w:bottom w:w="57"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89</w:t>
            </w:r>
          </w:p>
        </w:tc>
        <w:tc>
          <w:tcPr>
            <w:tcW w:w="1530" w:type="dxa"/>
            <w:tcMar>
              <w:top w:w="57" w:type="dxa"/>
              <w:bottom w:w="57"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100</w:t>
            </w:r>
          </w:p>
        </w:tc>
        <w:tc>
          <w:tcPr>
            <w:tcW w:w="2413" w:type="dxa"/>
            <w:tcMar>
              <w:top w:w="57" w:type="dxa"/>
              <w:bottom w:w="57"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8.9</w:t>
            </w:r>
          </w:p>
        </w:tc>
      </w:tr>
    </w:tbl>
    <w:p>
      <w:pPr>
        <w:ind w:firstLine="480"/>
        <w:rPr>
          <w:rFonts w:hint="default" w:ascii="Times New Roman" w:hAnsi="Times New Roman" w:cs="Times New Roman"/>
          <w:bCs/>
          <w:color w:val="auto"/>
        </w:rPr>
      </w:pPr>
      <w:r>
        <w:rPr>
          <w:rFonts w:hint="default" w:ascii="Times New Roman" w:hAnsi="Times New Roman" w:cs="Times New Roman"/>
          <w:bCs/>
          <w:color w:val="auto"/>
        </w:rPr>
        <w:t>由上表计算结果可知，本项目病死猪及母猪胎盘的产生量为</w:t>
      </w:r>
      <w:r>
        <w:rPr>
          <w:rFonts w:hint="default" w:ascii="Times New Roman" w:hAnsi="Times New Roman" w:cs="Times New Roman"/>
          <w:bCs/>
          <w:color w:val="auto"/>
          <w:lang w:val="en-US" w:eastAsia="zh-CN"/>
        </w:rPr>
        <w:t>26.7</w:t>
      </w:r>
      <w:r>
        <w:rPr>
          <w:rFonts w:hint="default" w:ascii="Times New Roman" w:hAnsi="Times New Roman" w:cs="Times New Roman"/>
          <w:bCs/>
          <w:color w:val="auto"/>
        </w:rPr>
        <w:t>t/a。项目在厂区设置一台病死猪高温无害化处理机，处理后固体残渣产生量约为处理前重量的80%，即为</w:t>
      </w:r>
      <w:r>
        <w:rPr>
          <w:rFonts w:hint="default" w:ascii="Times New Roman" w:hAnsi="Times New Roman" w:cs="Times New Roman"/>
          <w:bCs/>
          <w:color w:val="auto"/>
          <w:lang w:val="en-US" w:eastAsia="zh-CN"/>
        </w:rPr>
        <w:t>21.36</w:t>
      </w:r>
      <w:r>
        <w:rPr>
          <w:rFonts w:hint="default" w:ascii="Times New Roman" w:hAnsi="Times New Roman" w:cs="Times New Roman"/>
          <w:bCs/>
          <w:color w:val="auto"/>
        </w:rPr>
        <w:t>t/a。该部分残渣作为有机肥原料，外售给有机肥生产厂家。</w:t>
      </w:r>
    </w:p>
    <w:p>
      <w:pPr>
        <w:ind w:firstLine="480"/>
        <w:rPr>
          <w:rFonts w:hint="default" w:ascii="Times New Roman" w:hAnsi="Times New Roman" w:cs="Times New Roman"/>
          <w:bCs/>
          <w:color w:val="auto"/>
        </w:rPr>
      </w:pPr>
      <w:r>
        <w:rPr>
          <w:rFonts w:hint="default" w:ascii="Times New Roman" w:hAnsi="Times New Roman" w:cs="Times New Roman"/>
          <w:bCs/>
          <w:color w:val="auto"/>
        </w:rPr>
        <w:t>（</w:t>
      </w:r>
      <w:r>
        <w:rPr>
          <w:rFonts w:hint="default" w:ascii="Times New Roman" w:hAnsi="Times New Roman" w:cs="Times New Roman"/>
          <w:bCs/>
          <w:color w:val="auto"/>
          <w:lang w:val="en-US" w:eastAsia="zh-CN"/>
        </w:rPr>
        <w:t>3</w:t>
      </w:r>
      <w:r>
        <w:rPr>
          <w:rFonts w:hint="default" w:ascii="Times New Roman" w:hAnsi="Times New Roman" w:cs="Times New Roman"/>
          <w:bCs/>
          <w:color w:val="auto"/>
        </w:rPr>
        <w:t>）疾病防疫产生的医疗废物</w:t>
      </w:r>
    </w:p>
    <w:p>
      <w:pPr>
        <w:ind w:firstLine="480"/>
        <w:rPr>
          <w:rFonts w:hint="default" w:ascii="Times New Roman" w:hAnsi="Times New Roman" w:cs="Times New Roman"/>
          <w:bCs/>
          <w:color w:val="auto"/>
        </w:rPr>
      </w:pPr>
      <w:r>
        <w:rPr>
          <w:rFonts w:hint="default" w:ascii="Times New Roman" w:hAnsi="Times New Roman" w:cs="Times New Roman"/>
          <w:bCs/>
          <w:color w:val="auto"/>
        </w:rPr>
        <w:t>生猪在生长过程接种免疫或发病期接受治疗产生的少量医疗废物，每头猪防疫产生医疗量约为0.005kg/a，全场产生量约为0.045t/a，场区内拟分别建1座20m</w:t>
      </w:r>
      <w:r>
        <w:rPr>
          <w:rFonts w:hint="default" w:ascii="Times New Roman" w:hAnsi="Times New Roman" w:cs="Times New Roman"/>
          <w:bCs/>
          <w:color w:val="auto"/>
          <w:vertAlign w:val="superscript"/>
        </w:rPr>
        <w:t>2</w:t>
      </w:r>
      <w:r>
        <w:rPr>
          <w:rFonts w:hint="default" w:ascii="Times New Roman" w:hAnsi="Times New Roman" w:cs="Times New Roman"/>
          <w:bCs/>
          <w:color w:val="auto"/>
        </w:rPr>
        <w:t>医疗废物暂存间，医疗废物暂存后定期交由有资质单位进行处置。</w:t>
      </w:r>
    </w:p>
    <w:p>
      <w:pPr>
        <w:ind w:firstLine="480"/>
        <w:rPr>
          <w:rFonts w:hint="default" w:ascii="Times New Roman" w:hAnsi="Times New Roman" w:cs="Times New Roman"/>
          <w:bCs/>
          <w:color w:val="auto"/>
        </w:rPr>
      </w:pPr>
      <w:r>
        <w:rPr>
          <w:rFonts w:hint="default" w:ascii="Times New Roman" w:hAnsi="Times New Roman" w:cs="Times New Roman"/>
          <w:bCs/>
          <w:color w:val="auto"/>
        </w:rPr>
        <w:t>（</w:t>
      </w:r>
      <w:r>
        <w:rPr>
          <w:rFonts w:hint="default" w:ascii="Times New Roman" w:hAnsi="Times New Roman" w:cs="Times New Roman"/>
          <w:bCs/>
          <w:color w:val="auto"/>
          <w:lang w:val="en-US" w:eastAsia="zh-CN"/>
        </w:rPr>
        <w:t>4</w:t>
      </w:r>
      <w:r>
        <w:rPr>
          <w:rFonts w:hint="default" w:ascii="Times New Roman" w:hAnsi="Times New Roman" w:cs="Times New Roman"/>
          <w:bCs/>
          <w:color w:val="auto"/>
        </w:rPr>
        <w:t>）脱硫剂</w:t>
      </w:r>
    </w:p>
    <w:p>
      <w:pPr>
        <w:ind w:firstLine="480"/>
        <w:rPr>
          <w:rFonts w:hint="default" w:ascii="Times New Roman" w:hAnsi="Times New Roman" w:cs="Times New Roman"/>
          <w:b/>
          <w:color w:val="auto"/>
          <w:u w:val="single"/>
        </w:rPr>
      </w:pPr>
      <w:r>
        <w:rPr>
          <w:rFonts w:hint="default" w:ascii="Times New Roman" w:hAnsi="Times New Roman" w:cs="Times New Roman"/>
          <w:bCs/>
          <w:color w:val="auto"/>
        </w:rPr>
        <w:t>项目采用干法对沼气中硫化氢进行去除，沼气通过氧化铁等构成的填料层，使硫化氢氧化成单质硫或硫氧化物。根据《沼气常温氧化铁脱硫催化剂的研制》（武汉工程大学学报2010.07）可知：常温下，理论上每100g活性氧化铁一次可吸收脱除57.5g硫化氢气体。本项目硫化氢的吸收量为93.9kg/a，则废脱硫剂产生量约为0.16t/a。沼气脱硫装置中失去活性的废脱硫剂（主要成分为氧化铁）由生产厂家统一回收处置。</w:t>
      </w:r>
    </w:p>
    <w:p>
      <w:pPr>
        <w:ind w:firstLine="480"/>
        <w:rPr>
          <w:rFonts w:hint="default" w:ascii="Times New Roman" w:hAnsi="Times New Roman" w:cs="Times New Roman"/>
          <w:bCs/>
          <w:color w:val="auto"/>
        </w:rPr>
      </w:pPr>
      <w:r>
        <w:rPr>
          <w:rFonts w:hint="default" w:ascii="Times New Roman" w:hAnsi="Times New Roman" w:cs="Times New Roman"/>
          <w:bCs/>
          <w:color w:val="auto"/>
        </w:rPr>
        <w:t>（</w:t>
      </w:r>
      <w:r>
        <w:rPr>
          <w:rFonts w:hint="default" w:ascii="Times New Roman" w:hAnsi="Times New Roman" w:cs="Times New Roman"/>
          <w:bCs/>
          <w:color w:val="auto"/>
          <w:lang w:val="en-US" w:eastAsia="zh-CN"/>
        </w:rPr>
        <w:t>5</w:t>
      </w:r>
      <w:r>
        <w:rPr>
          <w:rFonts w:hint="default" w:ascii="Times New Roman" w:hAnsi="Times New Roman" w:cs="Times New Roman"/>
          <w:bCs/>
          <w:color w:val="auto"/>
        </w:rPr>
        <w:t>）生活垃圾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textAlignment w:val="auto"/>
        <w:rPr>
          <w:rFonts w:hint="default" w:ascii="Times New Roman" w:hAnsi="Times New Roman" w:cs="Times New Roman"/>
          <w:bCs/>
          <w:color w:val="auto"/>
        </w:rPr>
      </w:pPr>
      <w:r>
        <w:rPr>
          <w:rFonts w:hint="default" w:ascii="Times New Roman" w:hAnsi="Times New Roman" w:cs="Times New Roman"/>
          <w:bCs/>
          <w:color w:val="auto"/>
        </w:rPr>
        <w:t>生活垃圾产生系数按0.5kg/d人计，本项目建成后拟聘职工30人，则场区职工生活垃圾产生量为15kg/d、5.475t/a。生活垃圾由环卫部门定期收集后运往当地生活垃圾填埋场处置。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147"/>
        <w:textAlignment w:val="auto"/>
        <w:rPr>
          <w:rFonts w:hint="default" w:ascii="Times New Roman" w:hAnsi="Times New Roman" w:cs="Times New Roman"/>
          <w:bCs/>
          <w:color w:val="auto"/>
          <w:sz w:val="24"/>
          <w:lang w:eastAsia="zh-CN"/>
        </w:rPr>
      </w:pP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6</w:t>
      </w:r>
      <w:r>
        <w:rPr>
          <w:rFonts w:hint="default" w:ascii="Times New Roman" w:hAnsi="Times New Roman" w:cs="Times New Roman"/>
          <w:bCs/>
          <w:color w:val="auto"/>
          <w:sz w:val="24"/>
          <w:lang w:eastAsia="zh-CN"/>
        </w:rPr>
        <w:t>）废导热油</w:t>
      </w:r>
    </w:p>
    <w:p>
      <w:pPr>
        <w:numPr>
          <w:ilvl w:val="0"/>
          <w:numId w:val="0"/>
        </w:numPr>
        <w:ind w:firstLine="480"/>
        <w:rPr>
          <w:rFonts w:hint="default" w:ascii="Times New Roman" w:hAnsi="Times New Roman" w:cs="Times New Roman"/>
          <w:bCs/>
          <w:color w:val="auto"/>
        </w:rPr>
      </w:pPr>
      <w:r>
        <w:rPr>
          <w:rFonts w:hint="default" w:ascii="Times New Roman" w:hAnsi="Times New Roman" w:cs="Times New Roman"/>
          <w:bCs/>
          <w:color w:val="auto"/>
          <w:sz w:val="24"/>
          <w:lang w:val="en-US" w:eastAsia="zh-CN"/>
        </w:rPr>
        <w:t>本项目病死猪高温无害化处理机，采用导热油加热，设备中导热油一次冲注量为250kg，导热油使用一段时间后其中杂质增多，由于多次循环使用其导热性能也逐渐降低，故需要更换，更换周期为两年，每次更换量为250kg。即年更换量为 125kg。更换下来的导热油属于危险废物，应交由有资质单位处理。</w:t>
      </w:r>
    </w:p>
    <w:p>
      <w:pPr>
        <w:keepNext w:val="0"/>
        <w:keepLines w:val="0"/>
        <w:widowControl/>
        <w:suppressLineNumbers w:val="0"/>
        <w:jc w:val="left"/>
        <w:rPr>
          <w:rFonts w:hint="default" w:ascii="Times New Roman" w:hAnsi="Times New Roman" w:cs="Times New Roman"/>
          <w:bCs/>
          <w:color w:val="auto"/>
          <w:lang w:val="en-US" w:eastAsia="zh-CN"/>
        </w:rPr>
      </w:pPr>
      <w:r>
        <w:rPr>
          <w:rFonts w:hint="default" w:ascii="Times New Roman" w:hAnsi="Times New Roman" w:cs="Times New Roman"/>
          <w:bCs/>
          <w:color w:val="auto"/>
          <w:lang w:eastAsia="zh-CN"/>
        </w:rPr>
        <w:t>（</w:t>
      </w:r>
      <w:r>
        <w:rPr>
          <w:rFonts w:hint="default" w:ascii="Times New Roman" w:hAnsi="Times New Roman" w:cs="Times New Roman"/>
          <w:bCs/>
          <w:color w:val="auto"/>
          <w:lang w:val="en-US" w:eastAsia="zh-CN"/>
        </w:rPr>
        <w:t>7</w:t>
      </w:r>
      <w:r>
        <w:rPr>
          <w:rFonts w:hint="default" w:ascii="Times New Roman" w:hAnsi="Times New Roman" w:cs="Times New Roman"/>
          <w:bCs/>
          <w:color w:val="auto"/>
          <w:lang w:eastAsia="zh-CN"/>
        </w:rPr>
        <w:t>）废</w:t>
      </w:r>
      <w:r>
        <w:rPr>
          <w:rFonts w:hint="default" w:ascii="Times New Roman" w:hAnsi="Times New Roman" w:cs="Times New Roman"/>
          <w:bCs/>
          <w:color w:val="auto"/>
          <w:lang w:val="en-US" w:eastAsia="zh-CN"/>
        </w:rPr>
        <w:t>UV灯管</w:t>
      </w:r>
    </w:p>
    <w:p>
      <w:pPr>
        <w:keepNext w:val="0"/>
        <w:keepLines w:val="0"/>
        <w:widowControl/>
        <w:suppressLineNumbers w:val="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 xml:space="preserve">本项目病死猪高温无害化处理机，废气采用光氧催化氧化处理后排放，催化氧化装置中破损UV灯管需要更换，更换量预计为0.01t/a，UV 灯管属于危险废物，委托有资质单位回收处理。 </w:t>
      </w:r>
    </w:p>
    <w:p>
      <w:pPr>
        <w:ind w:firstLine="480"/>
        <w:rPr>
          <w:rFonts w:hint="default" w:ascii="Times New Roman" w:hAnsi="Times New Roman" w:cs="Times New Roman"/>
          <w:bCs/>
          <w:color w:val="auto"/>
        </w:rPr>
      </w:pPr>
      <w:r>
        <w:rPr>
          <w:rFonts w:hint="default" w:ascii="Times New Roman" w:hAnsi="Times New Roman" w:cs="Times New Roman"/>
          <w:bCs/>
          <w:color w:val="auto"/>
        </w:rPr>
        <w:t>综上，本项目固体废物产排情况及处置措施见表3.3-1</w:t>
      </w:r>
      <w:r>
        <w:rPr>
          <w:rFonts w:hint="default" w:ascii="Times New Roman" w:hAnsi="Times New Roman" w:cs="Times New Roman"/>
          <w:bCs/>
          <w:color w:val="auto"/>
          <w:lang w:val="en-US" w:eastAsia="zh-CN"/>
        </w:rPr>
        <w:t>3</w:t>
      </w:r>
      <w:r>
        <w:rPr>
          <w:rFonts w:hint="default" w:ascii="Times New Roman" w:hAnsi="Times New Roman" w:cs="Times New Roman"/>
          <w:bCs/>
          <w:color w:val="auto"/>
        </w:rPr>
        <w:t>。</w:t>
      </w:r>
    </w:p>
    <w:p>
      <w:pPr>
        <w:ind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表3.3-1</w:t>
      </w:r>
      <w:r>
        <w:rPr>
          <w:rFonts w:hint="default" w:ascii="Times New Roman" w:hAnsi="Times New Roman" w:cs="Times New Roman"/>
          <w:b/>
          <w:color w:val="auto"/>
          <w:szCs w:val="21"/>
          <w:lang w:val="en-US" w:eastAsia="zh-CN"/>
        </w:rPr>
        <w:t>3</w:t>
      </w:r>
      <w:r>
        <w:rPr>
          <w:rFonts w:hint="default" w:ascii="Times New Roman" w:hAnsi="Times New Roman" w:cs="Times New Roman"/>
          <w:b/>
          <w:color w:val="auto"/>
          <w:szCs w:val="21"/>
        </w:rPr>
        <w:t xml:space="preserve">             固体废物产排情况及处置措施一览表</w:t>
      </w:r>
    </w:p>
    <w:tbl>
      <w:tblPr>
        <w:tblStyle w:val="25"/>
        <w:tblW w:w="8946" w:type="dxa"/>
        <w:tblInd w:w="137" w:type="dxa"/>
        <w:tblLayout w:type="fixed"/>
        <w:tblCellMar>
          <w:top w:w="0" w:type="dxa"/>
          <w:left w:w="0" w:type="dxa"/>
          <w:bottom w:w="0" w:type="dxa"/>
          <w:right w:w="0" w:type="dxa"/>
        </w:tblCellMar>
      </w:tblPr>
      <w:tblGrid>
        <w:gridCol w:w="701"/>
        <w:gridCol w:w="1533"/>
        <w:gridCol w:w="1419"/>
        <w:gridCol w:w="1196"/>
        <w:gridCol w:w="930"/>
        <w:gridCol w:w="2213"/>
        <w:gridCol w:w="954"/>
      </w:tblGrid>
      <w:tr>
        <w:tblPrEx>
          <w:tblCellMar>
            <w:top w:w="0" w:type="dxa"/>
            <w:left w:w="0" w:type="dxa"/>
            <w:bottom w:w="0" w:type="dxa"/>
            <w:right w:w="0" w:type="dxa"/>
          </w:tblCellMar>
        </w:tblPrEx>
        <w:trPr>
          <w:trHeight w:val="634" w:hRule="exact"/>
        </w:trPr>
        <w:tc>
          <w:tcPr>
            <w:tcW w:w="701" w:type="dxa"/>
            <w:tcBorders>
              <w:top w:val="single" w:color="000000" w:sz="2" w:space="0"/>
              <w:left w:val="nil"/>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bookmarkStart w:id="385" w:name="_Toc388881920"/>
            <w:bookmarkStart w:id="386" w:name="_Toc443924636"/>
            <w:bookmarkStart w:id="387" w:name="_Toc311979820"/>
            <w:bookmarkStart w:id="388" w:name="_Toc485579836"/>
            <w:bookmarkStart w:id="389" w:name="_Toc468115369"/>
            <w:bookmarkStart w:id="390" w:name="_Toc311979865"/>
            <w:bookmarkStart w:id="391" w:name="_Toc406847419"/>
            <w:bookmarkStart w:id="392" w:name="_Toc407001412"/>
            <w:bookmarkStart w:id="393" w:name="_Toc413166139"/>
            <w:bookmarkStart w:id="394" w:name="_Toc311979933"/>
            <w:r>
              <w:rPr>
                <w:rFonts w:hint="default" w:ascii="Times New Roman" w:hAnsi="Times New Roman" w:cs="Times New Roman"/>
                <w:b/>
                <w:bCs/>
                <w:color w:val="auto"/>
                <w:sz w:val="21"/>
                <w:szCs w:val="21"/>
              </w:rPr>
              <w:t>序号</w:t>
            </w:r>
          </w:p>
        </w:tc>
        <w:tc>
          <w:tcPr>
            <w:tcW w:w="1533" w:type="dxa"/>
            <w:tcBorders>
              <w:top w:val="single" w:color="000000" w:sz="2" w:space="0"/>
              <w:left w:val="single" w:color="000000" w:sz="6" w:space="0"/>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产生环节</w:t>
            </w:r>
          </w:p>
        </w:tc>
        <w:tc>
          <w:tcPr>
            <w:tcW w:w="1419" w:type="dxa"/>
            <w:tcBorders>
              <w:top w:val="single" w:color="000000" w:sz="2" w:space="0"/>
              <w:left w:val="single" w:color="000000" w:sz="6" w:space="0"/>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名称</w:t>
            </w:r>
          </w:p>
        </w:tc>
        <w:tc>
          <w:tcPr>
            <w:tcW w:w="1196" w:type="dxa"/>
            <w:tcBorders>
              <w:top w:val="single" w:color="000000" w:sz="2" w:space="0"/>
              <w:left w:val="single" w:color="000000" w:sz="6" w:space="0"/>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固废性质</w:t>
            </w:r>
          </w:p>
        </w:tc>
        <w:tc>
          <w:tcPr>
            <w:tcW w:w="930" w:type="dxa"/>
            <w:tcBorders>
              <w:top w:val="single" w:color="000000" w:sz="2" w:space="0"/>
              <w:left w:val="single" w:color="000000" w:sz="6" w:space="0"/>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产生量</w:t>
            </w:r>
            <w:r>
              <w:rPr>
                <w:rFonts w:hint="default" w:ascii="Times New Roman" w:hAnsi="Times New Roman" w:cs="Times New Roman"/>
                <w:color w:val="auto"/>
                <w:sz w:val="21"/>
                <w:szCs w:val="21"/>
              </w:rPr>
              <w:t>t/a</w:t>
            </w:r>
          </w:p>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w:t>
            </w:r>
            <w:r>
              <w:rPr>
                <w:rFonts w:hint="default" w:ascii="Times New Roman" w:hAnsi="Times New Roman" w:eastAsia="Times New Roman" w:cs="Times New Roman"/>
                <w:b/>
                <w:bCs/>
                <w:color w:val="auto"/>
                <w:sz w:val="21"/>
                <w:szCs w:val="21"/>
              </w:rPr>
              <w:t>t/a</w:t>
            </w:r>
            <w:r>
              <w:rPr>
                <w:rFonts w:hint="default" w:ascii="Times New Roman" w:hAnsi="Times New Roman" w:cs="Times New Roman"/>
                <w:b/>
                <w:bCs/>
                <w:color w:val="auto"/>
                <w:sz w:val="21"/>
                <w:szCs w:val="21"/>
              </w:rPr>
              <w:t>）</w:t>
            </w:r>
          </w:p>
        </w:tc>
        <w:tc>
          <w:tcPr>
            <w:tcW w:w="2213" w:type="dxa"/>
            <w:tcBorders>
              <w:top w:val="single" w:color="000000" w:sz="2" w:space="0"/>
              <w:left w:val="single" w:color="000000" w:sz="6" w:space="0"/>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处置措施</w:t>
            </w:r>
          </w:p>
        </w:tc>
        <w:tc>
          <w:tcPr>
            <w:tcW w:w="954" w:type="dxa"/>
            <w:tcBorders>
              <w:top w:val="single" w:color="000000" w:sz="2" w:space="0"/>
              <w:left w:val="single" w:color="000000" w:sz="6" w:space="0"/>
              <w:bottom w:val="single" w:color="000000" w:sz="6" w:space="0"/>
              <w:right w:val="nil"/>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排放量</w:t>
            </w:r>
            <w:r>
              <w:rPr>
                <w:rFonts w:hint="default" w:ascii="Times New Roman" w:hAnsi="Times New Roman" w:cs="Times New Roman"/>
                <w:color w:val="auto"/>
                <w:sz w:val="21"/>
                <w:szCs w:val="21"/>
              </w:rPr>
              <w:t>t/a</w:t>
            </w:r>
          </w:p>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w:t>
            </w:r>
            <w:r>
              <w:rPr>
                <w:rFonts w:hint="default" w:ascii="Times New Roman" w:hAnsi="Times New Roman" w:eastAsia="Times New Roman" w:cs="Times New Roman"/>
                <w:b/>
                <w:bCs/>
                <w:color w:val="auto"/>
                <w:sz w:val="21"/>
                <w:szCs w:val="21"/>
              </w:rPr>
              <w:t>t/a</w:t>
            </w:r>
            <w:r>
              <w:rPr>
                <w:rFonts w:hint="default" w:ascii="Times New Roman" w:hAnsi="Times New Roman" w:cs="Times New Roman"/>
                <w:b/>
                <w:bCs/>
                <w:color w:val="auto"/>
                <w:sz w:val="21"/>
                <w:szCs w:val="21"/>
              </w:rPr>
              <w:t>）</w:t>
            </w:r>
          </w:p>
        </w:tc>
      </w:tr>
      <w:tr>
        <w:tblPrEx>
          <w:tblCellMar>
            <w:top w:w="0" w:type="dxa"/>
            <w:left w:w="0" w:type="dxa"/>
            <w:bottom w:w="0" w:type="dxa"/>
            <w:right w:w="0" w:type="dxa"/>
          </w:tblCellMar>
        </w:tblPrEx>
        <w:trPr>
          <w:trHeight w:val="639" w:hRule="exact"/>
        </w:trPr>
        <w:tc>
          <w:tcPr>
            <w:tcW w:w="701"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53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防疫</w:t>
            </w:r>
          </w:p>
        </w:tc>
        <w:tc>
          <w:tcPr>
            <w:tcW w:w="1419"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医疗固废</w:t>
            </w:r>
          </w:p>
        </w:tc>
        <w:tc>
          <w:tcPr>
            <w:tcW w:w="1196"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（HW01）</w:t>
            </w:r>
          </w:p>
        </w:tc>
        <w:tc>
          <w:tcPr>
            <w:tcW w:w="93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0.045</w:t>
            </w:r>
          </w:p>
        </w:tc>
        <w:tc>
          <w:tcPr>
            <w:tcW w:w="221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定期交由有资质单位</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处理</w:t>
            </w: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CellMar>
            <w:top w:w="0" w:type="dxa"/>
            <w:left w:w="0" w:type="dxa"/>
            <w:bottom w:w="0" w:type="dxa"/>
            <w:right w:w="0" w:type="dxa"/>
          </w:tblCellMar>
        </w:tblPrEx>
        <w:trPr>
          <w:trHeight w:val="1246" w:hRule="exact"/>
        </w:trPr>
        <w:tc>
          <w:tcPr>
            <w:tcW w:w="701"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53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养殖</w:t>
            </w:r>
          </w:p>
        </w:tc>
        <w:tc>
          <w:tcPr>
            <w:tcW w:w="1419"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病死猪</w:t>
            </w:r>
          </w:p>
        </w:tc>
        <w:tc>
          <w:tcPr>
            <w:tcW w:w="1196"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（HW01）</w:t>
            </w:r>
          </w:p>
        </w:tc>
        <w:tc>
          <w:tcPr>
            <w:tcW w:w="93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21.36</w:t>
            </w:r>
          </w:p>
        </w:tc>
        <w:tc>
          <w:tcPr>
            <w:tcW w:w="221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在厂区内无害化处理后，残渣作为有机肥</w:t>
            </w:r>
            <w:r>
              <w:rPr>
                <w:rFonts w:hint="default" w:ascii="Times New Roman" w:hAnsi="Times New Roman" w:cs="Times New Roman"/>
                <w:color w:val="auto"/>
                <w:sz w:val="21"/>
                <w:szCs w:val="21"/>
                <w:lang w:eastAsia="zh-CN"/>
              </w:rPr>
              <w:t>基料</w:t>
            </w:r>
            <w:r>
              <w:rPr>
                <w:rFonts w:hint="default" w:ascii="Times New Roman" w:hAnsi="Times New Roman" w:cs="Times New Roman"/>
                <w:color w:val="auto"/>
                <w:sz w:val="21"/>
                <w:szCs w:val="21"/>
              </w:rPr>
              <w:t>外售</w:t>
            </w: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rPr>
          <w:trHeight w:val="639" w:hRule="exact"/>
        </w:trPr>
        <w:tc>
          <w:tcPr>
            <w:tcW w:w="701" w:type="dxa"/>
            <w:tcBorders>
              <w:top w:val="single" w:color="000000" w:sz="6" w:space="0"/>
              <w:left w:val="nil"/>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53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固液分离</w:t>
            </w:r>
          </w:p>
        </w:tc>
        <w:tc>
          <w:tcPr>
            <w:tcW w:w="1419"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猪粪</w:t>
            </w:r>
          </w:p>
        </w:tc>
        <w:tc>
          <w:tcPr>
            <w:tcW w:w="1196"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w:t>
            </w:r>
          </w:p>
        </w:tc>
        <w:tc>
          <w:tcPr>
            <w:tcW w:w="93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1353.86</w:t>
            </w:r>
          </w:p>
        </w:tc>
        <w:tc>
          <w:tcPr>
            <w:tcW w:w="221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经发酵后作为制有机</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肥</w:t>
            </w:r>
            <w:r>
              <w:rPr>
                <w:rFonts w:hint="default" w:ascii="Times New Roman" w:hAnsi="Times New Roman" w:cs="Times New Roman"/>
                <w:color w:val="auto"/>
                <w:sz w:val="21"/>
                <w:szCs w:val="21"/>
                <w:lang w:eastAsia="zh-CN"/>
              </w:rPr>
              <w:t>基料</w:t>
            </w:r>
            <w:r>
              <w:rPr>
                <w:rFonts w:hint="default" w:ascii="Times New Roman" w:hAnsi="Times New Roman" w:cs="Times New Roman"/>
                <w:color w:val="auto"/>
                <w:sz w:val="21"/>
                <w:szCs w:val="21"/>
              </w:rPr>
              <w:t>外售</w:t>
            </w: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rPr>
          <w:trHeight w:val="355" w:hRule="exact"/>
        </w:trPr>
        <w:tc>
          <w:tcPr>
            <w:tcW w:w="701"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53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沼气脱硫装置</w:t>
            </w:r>
          </w:p>
        </w:tc>
        <w:tc>
          <w:tcPr>
            <w:tcW w:w="1419"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废脱硫剂</w:t>
            </w:r>
          </w:p>
        </w:tc>
        <w:tc>
          <w:tcPr>
            <w:tcW w:w="1196"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w:t>
            </w:r>
          </w:p>
        </w:tc>
        <w:tc>
          <w:tcPr>
            <w:tcW w:w="93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0.16</w:t>
            </w:r>
          </w:p>
        </w:tc>
        <w:tc>
          <w:tcPr>
            <w:tcW w:w="221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生产厂家统一回收处置</w:t>
            </w: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CellMar>
            <w:top w:w="0" w:type="dxa"/>
            <w:left w:w="0" w:type="dxa"/>
            <w:bottom w:w="0" w:type="dxa"/>
            <w:right w:w="0" w:type="dxa"/>
          </w:tblCellMar>
        </w:tblPrEx>
        <w:trPr>
          <w:trHeight w:val="355" w:hRule="exact"/>
        </w:trPr>
        <w:tc>
          <w:tcPr>
            <w:tcW w:w="701"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53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职工生活</w:t>
            </w:r>
          </w:p>
        </w:tc>
        <w:tc>
          <w:tcPr>
            <w:tcW w:w="1419"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1196"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w:t>
            </w:r>
          </w:p>
        </w:tc>
        <w:tc>
          <w:tcPr>
            <w:tcW w:w="93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5.475</w:t>
            </w:r>
          </w:p>
        </w:tc>
        <w:tc>
          <w:tcPr>
            <w:tcW w:w="221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送交环卫部门处理</w:t>
            </w: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CellMar>
            <w:top w:w="0" w:type="dxa"/>
            <w:left w:w="0" w:type="dxa"/>
            <w:bottom w:w="0" w:type="dxa"/>
            <w:right w:w="0" w:type="dxa"/>
          </w:tblCellMar>
        </w:tblPrEx>
        <w:trPr>
          <w:trHeight w:val="625" w:hRule="exact"/>
        </w:trPr>
        <w:tc>
          <w:tcPr>
            <w:tcW w:w="701" w:type="dxa"/>
            <w:tcBorders>
              <w:top w:val="single" w:color="000000" w:sz="6" w:space="0"/>
              <w:left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w:t>
            </w:r>
          </w:p>
        </w:tc>
        <w:tc>
          <w:tcPr>
            <w:tcW w:w="1533"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无害化处理</w:t>
            </w:r>
          </w:p>
        </w:tc>
        <w:tc>
          <w:tcPr>
            <w:tcW w:w="1419"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废导热油</w:t>
            </w:r>
          </w:p>
        </w:tc>
        <w:tc>
          <w:tcPr>
            <w:tcW w:w="1196"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w:t>
            </w:r>
          </w:p>
          <w:p>
            <w:pPr>
              <w:keepNext w:val="0"/>
              <w:keepLines w:val="0"/>
              <w:widowControl/>
              <w:suppressLineNumbers w:val="0"/>
              <w:ind w:left="0" w:leftChars="0" w:firstLine="0" w:firstLineChars="0"/>
              <w:jc w:val="center"/>
              <w:rPr>
                <w:rFonts w:hint="default" w:ascii="Times New Roman" w:hAnsi="Times New Roman" w:cs="Times New Roman"/>
                <w:color w:val="auto"/>
              </w:rPr>
            </w:pPr>
            <w:r>
              <w:rPr>
                <w:rFonts w:hint="default" w:ascii="Times New Roman" w:hAnsi="Times New Roman" w:eastAsia="宋体" w:cs="Times New Roman"/>
                <w:color w:val="auto"/>
                <w:kern w:val="0"/>
                <w:sz w:val="20"/>
                <w:szCs w:val="20"/>
                <w:lang w:val="en-US" w:eastAsia="zh-CN" w:bidi="ar"/>
              </w:rPr>
              <w:t>（</w:t>
            </w:r>
            <w:r>
              <w:rPr>
                <w:rFonts w:hint="default" w:ascii="Times New Roman" w:hAnsi="Times New Roman" w:eastAsia="TimesNewRomanPSMT" w:cs="Times New Roman"/>
                <w:color w:val="auto"/>
                <w:kern w:val="0"/>
                <w:sz w:val="20"/>
                <w:szCs w:val="20"/>
                <w:lang w:val="en-US" w:eastAsia="zh-CN" w:bidi="ar"/>
              </w:rPr>
              <w:t>HW08</w:t>
            </w:r>
            <w:r>
              <w:rPr>
                <w:rFonts w:hint="default" w:ascii="Times New Roman" w:hAnsi="Times New Roman" w:eastAsia="宋体" w:cs="Times New Roman"/>
                <w:color w:val="auto"/>
                <w:kern w:val="0"/>
                <w:sz w:val="20"/>
                <w:szCs w:val="20"/>
                <w:lang w:val="en-US" w:eastAsia="zh-CN" w:bidi="ar"/>
              </w:rPr>
              <w:t>）</w:t>
            </w:r>
          </w:p>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rPr>
            </w:pPr>
          </w:p>
        </w:tc>
        <w:tc>
          <w:tcPr>
            <w:tcW w:w="930"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0.125</w:t>
            </w:r>
          </w:p>
        </w:tc>
        <w:tc>
          <w:tcPr>
            <w:tcW w:w="2213"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定期交由有资质单位</w:t>
            </w:r>
          </w:p>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处理</w:t>
            </w:r>
          </w:p>
        </w:tc>
        <w:tc>
          <w:tcPr>
            <w:tcW w:w="954" w:type="dxa"/>
            <w:tcBorders>
              <w:top w:val="single" w:color="000000" w:sz="6" w:space="0"/>
              <w:left w:val="single" w:color="000000" w:sz="6" w:space="0"/>
              <w:bottom w:val="single" w:color="000000" w:sz="6" w:space="0"/>
              <w:right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w:t>
            </w:r>
          </w:p>
        </w:tc>
      </w:tr>
      <w:tr>
        <w:trPr>
          <w:trHeight w:val="625" w:hRule="exact"/>
        </w:trPr>
        <w:tc>
          <w:tcPr>
            <w:tcW w:w="701" w:type="dxa"/>
            <w:tcBorders>
              <w:top w:val="single" w:color="000000" w:sz="6" w:space="0"/>
              <w:left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153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无害化处理</w:t>
            </w:r>
          </w:p>
        </w:tc>
        <w:tc>
          <w:tcPr>
            <w:tcW w:w="1419"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废</w:t>
            </w:r>
            <w:r>
              <w:rPr>
                <w:rFonts w:hint="default" w:ascii="Times New Roman" w:hAnsi="Times New Roman" w:cs="Times New Roman"/>
                <w:color w:val="auto"/>
                <w:sz w:val="21"/>
                <w:szCs w:val="21"/>
                <w:lang w:val="en-US" w:eastAsia="zh-CN"/>
              </w:rPr>
              <w:t>UV灯管</w:t>
            </w:r>
          </w:p>
        </w:tc>
        <w:tc>
          <w:tcPr>
            <w:tcW w:w="1196"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w:t>
            </w:r>
          </w:p>
          <w:p>
            <w:pPr>
              <w:widowControl/>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0"/>
                <w:szCs w:val="20"/>
                <w:lang w:bidi="ar"/>
              </w:rPr>
              <w:t>（</w:t>
            </w:r>
            <w:r>
              <w:rPr>
                <w:rFonts w:hint="default" w:ascii="Times New Roman" w:hAnsi="Times New Roman" w:eastAsia="TimesNewRomanPSMT" w:cs="Times New Roman"/>
                <w:color w:val="auto"/>
                <w:kern w:val="0"/>
                <w:sz w:val="20"/>
                <w:szCs w:val="20"/>
                <w:lang w:bidi="ar"/>
              </w:rPr>
              <w:t>HW</w:t>
            </w:r>
            <w:r>
              <w:rPr>
                <w:rFonts w:hint="default" w:ascii="Times New Roman" w:hAnsi="Times New Roman" w:cs="Times New Roman"/>
                <w:color w:val="auto"/>
                <w:kern w:val="0"/>
                <w:sz w:val="20"/>
                <w:szCs w:val="20"/>
                <w:lang w:val="en-US" w:eastAsia="zh-CN" w:bidi="ar"/>
              </w:rPr>
              <w:t>29</w:t>
            </w:r>
            <w:r>
              <w:rPr>
                <w:rFonts w:hint="default" w:ascii="Times New Roman" w:hAnsi="Times New Roman" w:cs="Times New Roman"/>
                <w:color w:val="auto"/>
                <w:kern w:val="0"/>
                <w:sz w:val="20"/>
                <w:szCs w:val="20"/>
                <w:lang w:bidi="ar"/>
              </w:rPr>
              <w:t>）</w:t>
            </w:r>
          </w:p>
        </w:tc>
        <w:tc>
          <w:tcPr>
            <w:tcW w:w="93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0.01</w:t>
            </w:r>
          </w:p>
        </w:tc>
        <w:tc>
          <w:tcPr>
            <w:tcW w:w="221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定期交由有资质单位</w:t>
            </w:r>
          </w:p>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处理</w:t>
            </w: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bl>
    <w:p>
      <w:pPr>
        <w:pStyle w:val="30"/>
        <w:rPr>
          <w:rFonts w:hint="default" w:ascii="Times New Roman" w:hAnsi="Times New Roman" w:cs="Times New Roman"/>
          <w:color w:val="auto"/>
        </w:rPr>
      </w:pPr>
      <w:bookmarkStart w:id="395" w:name="_Toc11371"/>
      <w:bookmarkStart w:id="396" w:name="_Toc2470"/>
      <w:r>
        <w:rPr>
          <w:rFonts w:hint="default" w:ascii="Times New Roman" w:hAnsi="Times New Roman" w:cs="Times New Roman"/>
          <w:color w:val="auto"/>
        </w:rPr>
        <w:t>3.4 项目主要污染物产排情况</w:t>
      </w:r>
      <w:bookmarkEnd w:id="385"/>
      <w:bookmarkEnd w:id="386"/>
      <w:bookmarkEnd w:id="387"/>
      <w:bookmarkEnd w:id="388"/>
      <w:bookmarkEnd w:id="389"/>
      <w:bookmarkEnd w:id="390"/>
      <w:bookmarkEnd w:id="391"/>
      <w:bookmarkEnd w:id="392"/>
      <w:bookmarkEnd w:id="393"/>
      <w:bookmarkEnd w:id="394"/>
      <w:bookmarkEnd w:id="395"/>
      <w:bookmarkEnd w:id="396"/>
    </w:p>
    <w:p>
      <w:pPr>
        <w:kinsoku w:val="0"/>
        <w:overflowPunct w:val="0"/>
        <w:ind w:firstLine="480"/>
        <w:jc w:val="left"/>
        <w:rPr>
          <w:rFonts w:hint="default" w:ascii="Times New Roman" w:hAnsi="Times New Roman" w:cs="Times New Roman"/>
          <w:color w:val="auto"/>
        </w:rPr>
      </w:pPr>
      <w:r>
        <w:rPr>
          <w:rFonts w:hint="default" w:ascii="Times New Roman" w:hAnsi="Times New Roman" w:cs="Times New Roman"/>
          <w:color w:val="auto"/>
        </w:rPr>
        <w:t>本项目污染物产排情况见表3.4-1。</w:t>
      </w:r>
    </w:p>
    <w:p>
      <w:pPr>
        <w:spacing w:afterLines="30" w:line="500" w:lineRule="exact"/>
        <w:ind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表3.4-1                  项目污染物产排汇总情况一览表</w:t>
      </w:r>
    </w:p>
    <w:tbl>
      <w:tblPr>
        <w:tblStyle w:val="25"/>
        <w:tblW w:w="8954" w:type="dxa"/>
        <w:jc w:val="center"/>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913"/>
        <w:gridCol w:w="744"/>
        <w:gridCol w:w="1614"/>
        <w:gridCol w:w="2475"/>
        <w:gridCol w:w="1325"/>
        <w:gridCol w:w="1883"/>
      </w:tblGrid>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12" w:hRule="exact"/>
          <w:jc w:val="center"/>
        </w:trPr>
        <w:tc>
          <w:tcPr>
            <w:tcW w:w="91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种类</w:t>
            </w:r>
          </w:p>
        </w:tc>
        <w:tc>
          <w:tcPr>
            <w:tcW w:w="235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污染因子</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产生量</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排放量</w:t>
            </w:r>
          </w:p>
        </w:tc>
        <w:tc>
          <w:tcPr>
            <w:tcW w:w="18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备注</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27" w:hRule="exact"/>
          <w:jc w:val="center"/>
        </w:trPr>
        <w:tc>
          <w:tcPr>
            <w:tcW w:w="91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废水(养殖废水与 生活污水 等混合)</w:t>
            </w:r>
          </w:p>
        </w:tc>
        <w:tc>
          <w:tcPr>
            <w:tcW w:w="235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废水量</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36286.706m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/a</w:t>
            </w:r>
          </w:p>
        </w:tc>
        <w:tc>
          <w:tcPr>
            <w:tcW w:w="132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88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经污水站处理后，做农肥；非耕作季节由</w:t>
            </w:r>
            <w:r>
              <w:rPr>
                <w:rFonts w:hint="default" w:ascii="Times New Roman" w:hAnsi="Times New Roman" w:cs="Times New Roman"/>
                <w:color w:val="auto"/>
                <w:sz w:val="21"/>
                <w:szCs w:val="21"/>
                <w:lang w:val="en-US" w:eastAsia="zh-CN"/>
              </w:rPr>
              <w:t>沼液存储池</w:t>
            </w:r>
            <w:r>
              <w:rPr>
                <w:rFonts w:hint="default" w:ascii="Times New Roman" w:hAnsi="Times New Roman" w:eastAsia="宋体" w:cs="Times New Roman"/>
                <w:color w:val="auto"/>
                <w:sz w:val="21"/>
                <w:szCs w:val="21"/>
                <w:lang w:val="en-US" w:eastAsia="zh-CN"/>
              </w:rPr>
              <w:t>储存，不外排</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9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235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19813mg/L，718.95t/a</w:t>
            </w:r>
          </w:p>
        </w:tc>
        <w:tc>
          <w:tcPr>
            <w:tcW w:w="13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8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9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235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7555mg/L，274.15t/a</w:t>
            </w:r>
          </w:p>
        </w:tc>
        <w:tc>
          <w:tcPr>
            <w:tcW w:w="13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8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9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235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SS</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15095mg/L，547.75t/a</w:t>
            </w:r>
          </w:p>
        </w:tc>
        <w:tc>
          <w:tcPr>
            <w:tcW w:w="13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8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90" w:hRule="exact"/>
          <w:jc w:val="center"/>
        </w:trPr>
        <w:tc>
          <w:tcPr>
            <w:tcW w:w="9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235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1133mg/L，41.44t/a</w:t>
            </w:r>
          </w:p>
        </w:tc>
        <w:tc>
          <w:tcPr>
            <w:tcW w:w="132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8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91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w:t>
            </w:r>
          </w:p>
        </w:tc>
        <w:tc>
          <w:tcPr>
            <w:tcW w:w="74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猪舍</w:t>
            </w:r>
          </w:p>
        </w:tc>
        <w:tc>
          <w:tcPr>
            <w:tcW w:w="16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w:t>
            </w:r>
            <w:r>
              <w:rPr>
                <w:rFonts w:hint="default" w:ascii="Times New Roman" w:hAnsi="Times New Roman" w:cs="Times New Roman"/>
                <w:color w:val="auto"/>
                <w:sz w:val="21"/>
                <w:szCs w:val="21"/>
                <w:lang w:val="en-US" w:eastAsia="zh-CN"/>
              </w:rPr>
              <w:t>36</w:t>
            </w:r>
            <w:r>
              <w:rPr>
                <w:rFonts w:hint="default" w:ascii="Times New Roman" w:hAnsi="Times New Roman" w:eastAsia="宋体" w:cs="Times New Roman"/>
                <w:color w:val="auto"/>
                <w:sz w:val="21"/>
                <w:szCs w:val="21"/>
                <w:lang w:val="en-US" w:eastAsia="zh-CN"/>
              </w:rPr>
              <w:t>t/a</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w:t>
            </w:r>
            <w:r>
              <w:rPr>
                <w:rFonts w:hint="default" w:ascii="Times New Roman" w:hAnsi="Times New Roman"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t/a</w:t>
            </w:r>
          </w:p>
        </w:tc>
        <w:tc>
          <w:tcPr>
            <w:tcW w:w="188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无组织排放</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9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6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S</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0.06t/a</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0.018t/a</w:t>
            </w:r>
          </w:p>
        </w:tc>
        <w:tc>
          <w:tcPr>
            <w:tcW w:w="18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9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4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污水处理</w:t>
            </w:r>
          </w:p>
        </w:tc>
        <w:tc>
          <w:tcPr>
            <w:tcW w:w="16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0.517t/a</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0.155t/a</w:t>
            </w:r>
          </w:p>
        </w:tc>
        <w:tc>
          <w:tcPr>
            <w:tcW w:w="188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无组织排放</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9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6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S</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0.02t/a</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0.006t/a</w:t>
            </w:r>
          </w:p>
        </w:tc>
        <w:tc>
          <w:tcPr>
            <w:tcW w:w="18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9" w:hRule="exact"/>
          <w:jc w:val="center"/>
        </w:trPr>
        <w:tc>
          <w:tcPr>
            <w:tcW w:w="9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4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固粪处理区</w:t>
            </w:r>
          </w:p>
        </w:tc>
        <w:tc>
          <w:tcPr>
            <w:tcW w:w="1614" w:type="dxa"/>
            <w:tcBorders>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1.073</w:t>
            </w:r>
            <w:r>
              <w:rPr>
                <w:rFonts w:hint="default" w:ascii="Times New Roman" w:hAnsi="Times New Roman" w:eastAsia="宋体" w:cs="Times New Roman"/>
                <w:color w:val="auto"/>
                <w:sz w:val="21"/>
                <w:szCs w:val="21"/>
                <w:lang w:val="en-US" w:eastAsia="zh-CN"/>
              </w:rPr>
              <w:t>t/a</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default" w:ascii="Times New Roman" w:hAnsi="Times New Roman" w:cs="Times New Roman"/>
                <w:color w:val="auto"/>
                <w:sz w:val="21"/>
                <w:szCs w:val="21"/>
                <w:lang w:val="en-US" w:eastAsia="zh-CN"/>
              </w:rPr>
              <w:t>322</w:t>
            </w:r>
            <w:r>
              <w:rPr>
                <w:rFonts w:hint="default" w:ascii="Times New Roman" w:hAnsi="Times New Roman" w:eastAsia="宋体" w:cs="Times New Roman"/>
                <w:color w:val="auto"/>
                <w:sz w:val="21"/>
                <w:szCs w:val="21"/>
                <w:lang w:val="en-US" w:eastAsia="zh-CN"/>
              </w:rPr>
              <w:t>t/a</w:t>
            </w:r>
          </w:p>
        </w:tc>
        <w:tc>
          <w:tcPr>
            <w:tcW w:w="188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无组织排放</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7" w:hRule="exact"/>
          <w:jc w:val="center"/>
        </w:trPr>
        <w:tc>
          <w:tcPr>
            <w:tcW w:w="9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614" w:type="dxa"/>
            <w:tcBorders>
              <w:top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S</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default" w:ascii="Times New Roman" w:hAnsi="Times New Roman" w:cs="Times New Roman"/>
                <w:color w:val="auto"/>
                <w:sz w:val="21"/>
                <w:szCs w:val="21"/>
                <w:lang w:val="en-US" w:eastAsia="zh-CN"/>
              </w:rPr>
              <w:t>64</w:t>
            </w:r>
            <w:r>
              <w:rPr>
                <w:rFonts w:hint="default" w:ascii="Times New Roman" w:hAnsi="Times New Roman" w:eastAsia="宋体" w:cs="Times New Roman"/>
                <w:color w:val="auto"/>
                <w:sz w:val="21"/>
                <w:szCs w:val="21"/>
                <w:lang w:val="en-US" w:eastAsia="zh-CN"/>
              </w:rPr>
              <w:t>t/a</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w:t>
            </w:r>
            <w:r>
              <w:rPr>
                <w:rFonts w:hint="default" w:ascii="Times New Roman" w:hAnsi="Times New Roman" w:cs="Times New Roman"/>
                <w:color w:val="auto"/>
                <w:sz w:val="21"/>
                <w:szCs w:val="21"/>
                <w:lang w:val="en-US" w:eastAsia="zh-CN"/>
              </w:rPr>
              <w:t>19</w:t>
            </w:r>
            <w:r>
              <w:rPr>
                <w:rFonts w:hint="default" w:ascii="Times New Roman" w:hAnsi="Times New Roman" w:eastAsia="宋体" w:cs="Times New Roman"/>
                <w:color w:val="auto"/>
                <w:sz w:val="21"/>
                <w:szCs w:val="21"/>
                <w:lang w:val="en-US" w:eastAsia="zh-CN"/>
              </w:rPr>
              <w:t>t/a</w:t>
            </w:r>
          </w:p>
        </w:tc>
        <w:tc>
          <w:tcPr>
            <w:tcW w:w="18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9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4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沼液存储池</w:t>
            </w:r>
          </w:p>
        </w:tc>
        <w:tc>
          <w:tcPr>
            <w:tcW w:w="16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0.073t/a</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0.0219t/a</w:t>
            </w:r>
          </w:p>
        </w:tc>
        <w:tc>
          <w:tcPr>
            <w:tcW w:w="188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无组织排放</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9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6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S</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0.0073t/a</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0.0022t/a</w:t>
            </w:r>
          </w:p>
        </w:tc>
        <w:tc>
          <w:tcPr>
            <w:tcW w:w="18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94" w:hRule="exact"/>
          <w:jc w:val="center"/>
        </w:trPr>
        <w:tc>
          <w:tcPr>
            <w:tcW w:w="9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4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无害化处理机</w:t>
            </w:r>
          </w:p>
        </w:tc>
        <w:tc>
          <w:tcPr>
            <w:tcW w:w="1614" w:type="dxa"/>
            <w:tcBorders>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NH</w:t>
            </w:r>
            <w:r>
              <w:rPr>
                <w:rFonts w:hint="default" w:ascii="Times New Roman" w:hAnsi="Times New Roman" w:eastAsia="宋体" w:cs="Times New Roman"/>
                <w:color w:val="auto"/>
                <w:sz w:val="21"/>
                <w:szCs w:val="21"/>
                <w:vertAlign w:val="subscript"/>
                <w:lang w:val="en-US" w:eastAsia="zh-CN"/>
              </w:rPr>
              <w:t>3</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0.0026t/a</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0.0007t/a</w:t>
            </w:r>
          </w:p>
        </w:tc>
        <w:tc>
          <w:tcPr>
            <w:tcW w:w="188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UV光解催化氧化</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4" w:hRule="exact"/>
          <w:jc w:val="center"/>
        </w:trPr>
        <w:tc>
          <w:tcPr>
            <w:tcW w:w="9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614" w:type="dxa"/>
            <w:tcBorders>
              <w:top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S</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0.0005t/a</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0.0001t/a</w:t>
            </w:r>
          </w:p>
        </w:tc>
        <w:tc>
          <w:tcPr>
            <w:tcW w:w="18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9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4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沼气</w:t>
            </w:r>
            <w:r>
              <w:rPr>
                <w:rFonts w:hint="eastAsia" w:cs="Times New Roman"/>
                <w:color w:val="auto"/>
                <w:sz w:val="21"/>
                <w:szCs w:val="21"/>
                <w:highlight w:val="none"/>
                <w:lang w:val="en-US" w:eastAsia="zh-CN"/>
              </w:rPr>
              <w:t>热水炉</w:t>
            </w:r>
            <w:r>
              <w:rPr>
                <w:rFonts w:hint="default" w:ascii="Times New Roman" w:hAnsi="Times New Roman" w:eastAsia="宋体" w:cs="Times New Roman"/>
                <w:color w:val="auto"/>
                <w:sz w:val="21"/>
                <w:szCs w:val="21"/>
                <w:highlight w:val="none"/>
                <w:lang w:val="en-US" w:eastAsia="zh-CN"/>
              </w:rPr>
              <w:t>燃烧</w:t>
            </w:r>
          </w:p>
        </w:tc>
        <w:tc>
          <w:tcPr>
            <w:tcW w:w="16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废气量</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108.2万</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/a</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108.2万</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/a</w:t>
            </w:r>
          </w:p>
        </w:tc>
        <w:tc>
          <w:tcPr>
            <w:tcW w:w="188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9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SO</w:t>
            </w:r>
            <w:r>
              <w:rPr>
                <w:rFonts w:hint="default" w:ascii="Times New Roman" w:hAnsi="Times New Roman" w:eastAsia="宋体" w:cs="Times New Roman"/>
                <w:color w:val="auto"/>
                <w:sz w:val="21"/>
                <w:szCs w:val="21"/>
                <w:highlight w:val="none"/>
                <w:vertAlign w:val="subscript"/>
                <w:lang w:val="en-US" w:eastAsia="zh-CN"/>
              </w:rPr>
              <w:t>2</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pacing w:val="4"/>
                <w:sz w:val="21"/>
                <w:szCs w:val="21"/>
              </w:rPr>
              <w:t>0.0</w:t>
            </w:r>
            <w:r>
              <w:rPr>
                <w:rFonts w:hint="default" w:ascii="Times New Roman" w:hAnsi="Times New Roman" w:cs="Times New Roman"/>
                <w:color w:val="auto"/>
                <w:spacing w:val="4"/>
                <w:sz w:val="21"/>
                <w:szCs w:val="21"/>
                <w:lang w:val="en-US" w:eastAsia="zh-CN"/>
              </w:rPr>
              <w:t>18</w:t>
            </w:r>
            <w:r>
              <w:rPr>
                <w:rFonts w:hint="default" w:ascii="Times New Roman" w:hAnsi="Times New Roman" w:eastAsia="宋体" w:cs="Times New Roman"/>
                <w:color w:val="auto"/>
                <w:sz w:val="21"/>
                <w:szCs w:val="21"/>
                <w:lang w:val="en-US" w:eastAsia="zh-CN"/>
              </w:rPr>
              <w:t>t/a</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pacing w:val="4"/>
                <w:sz w:val="21"/>
                <w:szCs w:val="21"/>
              </w:rPr>
              <w:t>0.0</w:t>
            </w:r>
            <w:r>
              <w:rPr>
                <w:rFonts w:hint="default" w:ascii="Times New Roman" w:hAnsi="Times New Roman" w:cs="Times New Roman"/>
                <w:color w:val="auto"/>
                <w:spacing w:val="4"/>
                <w:sz w:val="21"/>
                <w:szCs w:val="21"/>
                <w:lang w:val="en-US" w:eastAsia="zh-CN"/>
              </w:rPr>
              <w:t>18</w:t>
            </w:r>
            <w:r>
              <w:rPr>
                <w:rFonts w:hint="default" w:ascii="Times New Roman" w:hAnsi="Times New Roman" w:eastAsia="宋体" w:cs="Times New Roman"/>
                <w:color w:val="auto"/>
                <w:sz w:val="21"/>
                <w:szCs w:val="21"/>
                <w:lang w:val="en-US" w:eastAsia="zh-CN"/>
              </w:rPr>
              <w:t>t/a</w:t>
            </w:r>
          </w:p>
        </w:tc>
        <w:tc>
          <w:tcPr>
            <w:tcW w:w="18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9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NO</w:t>
            </w:r>
            <w:r>
              <w:rPr>
                <w:rFonts w:hint="default" w:ascii="Times New Roman" w:hAnsi="Times New Roman" w:eastAsia="宋体" w:cs="Times New Roman"/>
                <w:color w:val="auto"/>
                <w:sz w:val="21"/>
                <w:szCs w:val="21"/>
                <w:highlight w:val="none"/>
                <w:vertAlign w:val="subscript"/>
                <w:lang w:val="en-US" w:eastAsia="zh-CN"/>
              </w:rPr>
              <w:t>X</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pacing w:val="4"/>
                <w:sz w:val="21"/>
                <w:szCs w:val="21"/>
              </w:rPr>
              <w:t>0.0</w:t>
            </w:r>
            <w:r>
              <w:rPr>
                <w:rFonts w:hint="default" w:ascii="Times New Roman" w:hAnsi="Times New Roman" w:cs="Times New Roman"/>
                <w:color w:val="auto"/>
                <w:spacing w:val="4"/>
                <w:sz w:val="21"/>
                <w:szCs w:val="21"/>
                <w:lang w:val="en-US" w:eastAsia="zh-CN"/>
              </w:rPr>
              <w:t>81</w:t>
            </w:r>
            <w:r>
              <w:rPr>
                <w:rFonts w:hint="default" w:ascii="Times New Roman" w:hAnsi="Times New Roman" w:eastAsia="宋体" w:cs="Times New Roman"/>
                <w:color w:val="auto"/>
                <w:sz w:val="21"/>
                <w:szCs w:val="21"/>
                <w:lang w:val="en-US" w:eastAsia="zh-CN"/>
              </w:rPr>
              <w:t>t/a</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pacing w:val="4"/>
                <w:sz w:val="21"/>
                <w:szCs w:val="21"/>
              </w:rPr>
              <w:t>0.0</w:t>
            </w:r>
            <w:r>
              <w:rPr>
                <w:rFonts w:hint="default" w:ascii="Times New Roman" w:hAnsi="Times New Roman" w:cs="Times New Roman"/>
                <w:color w:val="auto"/>
                <w:spacing w:val="4"/>
                <w:sz w:val="21"/>
                <w:szCs w:val="21"/>
                <w:lang w:val="en-US" w:eastAsia="zh-CN"/>
              </w:rPr>
              <w:t>81</w:t>
            </w:r>
            <w:r>
              <w:rPr>
                <w:rFonts w:hint="default" w:ascii="Times New Roman" w:hAnsi="Times New Roman" w:eastAsia="宋体" w:cs="Times New Roman"/>
                <w:color w:val="auto"/>
                <w:sz w:val="21"/>
                <w:szCs w:val="21"/>
                <w:lang w:val="en-US" w:eastAsia="zh-CN"/>
              </w:rPr>
              <w:t>t/a</w:t>
            </w:r>
          </w:p>
        </w:tc>
        <w:tc>
          <w:tcPr>
            <w:tcW w:w="18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9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烟尘</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pacing w:val="4"/>
                <w:sz w:val="21"/>
                <w:szCs w:val="21"/>
              </w:rPr>
              <w:t>0.0</w:t>
            </w:r>
            <w:r>
              <w:rPr>
                <w:rFonts w:hint="default" w:ascii="Times New Roman" w:hAnsi="Times New Roman" w:cs="Times New Roman"/>
                <w:color w:val="auto"/>
                <w:spacing w:val="4"/>
                <w:sz w:val="21"/>
                <w:szCs w:val="21"/>
                <w:lang w:val="en-US" w:eastAsia="zh-CN"/>
              </w:rPr>
              <w:t>32</w:t>
            </w:r>
            <w:r>
              <w:rPr>
                <w:rFonts w:hint="default" w:ascii="Times New Roman" w:hAnsi="Times New Roman" w:eastAsia="宋体" w:cs="Times New Roman"/>
                <w:color w:val="auto"/>
                <w:sz w:val="21"/>
                <w:szCs w:val="21"/>
                <w:lang w:val="en-US" w:eastAsia="zh-CN"/>
              </w:rPr>
              <w:t>t/a</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pacing w:val="4"/>
                <w:sz w:val="21"/>
                <w:szCs w:val="21"/>
              </w:rPr>
              <w:t>0.0</w:t>
            </w:r>
            <w:r>
              <w:rPr>
                <w:rFonts w:hint="default" w:ascii="Times New Roman" w:hAnsi="Times New Roman" w:cs="Times New Roman"/>
                <w:color w:val="auto"/>
                <w:spacing w:val="4"/>
                <w:sz w:val="21"/>
                <w:szCs w:val="21"/>
                <w:lang w:val="en-US" w:eastAsia="zh-CN"/>
              </w:rPr>
              <w:t>32</w:t>
            </w:r>
            <w:r>
              <w:rPr>
                <w:rFonts w:hint="default" w:ascii="Times New Roman" w:hAnsi="Times New Roman" w:eastAsia="宋体" w:cs="Times New Roman"/>
                <w:color w:val="auto"/>
                <w:sz w:val="21"/>
                <w:szCs w:val="21"/>
                <w:lang w:val="en-US" w:eastAsia="zh-CN"/>
              </w:rPr>
              <w:t>t/a</w:t>
            </w:r>
          </w:p>
        </w:tc>
        <w:tc>
          <w:tcPr>
            <w:tcW w:w="18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840" w:hRule="exact"/>
          <w:jc w:val="center"/>
        </w:trPr>
        <w:tc>
          <w:tcPr>
            <w:tcW w:w="9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食堂油烟</w:t>
            </w:r>
          </w:p>
        </w:tc>
        <w:tc>
          <w:tcPr>
            <w:tcW w:w="16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油烟</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0.856mg/m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、0.005t/a</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0.08mg/m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0.0005t/a</w:t>
            </w:r>
          </w:p>
        </w:tc>
        <w:tc>
          <w:tcPr>
            <w:tcW w:w="18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由高于屋顶的专用烟道排放</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62" w:hRule="exact"/>
          <w:jc w:val="center"/>
        </w:trPr>
        <w:tc>
          <w:tcPr>
            <w:tcW w:w="91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固废</w:t>
            </w:r>
          </w:p>
        </w:tc>
        <w:tc>
          <w:tcPr>
            <w:tcW w:w="235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医疗固废</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0.045t/a</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0t/a</w:t>
            </w:r>
          </w:p>
        </w:tc>
        <w:tc>
          <w:tcPr>
            <w:tcW w:w="18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定期交由有资质单位处理</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56" w:hRule="exact"/>
          <w:jc w:val="center"/>
        </w:trPr>
        <w:tc>
          <w:tcPr>
            <w:tcW w:w="9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1"/>
                <w:szCs w:val="21"/>
              </w:rPr>
            </w:pPr>
          </w:p>
        </w:tc>
        <w:tc>
          <w:tcPr>
            <w:tcW w:w="235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病死猪</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21.36</w:t>
            </w:r>
            <w:r>
              <w:rPr>
                <w:rFonts w:hint="default" w:ascii="Times New Roman" w:hAnsi="Times New Roman" w:eastAsia="宋体" w:cs="Times New Roman"/>
                <w:color w:val="auto"/>
                <w:sz w:val="21"/>
                <w:szCs w:val="21"/>
                <w:lang w:val="en-US" w:eastAsia="zh-CN"/>
              </w:rPr>
              <w:t>t/a</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0t/a</w:t>
            </w:r>
          </w:p>
        </w:tc>
        <w:tc>
          <w:tcPr>
            <w:tcW w:w="18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在厂区内无害化处理后，残渣作为有机肥原料外售</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71" w:hRule="exact"/>
          <w:jc w:val="center"/>
        </w:trPr>
        <w:tc>
          <w:tcPr>
            <w:tcW w:w="9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1"/>
                <w:szCs w:val="21"/>
              </w:rPr>
            </w:pPr>
          </w:p>
        </w:tc>
        <w:tc>
          <w:tcPr>
            <w:tcW w:w="235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猪粪</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1353.86t/a</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0t/a</w:t>
            </w:r>
          </w:p>
        </w:tc>
        <w:tc>
          <w:tcPr>
            <w:tcW w:w="18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经发酵后作为制有机肥原料外售</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5" w:hRule="exact"/>
          <w:jc w:val="center"/>
        </w:trPr>
        <w:tc>
          <w:tcPr>
            <w:tcW w:w="9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1"/>
                <w:szCs w:val="21"/>
              </w:rPr>
            </w:pPr>
          </w:p>
        </w:tc>
        <w:tc>
          <w:tcPr>
            <w:tcW w:w="235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废脱硫剂</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0.16t/a</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0t/a</w:t>
            </w:r>
          </w:p>
        </w:tc>
        <w:tc>
          <w:tcPr>
            <w:tcW w:w="18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生产厂家回收处置</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64" w:hRule="exact"/>
          <w:jc w:val="center"/>
        </w:trPr>
        <w:tc>
          <w:tcPr>
            <w:tcW w:w="9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1"/>
                <w:szCs w:val="21"/>
              </w:rPr>
            </w:pPr>
          </w:p>
        </w:tc>
        <w:tc>
          <w:tcPr>
            <w:tcW w:w="235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5.475t/a</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0t/a</w:t>
            </w:r>
          </w:p>
        </w:tc>
        <w:tc>
          <w:tcPr>
            <w:tcW w:w="18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送交环卫部门处理</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62" w:hRule="exact"/>
          <w:jc w:val="center"/>
        </w:trPr>
        <w:tc>
          <w:tcPr>
            <w:tcW w:w="9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1"/>
                <w:szCs w:val="21"/>
              </w:rPr>
            </w:pPr>
          </w:p>
        </w:tc>
        <w:tc>
          <w:tcPr>
            <w:tcW w:w="235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废导热油</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0.125</w:t>
            </w:r>
            <w:r>
              <w:rPr>
                <w:rFonts w:hint="default" w:ascii="Times New Roman" w:hAnsi="Times New Roman" w:eastAsia="宋体" w:cs="Times New Roman"/>
                <w:color w:val="auto"/>
                <w:sz w:val="21"/>
                <w:szCs w:val="21"/>
                <w:lang w:val="en-US" w:eastAsia="zh-CN"/>
              </w:rPr>
              <w:t>t/a</w:t>
            </w:r>
          </w:p>
        </w:tc>
        <w:tc>
          <w:tcPr>
            <w:tcW w:w="13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0t/a</w:t>
            </w:r>
          </w:p>
        </w:tc>
        <w:tc>
          <w:tcPr>
            <w:tcW w:w="18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定期交由有资质单位处理</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62" w:hRule="exact"/>
          <w:jc w:val="center"/>
        </w:trPr>
        <w:tc>
          <w:tcPr>
            <w:tcW w:w="91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1"/>
                <w:szCs w:val="21"/>
              </w:rPr>
            </w:pPr>
          </w:p>
        </w:tc>
        <w:tc>
          <w:tcPr>
            <w:tcW w:w="2358" w:type="dxa"/>
            <w:gridSpan w:val="2"/>
            <w:tcBorders>
              <w:tl2br w:val="nil"/>
              <w:tr2bl w:val="nil"/>
            </w:tcBorders>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废</w:t>
            </w:r>
            <w:r>
              <w:rPr>
                <w:rFonts w:hint="default" w:ascii="Times New Roman" w:hAnsi="Times New Roman" w:cs="Times New Roman"/>
                <w:color w:val="auto"/>
                <w:sz w:val="21"/>
                <w:szCs w:val="21"/>
                <w:lang w:val="en-US" w:eastAsia="zh-CN"/>
              </w:rPr>
              <w:t>UV灯管</w:t>
            </w:r>
          </w:p>
        </w:tc>
        <w:tc>
          <w:tcPr>
            <w:tcW w:w="2475"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0.01t/a</w:t>
            </w:r>
          </w:p>
        </w:tc>
        <w:tc>
          <w:tcPr>
            <w:tcW w:w="1325"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0t/a</w:t>
            </w:r>
          </w:p>
        </w:tc>
        <w:tc>
          <w:tcPr>
            <w:tcW w:w="1883"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定期交由有资质单位</w:t>
            </w:r>
          </w:p>
          <w:p>
            <w:pPr>
              <w:spacing w:line="240" w:lineRule="auto"/>
              <w:ind w:firstLine="0" w:firstLineChars="0"/>
              <w:jc w:val="center"/>
              <w:rPr>
                <w:rFonts w:hint="default" w:ascii="Times New Roman" w:hAnsi="Times New Roman" w:eastAsia="宋体" w:cs="Times New Roman"/>
                <w:color w:val="auto"/>
                <w:sz w:val="21"/>
                <w:szCs w:val="21"/>
                <w:lang w:val="en-US" w:eastAsia="zh-CN"/>
              </w:rPr>
            </w:pPr>
          </w:p>
        </w:tc>
      </w:tr>
    </w:tbl>
    <w:p>
      <w:pPr>
        <w:ind w:firstLine="480"/>
        <w:rPr>
          <w:rFonts w:hint="default" w:ascii="Times New Roman" w:hAnsi="Times New Roman" w:cs="Times New Roman"/>
          <w:color w:val="auto"/>
        </w:rPr>
        <w:sectPr>
          <w:footerReference r:id="rId13" w:type="default"/>
          <w:footerReference r:id="rId14" w:type="even"/>
          <w:pgSz w:w="11906" w:h="16838"/>
          <w:pgMar w:top="1701" w:right="1474" w:bottom="1701" w:left="1474" w:header="1134" w:footer="1247" w:gutter="0"/>
          <w:pgBorders>
            <w:top w:val="none" w:sz="0" w:space="0"/>
            <w:left w:val="none" w:sz="0" w:space="0"/>
            <w:bottom w:val="none" w:sz="0" w:space="0"/>
            <w:right w:val="none" w:sz="0" w:space="0"/>
          </w:pgBorders>
          <w:pgNumType w:chapStyle="1" w:chapSep="enDash"/>
          <w:cols w:space="720" w:num="1"/>
          <w:docGrid w:type="linesAndChars" w:linePitch="516" w:charSpace="-20"/>
        </w:sectPr>
      </w:pPr>
    </w:p>
    <w:p>
      <w:pPr>
        <w:pStyle w:val="24"/>
        <w:ind w:left="480" w:firstLine="480"/>
        <w:rPr>
          <w:rFonts w:hint="default" w:ascii="Times New Roman" w:hAnsi="Times New Roman" w:cs="Times New Roman"/>
          <w:color w:val="auto"/>
        </w:rPr>
      </w:pPr>
    </w:p>
    <w:p>
      <w:pPr>
        <w:pStyle w:val="3"/>
        <w:spacing w:after="0"/>
        <w:ind w:firstLine="0" w:firstLineChars="0"/>
        <w:rPr>
          <w:rFonts w:hint="default" w:ascii="Times New Roman" w:hAnsi="Times New Roman" w:cs="Times New Roman"/>
          <w:color w:val="auto"/>
        </w:rPr>
      </w:pPr>
      <w:bookmarkStart w:id="397" w:name="_Toc77584915"/>
      <w:bookmarkStart w:id="398" w:name="_Toc517174531"/>
      <w:bookmarkStart w:id="399" w:name="_Toc514815114"/>
      <w:bookmarkStart w:id="400" w:name="_Toc53182355"/>
      <w:bookmarkStart w:id="401" w:name="_Toc42269102"/>
      <w:bookmarkStart w:id="402" w:name="_Toc41197805"/>
      <w:bookmarkStart w:id="403" w:name="_Toc24433"/>
      <w:bookmarkStart w:id="404" w:name="_Toc477187365"/>
      <w:bookmarkStart w:id="405" w:name="_Toc476921934"/>
      <w:bookmarkStart w:id="406" w:name="_Toc3800"/>
      <w:bookmarkStart w:id="407" w:name="_Toc476923257"/>
      <w:bookmarkStart w:id="408" w:name="_Toc485579869"/>
      <w:bookmarkStart w:id="409" w:name="_Toc477270160"/>
      <w:r>
        <w:rPr>
          <w:rFonts w:hint="default" w:ascii="Times New Roman" w:hAnsi="Times New Roman" w:cs="Times New Roman"/>
          <w:color w:val="auto"/>
        </w:rPr>
        <w:t xml:space="preserve">第四章  </w:t>
      </w:r>
      <w:bookmarkEnd w:id="397"/>
      <w:bookmarkEnd w:id="398"/>
      <w:bookmarkEnd w:id="399"/>
      <w:bookmarkEnd w:id="400"/>
      <w:bookmarkEnd w:id="401"/>
      <w:bookmarkEnd w:id="402"/>
      <w:bookmarkStart w:id="410" w:name="_Toc468996398"/>
      <w:r>
        <w:rPr>
          <w:rFonts w:hint="default" w:ascii="Times New Roman" w:hAnsi="Times New Roman" w:cs="Times New Roman"/>
          <w:color w:val="auto"/>
        </w:rPr>
        <w:t>区域环境概况及环境质量现状评价</w:t>
      </w:r>
      <w:bookmarkEnd w:id="403"/>
      <w:bookmarkEnd w:id="404"/>
      <w:bookmarkEnd w:id="405"/>
      <w:bookmarkEnd w:id="406"/>
      <w:bookmarkEnd w:id="407"/>
      <w:bookmarkEnd w:id="408"/>
      <w:bookmarkEnd w:id="409"/>
      <w:bookmarkEnd w:id="410"/>
    </w:p>
    <w:p>
      <w:pPr>
        <w:pStyle w:val="4"/>
        <w:ind w:firstLine="0" w:firstLineChars="0"/>
        <w:rPr>
          <w:rFonts w:hint="default" w:ascii="Times New Roman" w:hAnsi="Times New Roman" w:cs="Times New Roman"/>
          <w:b/>
          <w:color w:val="auto"/>
          <w:sz w:val="28"/>
          <w:szCs w:val="21"/>
        </w:rPr>
      </w:pPr>
      <w:bookmarkStart w:id="411" w:name="_Toc26094"/>
      <w:bookmarkStart w:id="412" w:name="_Toc24241"/>
      <w:bookmarkStart w:id="413" w:name="_Toc9392"/>
      <w:bookmarkStart w:id="414" w:name="_Toc15858"/>
      <w:bookmarkStart w:id="415" w:name="_Toc477187367"/>
      <w:bookmarkStart w:id="416" w:name="_Toc477270162"/>
      <w:bookmarkStart w:id="417" w:name="_Toc476923259"/>
      <w:bookmarkStart w:id="418" w:name="_Toc468996401"/>
      <w:bookmarkStart w:id="419" w:name="_Toc383506673"/>
      <w:bookmarkStart w:id="420" w:name="_Toc384040014"/>
      <w:bookmarkStart w:id="421" w:name="_Toc485579871"/>
      <w:bookmarkStart w:id="422" w:name="_Toc476921936"/>
      <w:bookmarkStart w:id="423" w:name="_Toc42269105"/>
      <w:bookmarkStart w:id="424" w:name="_Toc53182357"/>
      <w:bookmarkStart w:id="425" w:name="_Toc41197807"/>
      <w:bookmarkStart w:id="426" w:name="_Toc77584917"/>
      <w:bookmarkStart w:id="427" w:name="_Toc514815116"/>
      <w:bookmarkStart w:id="428" w:name="_Toc517174533"/>
      <w:r>
        <w:rPr>
          <w:rFonts w:hint="default" w:ascii="Times New Roman" w:hAnsi="Times New Roman" w:cs="Times New Roman"/>
          <w:b/>
          <w:color w:val="auto"/>
          <w:sz w:val="28"/>
          <w:szCs w:val="21"/>
        </w:rPr>
        <w:t>4.1 区域环境质量概况</w:t>
      </w:r>
      <w:bookmarkEnd w:id="411"/>
      <w:bookmarkEnd w:id="412"/>
      <w:bookmarkEnd w:id="413"/>
      <w:bookmarkEnd w:id="414"/>
    </w:p>
    <w:p>
      <w:pPr>
        <w:pStyle w:val="5"/>
        <w:rPr>
          <w:rFonts w:hint="default" w:ascii="Times New Roman" w:hAnsi="Times New Roman" w:cs="Times New Roman"/>
          <w:color w:val="auto"/>
        </w:rPr>
      </w:pPr>
      <w:bookmarkStart w:id="429" w:name="_Toc9425"/>
      <w:bookmarkStart w:id="430" w:name="_Toc19447"/>
      <w:bookmarkStart w:id="431" w:name="_Toc22097"/>
      <w:bookmarkStart w:id="432" w:name="_Toc8628"/>
      <w:bookmarkStart w:id="433" w:name="_Toc32452"/>
      <w:r>
        <w:rPr>
          <w:rFonts w:hint="default" w:ascii="Times New Roman" w:hAnsi="Times New Roman" w:cs="Times New Roman"/>
          <w:color w:val="auto"/>
          <w:lang w:val="en-US"/>
        </w:rPr>
        <w:t>4</w:t>
      </w:r>
      <w:r>
        <w:rPr>
          <w:rFonts w:hint="default" w:ascii="Times New Roman" w:hAnsi="Times New Roman" w:cs="Times New Roman"/>
          <w:color w:val="auto"/>
        </w:rPr>
        <w:t>.1.1 地理位置</w:t>
      </w:r>
      <w:bookmarkEnd w:id="429"/>
      <w:bookmarkEnd w:id="430"/>
      <w:bookmarkEnd w:id="431"/>
      <w:bookmarkEnd w:id="432"/>
      <w:bookmarkEnd w:id="433"/>
    </w:p>
    <w:p>
      <w:pPr>
        <w:ind w:firstLine="480"/>
        <w:rPr>
          <w:rFonts w:hint="default" w:ascii="Times New Roman" w:hAnsi="Times New Roman" w:cs="Times New Roman"/>
          <w:color w:val="auto"/>
        </w:rPr>
      </w:pPr>
      <w:bookmarkStart w:id="434" w:name="_Toc1800"/>
      <w:bookmarkStart w:id="435" w:name="_Toc1088"/>
      <w:bookmarkStart w:id="436" w:name="_Toc11481"/>
      <w:bookmarkStart w:id="437" w:name="_Toc14012"/>
      <w:r>
        <w:rPr>
          <w:rFonts w:hint="default" w:ascii="Times New Roman" w:hAnsi="Times New Roman" w:cs="Times New Roman"/>
          <w:color w:val="auto"/>
        </w:rPr>
        <w:t>清丰县位于濮阳市北部，东与山东省莘县毗邻，南与濮阳市华龙区接壤，西邻内黄县，北依南乐县，西北隔河与河北省魏县相望。全县总面积828平方千米，占全市总面积的19.77%，其中耕地面积5.47万公顷。</w:t>
      </w:r>
    </w:p>
    <w:p>
      <w:pPr>
        <w:pStyle w:val="5"/>
        <w:rPr>
          <w:rFonts w:hint="default" w:ascii="Times New Roman" w:hAnsi="Times New Roman" w:eastAsia="宋体" w:cs="Times New Roman"/>
          <w:color w:val="auto"/>
          <w:lang w:val="en-US"/>
        </w:rPr>
      </w:pPr>
      <w:bookmarkStart w:id="438" w:name="_Toc32282"/>
      <w:r>
        <w:rPr>
          <w:rFonts w:hint="default" w:ascii="Times New Roman" w:hAnsi="Times New Roman" w:eastAsia="宋体" w:cs="Times New Roman"/>
          <w:color w:val="auto"/>
          <w:lang w:val="en-US"/>
        </w:rPr>
        <w:t>4.1.2 地形地貌</w:t>
      </w:r>
      <w:bookmarkEnd w:id="434"/>
      <w:bookmarkEnd w:id="435"/>
      <w:bookmarkEnd w:id="436"/>
      <w:bookmarkEnd w:id="437"/>
      <w:bookmarkEnd w:id="438"/>
    </w:p>
    <w:p>
      <w:pPr>
        <w:ind w:firstLine="480"/>
        <w:rPr>
          <w:rFonts w:hint="default" w:ascii="Times New Roman" w:hAnsi="Times New Roman" w:cs="Times New Roman"/>
          <w:color w:val="auto"/>
        </w:rPr>
      </w:pPr>
      <w:r>
        <w:rPr>
          <w:rFonts w:hint="default" w:ascii="Times New Roman" w:hAnsi="Times New Roman" w:cs="Times New Roman"/>
          <w:color w:val="auto"/>
        </w:rPr>
        <w:t>清丰县地处黄河下游冲积平原，地形平坦开阔，该区域由于黄河改道冲积形成了故道、泛区、滩区三大类型。主要土层为粉土、砂土及粘土。地层岩组类型单一，属简单场地。</w:t>
      </w:r>
    </w:p>
    <w:p>
      <w:pPr>
        <w:pStyle w:val="5"/>
        <w:rPr>
          <w:rFonts w:hint="default" w:ascii="Times New Roman" w:hAnsi="Times New Roman" w:cs="Times New Roman"/>
          <w:color w:val="auto"/>
        </w:rPr>
      </w:pPr>
      <w:bookmarkStart w:id="439" w:name="_Toc4294"/>
      <w:bookmarkStart w:id="440" w:name="_Toc9515"/>
      <w:bookmarkStart w:id="441" w:name="_Toc1411"/>
      <w:bookmarkStart w:id="442" w:name="_Toc27850"/>
      <w:bookmarkStart w:id="443" w:name="_Toc32404"/>
      <w:r>
        <w:rPr>
          <w:rFonts w:hint="default" w:ascii="Times New Roman" w:hAnsi="Times New Roman" w:cs="Times New Roman"/>
          <w:color w:val="auto"/>
          <w:lang w:val="en-US"/>
        </w:rPr>
        <w:t>4</w:t>
      </w:r>
      <w:r>
        <w:rPr>
          <w:rFonts w:hint="default" w:ascii="Times New Roman" w:hAnsi="Times New Roman" w:cs="Times New Roman"/>
          <w:color w:val="auto"/>
        </w:rPr>
        <w:t>.1.3 工程地质</w:t>
      </w:r>
      <w:bookmarkEnd w:id="439"/>
      <w:bookmarkEnd w:id="440"/>
      <w:bookmarkEnd w:id="441"/>
      <w:bookmarkEnd w:id="442"/>
      <w:bookmarkEnd w:id="443"/>
    </w:p>
    <w:p>
      <w:pPr>
        <w:ind w:firstLine="480"/>
        <w:rPr>
          <w:rFonts w:hint="default" w:ascii="Times New Roman" w:hAnsi="Times New Roman" w:cs="Times New Roman"/>
          <w:color w:val="auto"/>
        </w:rPr>
      </w:pPr>
      <w:r>
        <w:rPr>
          <w:rFonts w:hint="default" w:ascii="Times New Roman" w:hAnsi="Times New Roman" w:cs="Times New Roman"/>
          <w:color w:val="auto"/>
        </w:rPr>
        <w:t>濮阳市地处华北地震区南部，聊兰地震带中段，位于国家确定的冀鲁豫地震重点监视防御区之内。区内地质构造复杂，活动断裂发育，地震频度较高，全度较大。濮阳市及邻区基底断裂构造的频繁活动，常有地震波及。中国地震动参数区划图（GB 18306-2015）清丰县柳格镇峰值加速度为0.2g，反应谱特征周期0.40s，对应的地震烈度为7度。</w:t>
      </w:r>
    </w:p>
    <w:p>
      <w:pPr>
        <w:pStyle w:val="5"/>
        <w:rPr>
          <w:rFonts w:hint="default" w:ascii="Times New Roman" w:hAnsi="Times New Roman" w:cs="Times New Roman"/>
          <w:color w:val="auto"/>
        </w:rPr>
      </w:pPr>
      <w:bookmarkStart w:id="444" w:name="_Toc22167"/>
      <w:bookmarkStart w:id="445" w:name="_Toc30851"/>
      <w:bookmarkStart w:id="446" w:name="_Toc6528"/>
      <w:bookmarkStart w:id="447" w:name="_Toc21572"/>
      <w:bookmarkStart w:id="448" w:name="_Toc15075"/>
      <w:r>
        <w:rPr>
          <w:rFonts w:hint="default" w:ascii="Times New Roman" w:hAnsi="Times New Roman" w:cs="Times New Roman"/>
          <w:color w:val="auto"/>
          <w:lang w:val="en-US"/>
        </w:rPr>
        <w:t>4</w:t>
      </w:r>
      <w:r>
        <w:rPr>
          <w:rFonts w:hint="default" w:ascii="Times New Roman" w:hAnsi="Times New Roman" w:cs="Times New Roman"/>
          <w:color w:val="auto"/>
        </w:rPr>
        <w:t>.1.4 水文地质</w:t>
      </w:r>
      <w:bookmarkEnd w:id="444"/>
      <w:bookmarkEnd w:id="445"/>
      <w:bookmarkEnd w:id="446"/>
      <w:bookmarkEnd w:id="447"/>
      <w:bookmarkEnd w:id="448"/>
    </w:p>
    <w:p>
      <w:pPr>
        <w:ind w:firstLine="480"/>
        <w:rPr>
          <w:rFonts w:hint="default" w:ascii="Times New Roman" w:hAnsi="Times New Roman" w:cs="Times New Roman"/>
          <w:color w:val="auto"/>
        </w:rPr>
      </w:pPr>
      <w:r>
        <w:rPr>
          <w:rFonts w:hint="default" w:ascii="Times New Roman" w:hAnsi="Times New Roman" w:cs="Times New Roman"/>
          <w:color w:val="auto"/>
          <w:szCs w:val="22"/>
        </w:rPr>
        <w:t>濮阳市位于东濮凹陷和内黄隆起与东淮凹陷的接合过渡带，自新生代以来，在北区域500m范围内沉积了巨厚的松散地层，为地下水的储存和运移提供了良好条件。区内以河湖相沉积为主，形成一大套的以中细砂为主，并有粘土、亚粘土互层的含水岩系。随后，不同时期的黄河摆动、决溢、泛滥带来了粗细不同的沉积物，在古河道内，河间地段及泛流区，由于水流搬运作用不同，使区内含水砂层与弱透水或隔水的</w:t>
      </w:r>
      <w:r>
        <w:rPr>
          <w:rFonts w:hint="default" w:ascii="Times New Roman" w:hAnsi="Times New Roman" w:cs="Times New Roman"/>
          <w:color w:val="auto"/>
        </w:rPr>
        <w:t>黏土层在空间的分布十分复杂。</w:t>
      </w:r>
    </w:p>
    <w:p>
      <w:pPr>
        <w:ind w:firstLine="480"/>
        <w:rPr>
          <w:rFonts w:hint="default" w:ascii="Times New Roman" w:hAnsi="Times New Roman" w:cs="Times New Roman"/>
          <w:color w:val="auto"/>
        </w:rPr>
      </w:pPr>
      <w:r>
        <w:rPr>
          <w:rFonts w:hint="default" w:ascii="Times New Roman" w:hAnsi="Times New Roman" w:cs="Times New Roman"/>
          <w:color w:val="auto"/>
        </w:rPr>
        <w:t>根据含水层的岩性结构，埋藏条件及动力特征，项目所在区域松散沉积物空隙含水系统可划分为潜水含水系统、浅层承压含水系统和深层承压含水系统，浅层承压含水系统由上更新统黄河冲积物所组成，其底板厚度为80~103m，顶部有一层粘土、亚粘土、亚砂土所组成的4―20m厚的隔水层，与潜水含水层系统隔开。</w:t>
      </w:r>
    </w:p>
    <w:p>
      <w:pPr>
        <w:ind w:firstLine="480"/>
        <w:rPr>
          <w:rFonts w:hint="default" w:ascii="Times New Roman" w:hAnsi="Times New Roman" w:cs="Times New Roman"/>
          <w:color w:val="auto"/>
        </w:rPr>
      </w:pPr>
      <w:r>
        <w:rPr>
          <w:rFonts w:hint="default" w:ascii="Times New Roman" w:hAnsi="Times New Roman" w:cs="Times New Roman"/>
          <w:color w:val="auto"/>
        </w:rPr>
        <w:t>地表水：清丰县境内地势平坦，主要河流有卫河、马颊河、潴龙河和第二、第三濮清南引黄工程，地下水源充沛。</w:t>
      </w:r>
    </w:p>
    <w:p>
      <w:pPr>
        <w:ind w:firstLine="480"/>
        <w:rPr>
          <w:rFonts w:hint="default" w:ascii="Times New Roman" w:hAnsi="Times New Roman" w:cs="Times New Roman"/>
          <w:color w:val="auto"/>
        </w:rPr>
      </w:pPr>
      <w:r>
        <w:rPr>
          <w:rFonts w:hint="default" w:ascii="Times New Roman" w:hAnsi="Times New Roman" w:cs="Times New Roman"/>
          <w:color w:val="auto"/>
        </w:rPr>
        <w:t>潴龙河属海河流域大清河系。潴龙河为多沙性河道，是大清河南支主要行洪河道，其上游主要支流系由沙河、磁河、孟良河在北郭村水文站上游汇流后称潴龙河。</w:t>
      </w:r>
    </w:p>
    <w:p>
      <w:pPr>
        <w:ind w:firstLine="480"/>
        <w:rPr>
          <w:rFonts w:hint="default" w:ascii="Times New Roman" w:hAnsi="Times New Roman" w:cs="Times New Roman"/>
          <w:color w:val="auto"/>
        </w:rPr>
      </w:pPr>
      <w:r>
        <w:rPr>
          <w:rFonts w:hint="default" w:ascii="Times New Roman" w:hAnsi="Times New Roman" w:cs="Times New Roman"/>
          <w:color w:val="auto"/>
        </w:rPr>
        <w:t>潴龙河全长75公里，河口宽250-500米。为季节性河流，含沙量较大，河上建有分洪道，主河道两岸有堤防，</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"http://baike.so.com/doc/4171281-4371609.html" \t "http://baike.so.com/doc/_blank" </w:instrText>
      </w:r>
      <w:r>
        <w:rPr>
          <w:rFonts w:hint="default" w:ascii="Times New Roman" w:hAnsi="Times New Roman" w:cs="Times New Roman"/>
          <w:color w:val="auto"/>
        </w:rPr>
        <w:fldChar w:fldCharType="separate"/>
      </w:r>
      <w:r>
        <w:rPr>
          <w:rFonts w:hint="default" w:ascii="Times New Roman" w:hAnsi="Times New Roman" w:cs="Times New Roman"/>
          <w:color w:val="auto"/>
        </w:rPr>
        <w:t>堤距</w:t>
      </w:r>
      <w:r>
        <w:rPr>
          <w:rFonts w:hint="default" w:ascii="Times New Roman" w:hAnsi="Times New Roman" w:cs="Times New Roman"/>
          <w:color w:val="auto"/>
        </w:rPr>
        <w:fldChar w:fldCharType="end"/>
      </w:r>
      <w:r>
        <w:rPr>
          <w:rFonts w:hint="default" w:ascii="Times New Roman" w:hAnsi="Times New Roman" w:cs="Times New Roman"/>
          <w:color w:val="auto"/>
        </w:rPr>
        <w:t>550-4000米，其右堤即千里堤，为国家级重点堤防。潴龙河千里堤为国家一级堤防，左堤为国家三级堤防。两堤间距在800-1800m，河道上宽下窄，最窄处只有550m，潴龙河流经安国、安平、博野、蠡县，于高阳汇入白洋淀。</w:t>
      </w:r>
    </w:p>
    <w:p>
      <w:pPr>
        <w:ind w:firstLine="480"/>
        <w:rPr>
          <w:rFonts w:hint="default" w:ascii="Times New Roman" w:hAnsi="Times New Roman" w:cs="Times New Roman"/>
          <w:color w:val="auto"/>
        </w:rPr>
      </w:pPr>
      <w:r>
        <w:rPr>
          <w:rFonts w:hint="default" w:ascii="Times New Roman" w:hAnsi="Times New Roman" w:cs="Times New Roman"/>
          <w:color w:val="auto"/>
        </w:rPr>
        <w:t>地下水：清丰县地下水属于潜水类型，是埋藏在地表以下，位于第一个隔水层以下的常年饱和自由重力水，也是具有自由表面的地下水，主要补给来源是大气降水和地表水。清丰县地下水质系重碳酸型淡水，矿化度为0.5～1.0g/L，适合农田灌溉和人畜饮用。浅层含水层的顶板埋深为15～20m，底板埋深为40～60m。区域地下水流向为自西南向东北。</w:t>
      </w:r>
    </w:p>
    <w:p>
      <w:pPr>
        <w:pStyle w:val="5"/>
        <w:rPr>
          <w:rFonts w:hint="default" w:ascii="Times New Roman" w:hAnsi="Times New Roman" w:cs="Times New Roman"/>
          <w:color w:val="auto"/>
        </w:rPr>
      </w:pPr>
      <w:bookmarkStart w:id="449" w:name="_Toc904"/>
      <w:bookmarkStart w:id="450" w:name="_Toc18714"/>
      <w:bookmarkStart w:id="451" w:name="_Toc21811"/>
      <w:bookmarkStart w:id="452" w:name="_Toc25515"/>
      <w:bookmarkStart w:id="453" w:name="_Toc11746"/>
      <w:r>
        <w:rPr>
          <w:rFonts w:hint="default" w:ascii="Times New Roman" w:hAnsi="Times New Roman" w:cs="Times New Roman"/>
          <w:color w:val="auto"/>
          <w:lang w:val="en-US"/>
        </w:rPr>
        <w:t>4</w:t>
      </w:r>
      <w:r>
        <w:rPr>
          <w:rFonts w:hint="default" w:ascii="Times New Roman" w:hAnsi="Times New Roman" w:cs="Times New Roman"/>
          <w:color w:val="auto"/>
        </w:rPr>
        <w:t>.1.5 气候气象</w:t>
      </w:r>
      <w:bookmarkEnd w:id="449"/>
      <w:bookmarkEnd w:id="450"/>
      <w:bookmarkEnd w:id="451"/>
      <w:bookmarkEnd w:id="452"/>
      <w:bookmarkEnd w:id="453"/>
    </w:p>
    <w:p>
      <w:pPr>
        <w:ind w:firstLine="480"/>
        <w:rPr>
          <w:rFonts w:hint="default" w:ascii="Times New Roman" w:hAnsi="Times New Roman" w:cs="Times New Roman"/>
          <w:color w:val="auto"/>
        </w:rPr>
      </w:pPr>
      <w:r>
        <w:rPr>
          <w:rFonts w:hint="default" w:ascii="Times New Roman" w:hAnsi="Times New Roman" w:cs="Times New Roman"/>
          <w:color w:val="auto"/>
        </w:rPr>
        <w:t>清丰县位于中纬度地带，常年直接受东南季风环流的控制和影响，属暖温带半湿润季风型大陆性气候，四季分明，春季干旱多风，夏季炎热降雨集中（主要集中在7-8月份），秋季凉爽日照长，冬季寒冷少雨雪。年平均气温13.5℃，年平均无霜期为215d，年平均蒸发量1944mm，年平均日照时数2454h，年太阳辐射总量118kcal/cm2，年均相对湿度71%，年平均降水量612.9mm，常年主导风向为东南风、西北风，年均风速2.1m/s。</w:t>
      </w:r>
    </w:p>
    <w:p>
      <w:pPr>
        <w:pStyle w:val="5"/>
        <w:rPr>
          <w:rFonts w:hint="default" w:ascii="Times New Roman" w:hAnsi="Times New Roman" w:cs="Times New Roman"/>
          <w:color w:val="auto"/>
        </w:rPr>
      </w:pPr>
      <w:bookmarkStart w:id="454" w:name="_Toc26596"/>
      <w:bookmarkStart w:id="455" w:name="_Toc19193"/>
      <w:bookmarkStart w:id="456" w:name="_Toc30251"/>
      <w:bookmarkStart w:id="457" w:name="_Toc28546"/>
      <w:bookmarkStart w:id="458" w:name="_Toc7910"/>
      <w:r>
        <w:rPr>
          <w:rFonts w:hint="default" w:ascii="Times New Roman" w:hAnsi="Times New Roman" w:cs="Times New Roman"/>
          <w:color w:val="auto"/>
          <w:lang w:val="en-US"/>
        </w:rPr>
        <w:t>4</w:t>
      </w:r>
      <w:r>
        <w:rPr>
          <w:rFonts w:hint="default" w:ascii="Times New Roman" w:hAnsi="Times New Roman" w:cs="Times New Roman"/>
          <w:color w:val="auto"/>
        </w:rPr>
        <w:t>.1.6 土壤</w:t>
      </w:r>
      <w:bookmarkEnd w:id="454"/>
      <w:bookmarkEnd w:id="455"/>
      <w:bookmarkEnd w:id="456"/>
      <w:bookmarkEnd w:id="457"/>
      <w:bookmarkEnd w:id="458"/>
    </w:p>
    <w:p>
      <w:pPr>
        <w:ind w:firstLine="480"/>
        <w:rPr>
          <w:rFonts w:hint="default" w:ascii="Times New Roman" w:hAnsi="Times New Roman" w:cs="Times New Roman"/>
          <w:color w:val="auto"/>
        </w:rPr>
      </w:pPr>
      <w:r>
        <w:rPr>
          <w:rFonts w:hint="default" w:ascii="Times New Roman" w:hAnsi="Times New Roman" w:cs="Times New Roman"/>
          <w:color w:val="auto"/>
        </w:rPr>
        <w:t>清丰县的土壤可分为两个土类，即潮土和风沙土；三个亚类，即黄潮土、褐土化潮土、冲击性风沙土；六个土属二十六个土种。自西向东土壤依地形的高低分为风沙土、细沙土、沙壤土、小两合土、两合土、於土等。按土壤质地划分，其中沙地占21.9%，青沙地占36.6%，两合土地占23.4%，於土地占10.9%，盐碱地占7.2%。全县地表大部分为第四纪冲击松散沉积物覆盖，主要土层为粉土、砂土及粘土。地层岩组类型单一，属简单场地。</w:t>
      </w:r>
    </w:p>
    <w:p>
      <w:pPr>
        <w:pStyle w:val="5"/>
        <w:rPr>
          <w:rFonts w:hint="default" w:ascii="Times New Roman" w:hAnsi="Times New Roman" w:cs="Times New Roman"/>
          <w:color w:val="auto"/>
        </w:rPr>
      </w:pPr>
      <w:bookmarkStart w:id="459" w:name="_Toc23344"/>
      <w:bookmarkStart w:id="460" w:name="_Toc1525"/>
      <w:bookmarkStart w:id="461" w:name="_Toc587"/>
      <w:bookmarkStart w:id="462" w:name="_Toc12940"/>
      <w:bookmarkStart w:id="463" w:name="_Toc27113"/>
      <w:r>
        <w:rPr>
          <w:rFonts w:hint="default" w:ascii="Times New Roman" w:hAnsi="Times New Roman" w:cs="Times New Roman"/>
          <w:color w:val="auto"/>
          <w:lang w:val="en-US"/>
        </w:rPr>
        <w:t>4</w:t>
      </w:r>
      <w:r>
        <w:rPr>
          <w:rFonts w:hint="default" w:ascii="Times New Roman" w:hAnsi="Times New Roman" w:cs="Times New Roman"/>
          <w:color w:val="auto"/>
        </w:rPr>
        <w:t>.1.7 生物资源</w:t>
      </w:r>
      <w:bookmarkEnd w:id="459"/>
      <w:bookmarkEnd w:id="460"/>
      <w:bookmarkEnd w:id="461"/>
      <w:bookmarkEnd w:id="462"/>
      <w:bookmarkEnd w:id="463"/>
    </w:p>
    <w:p>
      <w:pPr>
        <w:ind w:firstLine="480"/>
        <w:rPr>
          <w:rFonts w:hint="default" w:ascii="Times New Roman" w:hAnsi="Times New Roman" w:cs="Times New Roman"/>
          <w:color w:val="auto"/>
        </w:rPr>
      </w:pPr>
      <w:r>
        <w:rPr>
          <w:rFonts w:hint="default" w:ascii="Times New Roman" w:hAnsi="Times New Roman" w:cs="Times New Roman"/>
          <w:color w:val="auto"/>
        </w:rPr>
        <w:t>清丰县地处温暖带，由于地貌类型不太复杂，生物种类较少。县域内有植物600多种，动物130多种。动物中家畜有牛、羊、马、骡、驴等，野生动物主要有狐狸、刺猬、黄鼠狼、野兔等。植物中主要有农作物小麦、大麦、谷子等，林木主要有毛白杨、小叶杨、银白杨、国槐等。</w:t>
      </w:r>
    </w:p>
    <w:p>
      <w:pPr>
        <w:ind w:firstLine="480"/>
        <w:rPr>
          <w:rFonts w:hint="default" w:ascii="Times New Roman" w:hAnsi="Times New Roman" w:cs="Times New Roman"/>
          <w:color w:val="auto"/>
        </w:rPr>
      </w:pPr>
      <w:r>
        <w:rPr>
          <w:rFonts w:hint="default" w:ascii="Times New Roman" w:hAnsi="Times New Roman" w:cs="Times New Roman"/>
          <w:color w:val="auto"/>
        </w:rPr>
        <w:t>经调查，本项目建设区域无国家重点保护动植物名录中的动植物。</w:t>
      </w:r>
    </w:p>
    <w:bookmarkEnd w:id="415"/>
    <w:bookmarkEnd w:id="416"/>
    <w:bookmarkEnd w:id="417"/>
    <w:bookmarkEnd w:id="418"/>
    <w:bookmarkEnd w:id="419"/>
    <w:bookmarkEnd w:id="420"/>
    <w:bookmarkEnd w:id="421"/>
    <w:bookmarkEnd w:id="422"/>
    <w:p>
      <w:pPr>
        <w:pStyle w:val="4"/>
        <w:spacing w:before="0" w:after="0"/>
        <w:ind w:firstLine="0" w:firstLineChars="0"/>
        <w:rPr>
          <w:rFonts w:hint="default" w:ascii="Times New Roman" w:hAnsi="Times New Roman" w:cs="Times New Roman"/>
          <w:color w:val="auto"/>
          <w:sz w:val="28"/>
          <w:szCs w:val="20"/>
        </w:rPr>
      </w:pPr>
      <w:bookmarkStart w:id="464" w:name="_Toc384040017"/>
      <w:bookmarkStart w:id="465" w:name="_Toc476923260"/>
      <w:bookmarkStart w:id="466" w:name="_Toc25478"/>
      <w:bookmarkStart w:id="467" w:name="_Toc476921937"/>
      <w:bookmarkStart w:id="468" w:name="_Toc468996402"/>
      <w:bookmarkStart w:id="469" w:name="_Toc7155"/>
      <w:bookmarkStart w:id="470" w:name="_Toc485579872"/>
      <w:bookmarkStart w:id="471" w:name="_Toc477270163"/>
      <w:bookmarkStart w:id="472" w:name="_Toc477187368"/>
      <w:r>
        <w:rPr>
          <w:rFonts w:hint="default" w:ascii="Times New Roman" w:hAnsi="Times New Roman" w:cs="Times New Roman"/>
          <w:color w:val="auto"/>
          <w:sz w:val="28"/>
          <w:szCs w:val="20"/>
        </w:rPr>
        <w:t xml:space="preserve">4.2  </w:t>
      </w:r>
      <w:bookmarkEnd w:id="464"/>
      <w:r>
        <w:rPr>
          <w:rFonts w:hint="default" w:ascii="Times New Roman" w:hAnsi="Times New Roman" w:cs="Times New Roman"/>
          <w:color w:val="auto"/>
          <w:sz w:val="28"/>
          <w:szCs w:val="20"/>
        </w:rPr>
        <w:t>环境质量现状调查与评价</w:t>
      </w:r>
      <w:bookmarkEnd w:id="465"/>
      <w:bookmarkEnd w:id="466"/>
      <w:bookmarkEnd w:id="467"/>
      <w:bookmarkEnd w:id="468"/>
      <w:bookmarkEnd w:id="469"/>
      <w:bookmarkEnd w:id="470"/>
      <w:bookmarkEnd w:id="471"/>
      <w:bookmarkEnd w:id="472"/>
    </w:p>
    <w:bookmarkEnd w:id="423"/>
    <w:bookmarkEnd w:id="424"/>
    <w:bookmarkEnd w:id="425"/>
    <w:bookmarkEnd w:id="426"/>
    <w:bookmarkEnd w:id="427"/>
    <w:bookmarkEnd w:id="428"/>
    <w:p>
      <w:pPr>
        <w:pStyle w:val="5"/>
        <w:tabs>
          <w:tab w:val="left" w:pos="0"/>
        </w:tabs>
        <w:rPr>
          <w:rFonts w:hint="default" w:ascii="Times New Roman" w:hAnsi="Times New Roman" w:cs="Times New Roman"/>
          <w:color w:val="auto"/>
          <w:lang w:val="en-US"/>
        </w:rPr>
      </w:pPr>
      <w:r>
        <w:rPr>
          <w:rFonts w:hint="default" w:ascii="Times New Roman" w:hAnsi="Times New Roman" w:cs="Times New Roman"/>
          <w:color w:val="auto"/>
          <w:lang w:val="en-US"/>
        </w:rPr>
        <w:t>4.2.1</w:t>
      </w:r>
      <w:bookmarkStart w:id="473" w:name="_Toc6813"/>
      <w:bookmarkStart w:id="474" w:name="_Toc4852_WPSOffice_Level3"/>
      <w:bookmarkStart w:id="475" w:name="_Toc16622"/>
      <w:r>
        <w:rPr>
          <w:rFonts w:hint="default" w:ascii="Times New Roman" w:hAnsi="Times New Roman" w:cs="Times New Roman"/>
          <w:color w:val="auto"/>
          <w:lang w:val="en-US"/>
        </w:rPr>
        <w:t>环境空气质量现状监测与评价</w:t>
      </w:r>
      <w:bookmarkEnd w:id="473"/>
      <w:bookmarkEnd w:id="474"/>
      <w:bookmarkEnd w:id="475"/>
    </w:p>
    <w:p>
      <w:pPr>
        <w:pStyle w:val="5"/>
        <w:tabs>
          <w:tab w:val="left" w:pos="0"/>
        </w:tabs>
        <w:rPr>
          <w:rFonts w:hint="default" w:ascii="Times New Roman" w:hAnsi="Times New Roman" w:cs="Times New Roman"/>
          <w:color w:val="auto"/>
          <w:lang w:val="en-US"/>
        </w:rPr>
      </w:pPr>
      <w:r>
        <w:rPr>
          <w:rFonts w:hint="default" w:ascii="Times New Roman" w:hAnsi="Times New Roman" w:cs="Times New Roman"/>
          <w:color w:val="auto"/>
          <w:lang w:val="en-US"/>
        </w:rPr>
        <w:t>4.2.1.1区域环境空气质量现状</w:t>
      </w:r>
    </w:p>
    <w:p>
      <w:pPr>
        <w:ind w:firstLine="480"/>
        <w:rPr>
          <w:rFonts w:hint="default" w:ascii="Times New Roman" w:hAnsi="Times New Roman" w:cs="Times New Roman"/>
          <w:color w:val="auto"/>
        </w:rPr>
      </w:pPr>
      <w:r>
        <w:rPr>
          <w:rFonts w:hint="default" w:ascii="Times New Roman" w:hAnsi="Times New Roman" w:cs="Times New Roman"/>
          <w:bCs/>
          <w:color w:val="auto"/>
        </w:rPr>
        <w:t>根据大气功能区划分，项目所在地为二类功能区，环境空气质量执行《环境空气质量标准》（GB3095-2012）中二级标准。根据</w:t>
      </w:r>
      <w:r>
        <w:rPr>
          <w:rFonts w:hint="default" w:ascii="Times New Roman" w:hAnsi="Times New Roman" w:cs="Times New Roman"/>
          <w:bCs/>
          <w:color w:val="auto"/>
          <w:lang w:eastAsia="zh-CN"/>
        </w:rPr>
        <w:t>濮阳市环境保护局公布的</w:t>
      </w:r>
      <w:r>
        <w:rPr>
          <w:rFonts w:hint="default" w:ascii="Times New Roman" w:hAnsi="Times New Roman" w:cs="Times New Roman"/>
          <w:bCs/>
          <w:color w:val="auto"/>
          <w:lang w:val="en-US" w:eastAsia="zh-CN"/>
        </w:rPr>
        <w:t>2018年濮阳市清丰县产业集聚区环境质量概况</w:t>
      </w:r>
      <w:r>
        <w:rPr>
          <w:rFonts w:hint="default" w:ascii="Times New Roman" w:hAnsi="Times New Roman" w:cs="Times New Roman"/>
          <w:bCs/>
          <w:color w:val="auto"/>
        </w:rPr>
        <w:t>，区域空气质量达标区判定见表4.2-1</w:t>
      </w:r>
      <w:r>
        <w:rPr>
          <w:rFonts w:hint="default" w:ascii="Times New Roman" w:hAnsi="Times New Roman" w:cs="Times New Roman"/>
          <w:color w:val="auto"/>
        </w:rPr>
        <w:t>。</w:t>
      </w:r>
    </w:p>
    <w:p>
      <w:pPr>
        <w:ind w:firstLine="482"/>
        <w:jc w:val="center"/>
        <w:rPr>
          <w:rFonts w:hint="default" w:ascii="Times New Roman" w:hAnsi="Times New Roman" w:cs="Times New Roman"/>
          <w:b/>
          <w:color w:val="auto"/>
          <w:sz w:val="21"/>
          <w:szCs w:val="21"/>
        </w:rPr>
      </w:pPr>
      <w:r>
        <w:rPr>
          <w:rFonts w:hint="default" w:ascii="Times New Roman" w:hAnsi="Times New Roman" w:cs="Times New Roman"/>
          <w:b/>
          <w:color w:val="auto"/>
        </w:rPr>
        <w:t>表4.2-1 空气质量现状评价表</w:t>
      </w:r>
    </w:p>
    <w:tbl>
      <w:tblPr>
        <w:tblStyle w:val="25"/>
        <w:tblW w:w="900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89"/>
        <w:gridCol w:w="1659"/>
        <w:gridCol w:w="1996"/>
        <w:gridCol w:w="1796"/>
        <w:gridCol w:w="1206"/>
        <w:gridCol w:w="11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eastAsia="zh-CN"/>
              </w:rPr>
              <w:t>评价因子</w:t>
            </w:r>
          </w:p>
        </w:tc>
        <w:tc>
          <w:tcPr>
            <w:tcW w:w="16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eastAsia="zh-CN"/>
              </w:rPr>
              <w:t>平均时段</w:t>
            </w:r>
          </w:p>
        </w:tc>
        <w:tc>
          <w:tcPr>
            <w:tcW w:w="1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eastAsia="zh-CN"/>
              </w:rPr>
              <w:t>现状浓度（μg/m</w:t>
            </w:r>
            <w:r>
              <w:rPr>
                <w:rFonts w:hint="default" w:ascii="Times New Roman" w:hAnsi="Times New Roman" w:cs="Times New Roman"/>
                <w:bCs/>
                <w:color w:val="auto"/>
                <w:sz w:val="21"/>
                <w:szCs w:val="21"/>
                <w:highlight w:val="none"/>
                <w:vertAlign w:val="superscript"/>
                <w:lang w:eastAsia="zh-CN"/>
              </w:rPr>
              <w:t>3</w:t>
            </w:r>
            <w:r>
              <w:rPr>
                <w:rFonts w:hint="default" w:ascii="Times New Roman" w:hAnsi="Times New Roman" w:cs="Times New Roman"/>
                <w:bCs/>
                <w:color w:val="auto"/>
                <w:sz w:val="21"/>
                <w:szCs w:val="21"/>
                <w:highlight w:val="none"/>
                <w:lang w:eastAsia="zh-CN"/>
              </w:rPr>
              <w:t>）</w:t>
            </w:r>
          </w:p>
        </w:tc>
        <w:tc>
          <w:tcPr>
            <w:tcW w:w="17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eastAsia="zh-CN"/>
              </w:rPr>
              <w:t>标准值（μg/m</w:t>
            </w:r>
            <w:r>
              <w:rPr>
                <w:rFonts w:hint="default" w:ascii="Times New Roman" w:hAnsi="Times New Roman" w:cs="Times New Roman"/>
                <w:bCs/>
                <w:color w:val="auto"/>
                <w:sz w:val="21"/>
                <w:szCs w:val="21"/>
                <w:highlight w:val="none"/>
                <w:vertAlign w:val="superscript"/>
                <w:lang w:eastAsia="zh-CN"/>
              </w:rPr>
              <w:t>3</w:t>
            </w:r>
            <w:r>
              <w:rPr>
                <w:rFonts w:hint="default" w:ascii="Times New Roman" w:hAnsi="Times New Roman" w:cs="Times New Roman"/>
                <w:bCs/>
                <w:color w:val="auto"/>
                <w:sz w:val="21"/>
                <w:szCs w:val="21"/>
                <w:highlight w:val="none"/>
                <w:lang w:eastAsia="zh-CN"/>
              </w:rPr>
              <w:t>）</w:t>
            </w:r>
          </w:p>
        </w:tc>
        <w:tc>
          <w:tcPr>
            <w:tcW w:w="12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eastAsia="zh-CN"/>
              </w:rPr>
              <w:t>超标倍数</w:t>
            </w:r>
          </w:p>
        </w:tc>
        <w:tc>
          <w:tcPr>
            <w:tcW w:w="11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eastAsia="zh-CN"/>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eastAsia="zh-CN"/>
              </w:rPr>
              <w:t>PM</w:t>
            </w:r>
            <w:r>
              <w:rPr>
                <w:rFonts w:hint="default" w:ascii="Times New Roman" w:hAnsi="Times New Roman" w:cs="Times New Roman"/>
                <w:bCs/>
                <w:color w:val="auto"/>
                <w:sz w:val="21"/>
                <w:szCs w:val="21"/>
                <w:highlight w:val="none"/>
                <w:vertAlign w:val="subscript"/>
                <w:lang w:eastAsia="zh-CN"/>
              </w:rPr>
              <w:t>2.5</w:t>
            </w:r>
          </w:p>
        </w:tc>
        <w:tc>
          <w:tcPr>
            <w:tcW w:w="16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eastAsia="zh-CN"/>
              </w:rPr>
              <w:t>年均值</w:t>
            </w:r>
          </w:p>
        </w:tc>
        <w:tc>
          <w:tcPr>
            <w:tcW w:w="1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val="en-US" w:eastAsia="zh-CN"/>
              </w:rPr>
              <w:t>65</w:t>
            </w:r>
          </w:p>
        </w:tc>
        <w:tc>
          <w:tcPr>
            <w:tcW w:w="17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val="en-US" w:eastAsia="zh-CN"/>
              </w:rPr>
              <w:t>35</w:t>
            </w:r>
          </w:p>
        </w:tc>
        <w:tc>
          <w:tcPr>
            <w:tcW w:w="12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val="en-US" w:eastAsia="zh-CN"/>
              </w:rPr>
              <w:t>0.86</w:t>
            </w:r>
          </w:p>
        </w:tc>
        <w:tc>
          <w:tcPr>
            <w:tcW w:w="11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eastAsia="zh-CN"/>
              </w:rPr>
              <w:t>不达标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eastAsia="zh-CN"/>
              </w:rPr>
              <w:t>PM</w:t>
            </w:r>
            <w:r>
              <w:rPr>
                <w:rFonts w:hint="default" w:ascii="Times New Roman" w:hAnsi="Times New Roman" w:cs="Times New Roman"/>
                <w:bCs/>
                <w:color w:val="auto"/>
                <w:sz w:val="21"/>
                <w:szCs w:val="21"/>
                <w:highlight w:val="none"/>
                <w:vertAlign w:val="subscript"/>
                <w:lang w:eastAsia="zh-CN"/>
              </w:rPr>
              <w:t>10</w:t>
            </w:r>
          </w:p>
        </w:tc>
        <w:tc>
          <w:tcPr>
            <w:tcW w:w="16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eastAsia="zh-CN"/>
              </w:rPr>
              <w:t>年均值</w:t>
            </w:r>
          </w:p>
        </w:tc>
        <w:tc>
          <w:tcPr>
            <w:tcW w:w="1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val="en-US" w:eastAsia="zh-CN"/>
              </w:rPr>
              <w:t>125</w:t>
            </w:r>
          </w:p>
        </w:tc>
        <w:tc>
          <w:tcPr>
            <w:tcW w:w="17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val="en-US" w:eastAsia="zh-CN"/>
              </w:rPr>
              <w:t>70</w:t>
            </w:r>
          </w:p>
        </w:tc>
        <w:tc>
          <w:tcPr>
            <w:tcW w:w="12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val="en-US" w:eastAsia="zh-CN"/>
              </w:rPr>
              <w:t>0.79</w:t>
            </w:r>
          </w:p>
        </w:tc>
        <w:tc>
          <w:tcPr>
            <w:tcW w:w="11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eastAsia="zh-CN"/>
              </w:rPr>
              <w:t>不达标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eastAsia="zh-CN"/>
              </w:rPr>
              <w:t>SO</w:t>
            </w:r>
            <w:r>
              <w:rPr>
                <w:rFonts w:hint="default" w:ascii="Times New Roman" w:hAnsi="Times New Roman" w:cs="Times New Roman"/>
                <w:bCs/>
                <w:color w:val="auto"/>
                <w:sz w:val="21"/>
                <w:szCs w:val="21"/>
                <w:highlight w:val="none"/>
                <w:vertAlign w:val="subscript"/>
                <w:lang w:eastAsia="zh-CN"/>
              </w:rPr>
              <w:t>2</w:t>
            </w:r>
          </w:p>
        </w:tc>
        <w:tc>
          <w:tcPr>
            <w:tcW w:w="16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eastAsia="zh-CN"/>
              </w:rPr>
              <w:t>年均值</w:t>
            </w:r>
          </w:p>
        </w:tc>
        <w:tc>
          <w:tcPr>
            <w:tcW w:w="1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val="en-US" w:eastAsia="zh-CN"/>
              </w:rPr>
              <w:t>11</w:t>
            </w:r>
          </w:p>
        </w:tc>
        <w:tc>
          <w:tcPr>
            <w:tcW w:w="17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val="en-US" w:eastAsia="zh-CN"/>
              </w:rPr>
              <w:t>60</w:t>
            </w:r>
          </w:p>
        </w:tc>
        <w:tc>
          <w:tcPr>
            <w:tcW w:w="12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val="en-US" w:eastAsia="zh-CN"/>
              </w:rPr>
              <w:t>0</w:t>
            </w:r>
          </w:p>
        </w:tc>
        <w:tc>
          <w:tcPr>
            <w:tcW w:w="11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eastAsia="zh-CN"/>
              </w:rPr>
              <w:t>NO</w:t>
            </w:r>
            <w:r>
              <w:rPr>
                <w:rFonts w:hint="default" w:ascii="Times New Roman" w:hAnsi="Times New Roman" w:cs="Times New Roman"/>
                <w:bCs/>
                <w:color w:val="auto"/>
                <w:sz w:val="21"/>
                <w:szCs w:val="21"/>
                <w:highlight w:val="none"/>
                <w:vertAlign w:val="subscript"/>
                <w:lang w:eastAsia="zh-CN"/>
              </w:rPr>
              <w:t>2</w:t>
            </w:r>
          </w:p>
        </w:tc>
        <w:tc>
          <w:tcPr>
            <w:tcW w:w="16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eastAsia="zh-CN"/>
              </w:rPr>
              <w:t>年均值</w:t>
            </w:r>
          </w:p>
        </w:tc>
        <w:tc>
          <w:tcPr>
            <w:tcW w:w="1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val="en-US" w:eastAsia="zh-CN"/>
              </w:rPr>
              <w:t>40</w:t>
            </w:r>
          </w:p>
        </w:tc>
        <w:tc>
          <w:tcPr>
            <w:tcW w:w="17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val="en-US" w:eastAsia="zh-CN"/>
              </w:rPr>
              <w:t>40</w:t>
            </w:r>
          </w:p>
        </w:tc>
        <w:tc>
          <w:tcPr>
            <w:tcW w:w="12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eastAsia="zh-CN"/>
              </w:rPr>
              <w:t>0</w:t>
            </w:r>
          </w:p>
        </w:tc>
        <w:tc>
          <w:tcPr>
            <w:tcW w:w="11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eastAsia="zh-CN"/>
              </w:rPr>
              <w:t>O</w:t>
            </w:r>
            <w:r>
              <w:rPr>
                <w:rFonts w:hint="default" w:ascii="Times New Roman" w:hAnsi="Times New Roman" w:cs="Times New Roman"/>
                <w:bCs/>
                <w:color w:val="auto"/>
                <w:sz w:val="21"/>
                <w:szCs w:val="21"/>
                <w:highlight w:val="none"/>
                <w:vertAlign w:val="subscript"/>
                <w:lang w:eastAsia="zh-CN"/>
              </w:rPr>
              <w:t>3</w:t>
            </w:r>
          </w:p>
        </w:tc>
        <w:tc>
          <w:tcPr>
            <w:tcW w:w="16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eastAsia="zh-CN"/>
              </w:rPr>
              <w:t>8小时平均值</w:t>
            </w:r>
          </w:p>
        </w:tc>
        <w:tc>
          <w:tcPr>
            <w:tcW w:w="1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val="en-US" w:eastAsia="zh-CN"/>
              </w:rPr>
              <w:t>142</w:t>
            </w:r>
          </w:p>
        </w:tc>
        <w:tc>
          <w:tcPr>
            <w:tcW w:w="17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eastAsia="zh-CN"/>
              </w:rPr>
              <w:t>160</w:t>
            </w:r>
          </w:p>
        </w:tc>
        <w:tc>
          <w:tcPr>
            <w:tcW w:w="12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eastAsia="zh-CN"/>
              </w:rPr>
              <w:t>0</w:t>
            </w:r>
          </w:p>
        </w:tc>
        <w:tc>
          <w:tcPr>
            <w:tcW w:w="11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eastAsia="zh-CN"/>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eastAsia="zh-CN"/>
              </w:rPr>
              <w:t>CO</w:t>
            </w:r>
          </w:p>
        </w:tc>
        <w:tc>
          <w:tcPr>
            <w:tcW w:w="16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eastAsia="zh-CN"/>
              </w:rPr>
              <w:t>24小时平均</w:t>
            </w:r>
          </w:p>
        </w:tc>
        <w:tc>
          <w:tcPr>
            <w:tcW w:w="19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val="en-US" w:eastAsia="zh-CN"/>
              </w:rPr>
              <w:t>3.094</w:t>
            </w:r>
            <w:r>
              <w:rPr>
                <w:rFonts w:hint="default" w:ascii="Times New Roman" w:hAnsi="Times New Roman" w:cs="Times New Roman"/>
                <w:bCs/>
                <w:color w:val="auto"/>
                <w:sz w:val="21"/>
                <w:szCs w:val="21"/>
                <w:highlight w:val="none"/>
                <w:lang w:eastAsia="zh-CN"/>
              </w:rPr>
              <w:t>mg/m</w:t>
            </w:r>
            <w:r>
              <w:rPr>
                <w:rFonts w:hint="default" w:ascii="Times New Roman" w:hAnsi="Times New Roman" w:cs="Times New Roman"/>
                <w:bCs/>
                <w:color w:val="auto"/>
                <w:sz w:val="21"/>
                <w:szCs w:val="21"/>
                <w:highlight w:val="none"/>
                <w:vertAlign w:val="superscript"/>
                <w:lang w:eastAsia="zh-CN"/>
              </w:rPr>
              <w:t>3</w:t>
            </w:r>
          </w:p>
        </w:tc>
        <w:tc>
          <w:tcPr>
            <w:tcW w:w="17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val="en-US" w:eastAsia="zh-CN"/>
              </w:rPr>
              <w:t>4</w:t>
            </w:r>
            <w:r>
              <w:rPr>
                <w:rFonts w:hint="default" w:ascii="Times New Roman" w:hAnsi="Times New Roman" w:cs="Times New Roman"/>
                <w:bCs/>
                <w:color w:val="auto"/>
                <w:sz w:val="21"/>
                <w:szCs w:val="21"/>
                <w:highlight w:val="none"/>
                <w:lang w:eastAsia="zh-CN"/>
              </w:rPr>
              <w:t>mg/m</w:t>
            </w:r>
            <w:r>
              <w:rPr>
                <w:rFonts w:hint="default" w:ascii="Times New Roman" w:hAnsi="Times New Roman" w:cs="Times New Roman"/>
                <w:bCs/>
                <w:color w:val="auto"/>
                <w:sz w:val="21"/>
                <w:szCs w:val="21"/>
                <w:highlight w:val="none"/>
                <w:vertAlign w:val="superscript"/>
                <w:lang w:eastAsia="zh-CN"/>
              </w:rPr>
              <w:t>3</w:t>
            </w:r>
          </w:p>
        </w:tc>
        <w:tc>
          <w:tcPr>
            <w:tcW w:w="12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eastAsia="zh-CN"/>
              </w:rPr>
              <w:t>0</w:t>
            </w:r>
          </w:p>
        </w:tc>
        <w:tc>
          <w:tcPr>
            <w:tcW w:w="11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lang w:eastAsia="zh-CN"/>
              </w:rPr>
              <w:t>达标</w:t>
            </w:r>
          </w:p>
        </w:tc>
      </w:tr>
    </w:tbl>
    <w:p>
      <w:pPr>
        <w:pStyle w:val="7"/>
        <w:numPr>
          <w:ilvl w:val="0"/>
          <w:numId w:val="0"/>
        </w:numPr>
        <w:ind w:firstLine="480" w:firstLineChars="200"/>
        <w:rPr>
          <w:rFonts w:hint="default" w:ascii="Times New Roman" w:hAnsi="Times New Roman" w:cs="Times New Roman"/>
          <w:color w:val="auto"/>
          <w:sz w:val="24"/>
          <w:szCs w:val="24"/>
        </w:rPr>
      </w:pPr>
      <w:r>
        <w:rPr>
          <w:rFonts w:hint="default" w:ascii="Times New Roman" w:hAnsi="Times New Roman" w:cs="Times New Roman"/>
          <w:bCs/>
          <w:color w:val="auto"/>
          <w:sz w:val="24"/>
        </w:rPr>
        <w:t>2018年濮阳市</w:t>
      </w:r>
      <w:r>
        <w:rPr>
          <w:rFonts w:hint="default" w:ascii="Times New Roman" w:hAnsi="Times New Roman" w:cs="Times New Roman"/>
          <w:bCs/>
          <w:color w:val="auto"/>
          <w:sz w:val="24"/>
          <w:lang w:eastAsia="zh-CN"/>
        </w:rPr>
        <w:t>清丰县</w:t>
      </w:r>
      <w:r>
        <w:rPr>
          <w:rFonts w:hint="default" w:ascii="Times New Roman" w:hAnsi="Times New Roman" w:cs="Times New Roman"/>
          <w:bCs/>
          <w:color w:val="auto"/>
          <w:sz w:val="24"/>
        </w:rPr>
        <w:t>环境空气中二氧化硫年均值、二氧化氮年均值、一氧化碳24小时、O</w:t>
      </w:r>
      <w:r>
        <w:rPr>
          <w:rFonts w:hint="default" w:ascii="Times New Roman" w:hAnsi="Times New Roman" w:cs="Times New Roman"/>
          <w:bCs/>
          <w:color w:val="auto"/>
          <w:sz w:val="24"/>
          <w:vertAlign w:val="subscript"/>
        </w:rPr>
        <w:t>3</w:t>
      </w:r>
      <w:r>
        <w:rPr>
          <w:rFonts w:hint="default" w:ascii="Times New Roman" w:hAnsi="Times New Roman" w:cs="Times New Roman"/>
          <w:bCs/>
          <w:color w:val="auto"/>
          <w:sz w:val="24"/>
        </w:rPr>
        <w:t>8小时平均值均达到环境空气质量二级标准；PM</w:t>
      </w:r>
      <w:r>
        <w:rPr>
          <w:rFonts w:hint="default" w:ascii="Times New Roman" w:hAnsi="Times New Roman" w:cs="Times New Roman"/>
          <w:bCs/>
          <w:color w:val="auto"/>
          <w:sz w:val="24"/>
          <w:vertAlign w:val="subscript"/>
        </w:rPr>
        <w:t>2.5</w:t>
      </w:r>
      <w:r>
        <w:rPr>
          <w:rFonts w:hint="default" w:ascii="Times New Roman" w:hAnsi="Times New Roman" w:cs="Times New Roman"/>
          <w:bCs/>
          <w:color w:val="auto"/>
          <w:sz w:val="24"/>
        </w:rPr>
        <w:t>年均值、PM</w:t>
      </w:r>
      <w:r>
        <w:rPr>
          <w:rFonts w:hint="default" w:ascii="Times New Roman" w:hAnsi="Times New Roman" w:cs="Times New Roman"/>
          <w:bCs/>
          <w:color w:val="auto"/>
          <w:sz w:val="24"/>
          <w:vertAlign w:val="subscript"/>
        </w:rPr>
        <w:t>10</w:t>
      </w:r>
      <w:r>
        <w:rPr>
          <w:rFonts w:hint="default" w:ascii="Times New Roman" w:hAnsi="Times New Roman" w:cs="Times New Roman"/>
          <w:bCs/>
          <w:color w:val="auto"/>
          <w:sz w:val="24"/>
        </w:rPr>
        <w:t>年均值均超过环境空气质量二级标准，超标倍数分别为0.8</w:t>
      </w:r>
      <w:r>
        <w:rPr>
          <w:rFonts w:hint="default" w:ascii="Times New Roman" w:hAnsi="Times New Roman" w:cs="Times New Roman"/>
          <w:bCs/>
          <w:color w:val="auto"/>
          <w:sz w:val="24"/>
          <w:lang w:val="en-US" w:eastAsia="zh-CN"/>
        </w:rPr>
        <w:t>6</w:t>
      </w:r>
      <w:r>
        <w:rPr>
          <w:rFonts w:hint="default" w:ascii="Times New Roman" w:hAnsi="Times New Roman" w:cs="Times New Roman"/>
          <w:bCs/>
          <w:color w:val="auto"/>
          <w:sz w:val="24"/>
        </w:rPr>
        <w:t>、0.</w:t>
      </w:r>
      <w:r>
        <w:rPr>
          <w:rFonts w:hint="default" w:ascii="Times New Roman" w:hAnsi="Times New Roman" w:cs="Times New Roman"/>
          <w:bCs/>
          <w:color w:val="auto"/>
          <w:sz w:val="24"/>
          <w:lang w:val="en-US" w:eastAsia="zh-CN"/>
        </w:rPr>
        <w:t>79</w:t>
      </w:r>
      <w:r>
        <w:rPr>
          <w:rFonts w:hint="default" w:ascii="Times New Roman" w:hAnsi="Times New Roman" w:cs="Times New Roman"/>
          <w:bCs/>
          <w:color w:val="auto"/>
          <w:sz w:val="24"/>
        </w:rPr>
        <w:t>，因此判定为非达标区</w:t>
      </w:r>
      <w:r>
        <w:rPr>
          <w:rFonts w:hint="default" w:ascii="Times New Roman" w:hAnsi="Times New Roman" w:cs="Times New Roman"/>
          <w:color w:val="auto"/>
          <w:sz w:val="24"/>
          <w:szCs w:val="24"/>
        </w:rPr>
        <w:t>。</w:t>
      </w:r>
    </w:p>
    <w:p>
      <w:pPr>
        <w:pStyle w:val="7"/>
        <w:numPr>
          <w:ilvl w:val="0"/>
          <w:numId w:val="0"/>
        </w:numPr>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清丰县</w:t>
      </w:r>
      <w:r>
        <w:rPr>
          <w:rFonts w:hint="default" w:ascii="Times New Roman" w:hAnsi="Times New Roman" w:cs="Times New Roman"/>
          <w:color w:val="auto"/>
          <w:sz w:val="24"/>
          <w:szCs w:val="24"/>
        </w:rPr>
        <w:t>根据《河南省污染防治攻坚战三年行动计划（2018-2020年）》</w:t>
      </w:r>
      <w:r>
        <w:rPr>
          <w:rFonts w:hint="default" w:ascii="Times New Roman" w:hAnsi="Times New Roman" w:cs="Times New Roman"/>
          <w:color w:val="auto"/>
          <w:sz w:val="24"/>
          <w:szCs w:val="24"/>
          <w:lang w:eastAsia="zh-CN"/>
        </w:rPr>
        <w:t>、《濮阳市县</w:t>
      </w:r>
      <w:r>
        <w:rPr>
          <w:rFonts w:hint="default" w:ascii="Times New Roman" w:hAnsi="Times New Roman" w:cs="Times New Roman"/>
          <w:color w:val="auto"/>
          <w:sz w:val="24"/>
          <w:szCs w:val="24"/>
        </w:rPr>
        <w:t>污染防治攻坚战三年行动计划实施方案（2018-2020年）</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，制定了《</w:t>
      </w:r>
      <w:r>
        <w:rPr>
          <w:rFonts w:hint="default" w:ascii="Times New Roman" w:hAnsi="Times New Roman" w:cs="Times New Roman"/>
          <w:color w:val="auto"/>
          <w:sz w:val="24"/>
          <w:szCs w:val="24"/>
          <w:lang w:eastAsia="zh-CN"/>
        </w:rPr>
        <w:t>清丰县</w:t>
      </w:r>
      <w:r>
        <w:rPr>
          <w:rFonts w:hint="default" w:ascii="Times New Roman" w:hAnsi="Times New Roman" w:cs="Times New Roman"/>
          <w:color w:val="auto"/>
          <w:sz w:val="24"/>
          <w:szCs w:val="24"/>
        </w:rPr>
        <w:t>污染防治攻坚战三年行动计划实施方案（2018-2020年）》，围绕大气污染防治目标，要求着力打好结构调整优化、工业企业绿色升级、柴油货车治理、城乡扬尘全面清洁、环境质量监控全覆盖五个标志性攻坚战役。</w:t>
      </w:r>
      <w:r>
        <w:rPr>
          <w:rFonts w:hint="default" w:ascii="Times New Roman" w:hAnsi="Times New Roman" w:cs="Times New Roman"/>
          <w:color w:val="auto"/>
          <w:sz w:val="24"/>
          <w:szCs w:val="24"/>
          <w:lang w:eastAsia="zh-CN"/>
        </w:rPr>
        <w:t>具体措施有</w:t>
      </w:r>
      <w:r>
        <w:rPr>
          <w:rFonts w:hint="default" w:ascii="Times New Roman" w:hAnsi="Times New Roman" w:cs="Times New Roman"/>
          <w:color w:val="auto"/>
          <w:sz w:val="24"/>
          <w:szCs w:val="24"/>
          <w:lang w:val="en-US" w:eastAsia="zh-CN"/>
        </w:rPr>
        <w:t>：</w:t>
      </w:r>
    </w:p>
    <w:p>
      <w:pPr>
        <w:pStyle w:val="7"/>
        <w:numPr>
          <w:ilvl w:val="0"/>
          <w:numId w:val="0"/>
        </w:numPr>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1．逐步削减煤炭消费总量</w:t>
      </w:r>
    </w:p>
    <w:p>
      <w:pPr>
        <w:pStyle w:val="7"/>
        <w:numPr>
          <w:ilvl w:val="0"/>
          <w:numId w:val="0"/>
        </w:numPr>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严格落实《河南省人民政府办公厅关于印发河南省“十三五”煤炭消费总量控制工作方案的通知》（豫政办〔2017〕82号），强化电力、煤炭、钢铁、化工、有色、建材等重点行业煤炭消费减量措施，淘汰一批能耗高于全国平均水平的低效产能，提高煤炭清洁利用水平。到2018年底，城市煤炭消费总量下降3.2%。到2020年，全县煤炭消费总量较2015年下降15%。</w:t>
      </w:r>
    </w:p>
    <w:p>
      <w:pPr>
        <w:pStyle w:val="7"/>
        <w:numPr>
          <w:ilvl w:val="0"/>
          <w:numId w:val="0"/>
        </w:numPr>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 构建全县清洁取暖体系</w:t>
      </w:r>
    </w:p>
    <w:p>
      <w:pPr>
        <w:pStyle w:val="7"/>
        <w:numPr>
          <w:ilvl w:val="0"/>
          <w:numId w:val="0"/>
        </w:numPr>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基本实现城区集中供暖全覆盖。依据现有集中供暖资源和设施，在已有集中供暖管网的区域，深入排查居民供暖需求，推动富裕供暖能力向合理半径延伸，深挖供暖潜力，减少供暖盲区。2018年10月底前，集中供暖普及率达到85%以上。2019年10月底前，县城建成区集中供暖普及率达到90%以上；2020年底前，城区集中供暖普及率达到92%。</w:t>
      </w:r>
    </w:p>
    <w:p>
      <w:pPr>
        <w:pStyle w:val="7"/>
        <w:numPr>
          <w:ilvl w:val="0"/>
          <w:numId w:val="0"/>
        </w:numPr>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大力推进清洁能源取暖。集中供热管网覆盖区域外，在电力供应有保障的地区，实施电能清洁取暖工程，加快推广地源、水源和空气源热泵技术，建设一批分布式电能供暖项目；在天然气管网覆盖到的区域，在落实气源合同的前提下，有序建设燃气锅炉房、天然气分布式能源项目；按照因地制宜原则，建设一批地热、生物质、工业余热等供暖示范项目，推广碳晶、发热电缆、电热膜、电空调等和燃气壁挂炉等分散式取暖，燃气壁挂炉能效不得低于2级水平。“煤改气”坚持“以气定改”，确保安全施工、安全使用、安全管理。2018年，县城和城乡结合部、农村地区清洁取暖率分别达到50%、30%；2019年分别达到70%、40%；2020年分别达到75%、50%。</w:t>
      </w:r>
    </w:p>
    <w:p>
      <w:pPr>
        <w:pStyle w:val="7"/>
        <w:numPr>
          <w:ilvl w:val="0"/>
          <w:numId w:val="0"/>
        </w:numPr>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3）加强清洁型煤质量监管。依托全县现有洁净型煤生产、仓储、供应和配送网点体系，在不具备清洁取暖条件的农村地区，继续实施洁净型煤替代散煤，将清洁型煤作为清洁供暖体系的有益补偿措施。集中资源推进重点区域散煤治理，优先以乡镇、村整体推进。持续组织开展县、乡、村三级燃煤散烧治理专项检查行动，依法严厉打击销售不合格清洁型煤行为。逐步扩大城区高污染燃料禁燃区范围，完成散煤清洁替代的区域划定为高污染燃料禁燃区。2020年采暖季前，在保障能源供应的前提下，对暂不具备清洁能源替代条件的村庄，积极推广洁净煤。</w:t>
      </w:r>
    </w:p>
    <w:p>
      <w:pPr>
        <w:pStyle w:val="7"/>
        <w:numPr>
          <w:ilvl w:val="0"/>
          <w:numId w:val="0"/>
        </w:numPr>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3. 开展工业燃煤设施拆改</w:t>
      </w:r>
    </w:p>
    <w:p>
      <w:pPr>
        <w:pStyle w:val="7"/>
        <w:numPr>
          <w:ilvl w:val="0"/>
          <w:numId w:val="0"/>
        </w:numPr>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2018年9月底前，按照“主体移位、切断连接、清除燃料、永不复用”标准，完成全县所有燃料类工业煤气发生炉、燃煤热风炉、燃煤导热油炉的拆除或清洁能源改造工作。2020年底前，重点区域取缔燃煤热风炉，基本淘汰燃煤加热、烘干炉（窑）；淘汰炉膛直径3米以下燃料类煤气发生炉。</w:t>
      </w:r>
    </w:p>
    <w:p>
      <w:pPr>
        <w:pStyle w:val="7"/>
        <w:numPr>
          <w:ilvl w:val="0"/>
          <w:numId w:val="0"/>
        </w:numPr>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4. 推进燃煤锅炉综合整治</w:t>
      </w:r>
    </w:p>
    <w:p>
      <w:pPr>
        <w:pStyle w:val="7"/>
        <w:numPr>
          <w:ilvl w:val="0"/>
          <w:numId w:val="0"/>
        </w:numPr>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逐步扩大燃煤锅炉拆除和清洁能源改造范围，2020年底前，基本淘汰全县35蒸吨/时及以下燃煤锅炉。锅炉拆改实施逐年递减的资金奖补方式，对2018年10月底前完成拆改的燃煤锅炉，给予6万元/蒸吨资金奖补；对2019年10月底前完成拆改的燃煤锅炉，给予4万元/蒸吨资金奖补；对2020年10月底后完成拆改的燃煤锅炉，不再给予资金奖补。淘汰方式主要包括拆除、集中供热替代、煤改气、煤改电，改用地热、风能、太阳能、配备布袋除尘器的生物质能，不包括改燃洁净型煤、水煤浆、无烟煤、兰炭、绿焦、原油等，且必须拆除烟囱或物理切断烟道，不具备复产条件。严禁用已经关停、淘汰的废旧燃煤锅炉套取奖补资金。重点区域燃气锅炉基本完成低氮改造，县城建成区生物质锅炉实施超低排放改造。对不能稳定达标排放、改造升级无望的污染企业，依法依规停产限产、关停退出。全县原则上不再办理使用登记和审批35蒸吨/时及以下燃煤锅炉。</w:t>
      </w:r>
    </w:p>
    <w:p>
      <w:pPr>
        <w:pStyle w:val="7"/>
        <w:numPr>
          <w:ilvl w:val="0"/>
          <w:numId w:val="0"/>
        </w:numPr>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5.提升多元化能源供应保障能力</w:t>
      </w:r>
    </w:p>
    <w:p>
      <w:pPr>
        <w:pStyle w:val="7"/>
        <w:numPr>
          <w:ilvl w:val="0"/>
          <w:numId w:val="0"/>
        </w:numPr>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扩大天然气利用规模和供应保障能力。深入推进城镇天然气利用工程，不断提高县、乡气化水平。鼓励天然气下乡，灵活采取管道及CNG（压缩天然气）、LNG（液化天然气）供气站等多种方式供应。新增天然气量优先用于城镇居民的生活和冬季取暖散煤替代，采暖季期间，天然气要突出“压非保民”。</w:t>
      </w:r>
    </w:p>
    <w:p>
      <w:pPr>
        <w:pStyle w:val="7"/>
        <w:numPr>
          <w:ilvl w:val="0"/>
          <w:numId w:val="0"/>
        </w:numPr>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大力发展非化石能源。大力推进风电项目建设，鼓励符合条件的区域建设大型风电基地，有序推进我县低风速平原风电项目建设，因地制宜推动分散式风电开发。积极发展地热供暖（制冷），全县新增地热供暖面积200万平方米。到2020年，可再生能源占全省能源消费总量的比重达到7%以上。</w:t>
      </w:r>
    </w:p>
    <w:p>
      <w:pPr>
        <w:pStyle w:val="7"/>
        <w:numPr>
          <w:ilvl w:val="0"/>
          <w:numId w:val="0"/>
        </w:numPr>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6.加快农村电网保障能力</w:t>
      </w:r>
    </w:p>
    <w:p>
      <w:pPr>
        <w:pStyle w:val="7"/>
        <w:numPr>
          <w:ilvl w:val="0"/>
          <w:numId w:val="0"/>
        </w:numPr>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县电力公司要统筹推进输变电工程建设，满足居民采暖用电需求。各乡镇、各相关单位对“煤改电”配套电网工程应给予支持，统筹协调“煤改电”、“煤改气”建设用地。</w:t>
      </w:r>
    </w:p>
    <w:p>
      <w:pPr>
        <w:pStyle w:val="7"/>
        <w:numPr>
          <w:ilvl w:val="0"/>
          <w:numId w:val="0"/>
        </w:numPr>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7.有序推进建筑节能减排</w:t>
      </w:r>
    </w:p>
    <w:p>
      <w:pPr>
        <w:pStyle w:val="7"/>
        <w:numPr>
          <w:ilvl w:val="0"/>
          <w:numId w:val="0"/>
        </w:numPr>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鼓励城镇新建居住建筑执行75%节能设计标准，大力发展绿色建筑，到2020年，全县绿色建筑占新建建筑面积比例达到50%。研究探索农村地区因地制宜建筑能效提升新模式。进一步健全能源计量体系，持续推进供热计量改革。</w:t>
      </w:r>
    </w:p>
    <w:p>
      <w:pPr>
        <w:pStyle w:val="7"/>
        <w:numPr>
          <w:ilvl w:val="0"/>
          <w:numId w:val="0"/>
        </w:numPr>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8.严格环境准入</w:t>
      </w:r>
    </w:p>
    <w:p>
      <w:pPr>
        <w:pStyle w:val="7"/>
        <w:numPr>
          <w:ilvl w:val="0"/>
          <w:numId w:val="0"/>
        </w:numPr>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加强区域规划环境影响评价，按要求完成生态保护红线、环境质量底线、资源利用上线和环境准入清单“三线一单”编制工作，明确禁止和限制发展的行业、生产工艺和产业目录。新改扩建污染较重涉气项目的环境影响评价，应满足区域、规划环评要求。禁止钢铁、电解铝、水泥、玻璃、传统煤化工（甲醇、合成氨）、焦化、耐火材料、陶瓷以及以煤炭为燃料的项目建设。</w:t>
      </w:r>
    </w:p>
    <w:p>
      <w:pPr>
        <w:pStyle w:val="7"/>
        <w:numPr>
          <w:ilvl w:val="0"/>
          <w:numId w:val="0"/>
        </w:numPr>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9. 控制低效、落后、过剩产能</w:t>
      </w:r>
    </w:p>
    <w:p>
      <w:pPr>
        <w:pStyle w:val="7"/>
        <w:numPr>
          <w:ilvl w:val="0"/>
          <w:numId w:val="0"/>
        </w:numPr>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（1）加大落后产能和过剩产能压减力度。全面淘汰退出达不到标准的落后产能和不达标企业。（2）严控“两高”行业产能。新改扩建涉及大宗物料运输的建设项目，原则上不得采用公路运输。</w:t>
      </w:r>
    </w:p>
    <w:p>
      <w:pPr>
        <w:pStyle w:val="7"/>
        <w:numPr>
          <w:ilvl w:val="0"/>
          <w:numId w:val="0"/>
        </w:numPr>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10. 严控“散乱污”企业死灰复燃</w:t>
      </w:r>
    </w:p>
    <w:p>
      <w:pPr>
        <w:pStyle w:val="7"/>
        <w:numPr>
          <w:ilvl w:val="0"/>
          <w:numId w:val="0"/>
        </w:numPr>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将“散乱污”企业综合整治作为供给侧改革的重要手段，依法依规持续开展“散乱污”企业动态清零行动，坚持分类处置，给予关停取缔、整改提升或搬迁入园。坚决关停用地、工商手续不全并难以通过改造达标的污染企业，限期治理可以达标改造的企业，逾期依法一律关停。建立县、乡联动监管机制，加强环境监管和巡查检查，实行拉网式排查和清单式、台账式、网格化管理，坚决杜绝“散乱污”企业项目建设和已取缔的“散乱污”企业死灰复燃。</w:t>
      </w:r>
    </w:p>
    <w:p>
      <w:pPr>
        <w:pStyle w:val="7"/>
        <w:numPr>
          <w:ilvl w:val="0"/>
          <w:numId w:val="0"/>
        </w:numPr>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11. 加快壮大新能源和节能环保产业</w:t>
      </w:r>
    </w:p>
    <w:p>
      <w:pPr>
        <w:pStyle w:val="7"/>
        <w:numPr>
          <w:ilvl w:val="0"/>
          <w:numId w:val="0"/>
        </w:numPr>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（1）大力发展新能源产业。推动太阳能、风能、生物质能规模化发展，推动新能源高效低费利用的技术产业化。</w:t>
      </w:r>
    </w:p>
    <w:p>
      <w:pPr>
        <w:pStyle w:val="7"/>
        <w:numPr>
          <w:ilvl w:val="0"/>
          <w:numId w:val="0"/>
        </w:numPr>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（2）大力发展节能环保产业。壮大绿色产业规模，发展节能环保产业、清洁生产产业、清洁能源产业，培育发展新动能。大力推进绿色交通建设工作，重点推进交通运输废旧路面材料循环利用。</w:t>
      </w:r>
    </w:p>
    <w:p>
      <w:pPr>
        <w:pStyle w:val="7"/>
        <w:numPr>
          <w:ilvl w:val="0"/>
          <w:numId w:val="0"/>
        </w:numPr>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12. 提升机动车油品质量</w:t>
      </w:r>
    </w:p>
    <w:p>
      <w:pPr>
        <w:pStyle w:val="7"/>
        <w:numPr>
          <w:ilvl w:val="0"/>
          <w:numId w:val="0"/>
        </w:numPr>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组织推动全县国六标准车用油品升级置换、保障供应工作，2018年7月1日起全县实施国六车用乙醇汽油、柴油标准。2019年1月1日起，实现车用柴油、普通柴油、部分船舶用油“三油并轨”。加强油品质量监管，持续组织开展“油品质量检查行动”，在县内涉及大宗原材料、产品运输的重点用车企业，对车辆的油品质量进行抽检，凡使用不符合国六标准车用乙醇汽油、柴油的货运车辆，逐一溯源加油站点，依法从严查处。</w:t>
      </w:r>
    </w:p>
    <w:p>
      <w:pPr>
        <w:pStyle w:val="7"/>
        <w:numPr>
          <w:ilvl w:val="0"/>
          <w:numId w:val="0"/>
        </w:numPr>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13. 大力推广绿色城市运输装备</w:t>
      </w:r>
    </w:p>
    <w:p>
      <w:pPr>
        <w:pStyle w:val="7"/>
        <w:numPr>
          <w:ilvl w:val="0"/>
          <w:numId w:val="0"/>
        </w:numPr>
        <w:ind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1）坚持公共交通优先发展战略。科学编制公交优先发展规划和实施方案，提高公共交通分担率，形成优先发展公共交通的良好示范。（2）积极推广清洁能源运输装备、装卸设备。原则上全县新增、更新公交车辆、市政环卫车辆全部纯电动化。全县新增及更换的邮政、出租、市政、通勤、轻型物流配送等作业车辆和作业机械，2018年底清洁能源车比重不低于75%；2019年底不低于85%；2020年底不低于95%。党政机关及公共机构购买的新能源汽车占当年配备更新总量的比例：2018年底不低于30%；2019年底不低于40%；2020年底不低于50%。在物流园、产业园、大型商业购物中心、农贸批发市场等物流集散地、公交市政等车辆集中停放地建设集中式充电桩和快速充电桩。</w:t>
      </w:r>
    </w:p>
    <w:p>
      <w:pPr>
        <w:pStyle w:val="7"/>
        <w:numPr>
          <w:ilvl w:val="0"/>
          <w:numId w:val="0"/>
        </w:numPr>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待以上大气污染防治计划逐步实施后，濮阳市环境空气质量将得到较大的改善，区域PM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、NO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等污染物浓度将逐步降低。</w:t>
      </w:r>
    </w:p>
    <w:p>
      <w:pPr>
        <w:pStyle w:val="5"/>
        <w:rPr>
          <w:rFonts w:hint="default" w:ascii="Times New Roman" w:hAnsi="Times New Roman" w:cs="Times New Roman"/>
          <w:bCs/>
          <w:color w:val="auto"/>
          <w:lang w:val="en-US"/>
        </w:rPr>
      </w:pPr>
      <w:r>
        <w:rPr>
          <w:rFonts w:hint="default" w:ascii="Times New Roman" w:hAnsi="Times New Roman" w:cs="Times New Roman"/>
          <w:bCs/>
          <w:color w:val="auto"/>
        </w:rPr>
        <w:t>4.</w:t>
      </w:r>
      <w:r>
        <w:rPr>
          <w:rFonts w:hint="default" w:ascii="Times New Roman" w:hAnsi="Times New Roman" w:cs="Times New Roman"/>
          <w:bCs/>
          <w:color w:val="auto"/>
          <w:lang w:val="en-US"/>
        </w:rPr>
        <w:t>2</w:t>
      </w:r>
      <w:r>
        <w:rPr>
          <w:rFonts w:hint="default" w:ascii="Times New Roman" w:hAnsi="Times New Roman" w:cs="Times New Roman"/>
          <w:bCs/>
          <w:color w:val="auto"/>
        </w:rPr>
        <w:t>.</w:t>
      </w:r>
      <w:r>
        <w:rPr>
          <w:rFonts w:hint="default" w:ascii="Times New Roman" w:hAnsi="Times New Roman" w:cs="Times New Roman"/>
          <w:bCs/>
          <w:color w:val="auto"/>
          <w:lang w:val="en-US"/>
        </w:rPr>
        <w:t>1.2</w:t>
      </w:r>
      <w:r>
        <w:rPr>
          <w:rFonts w:hint="default" w:ascii="Times New Roman" w:hAnsi="Times New Roman" w:cs="Times New Roman"/>
          <w:bCs/>
          <w:color w:val="auto"/>
        </w:rPr>
        <w:t xml:space="preserve">  </w:t>
      </w:r>
      <w:r>
        <w:rPr>
          <w:rFonts w:hint="default" w:ascii="Times New Roman" w:hAnsi="Times New Roman" w:cs="Times New Roman"/>
          <w:bCs/>
          <w:color w:val="auto"/>
          <w:lang w:val="en-US"/>
        </w:rPr>
        <w:t>空气质量现状补充监测</w:t>
      </w:r>
    </w:p>
    <w:p>
      <w:pPr>
        <w:ind w:firstLine="480"/>
        <w:rPr>
          <w:rFonts w:hint="default" w:ascii="Times New Roman" w:hAnsi="Times New Roman" w:cs="Times New Roman"/>
          <w:color w:val="auto"/>
        </w:rPr>
      </w:pPr>
      <w:r>
        <w:rPr>
          <w:rFonts w:hint="default" w:ascii="Times New Roman" w:hAnsi="Times New Roman" w:cs="Times New Roman"/>
          <w:color w:val="auto"/>
        </w:rPr>
        <w:t>4.2.1.2.1监测点位及监测因子</w:t>
      </w:r>
    </w:p>
    <w:p>
      <w:pPr>
        <w:ind w:firstLine="480"/>
        <w:rPr>
          <w:rFonts w:hint="default" w:ascii="Times New Roman" w:hAnsi="Times New Roman" w:cs="Times New Roman"/>
          <w:color w:val="auto"/>
        </w:rPr>
      </w:pPr>
      <w:r>
        <w:rPr>
          <w:rFonts w:hint="default" w:ascii="Times New Roman" w:hAnsi="Times New Roman" w:cs="Times New Roman"/>
          <w:color w:val="auto"/>
        </w:rPr>
        <w:t>评价区位于濮阳市清丰县韩村镇，根据当地气象条件、评价级别及区域环境特征，环境空气现状监测点位共布设1个。详见表4.2-2。</w:t>
      </w:r>
    </w:p>
    <w:p>
      <w:pPr>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表4.2-2   环境空气现状监测点位布设一览表</w:t>
      </w:r>
    </w:p>
    <w:tbl>
      <w:tblPr>
        <w:tblStyle w:val="25"/>
        <w:tblW w:w="8956" w:type="dxa"/>
        <w:jc w:val="center"/>
        <w:tblBorders>
          <w:top w:val="single" w:color="000000" w:sz="6" w:space="0"/>
          <w:left w:val="none" w:color="auto" w:sz="0" w:space="0"/>
          <w:bottom w:val="single" w:color="000000" w:sz="6"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798"/>
        <w:gridCol w:w="6158"/>
      </w:tblGrid>
      <w:tr>
        <w:tblPrEx>
          <w:tblBorders>
            <w:top w:val="single" w:color="000000" w:sz="6" w:space="0"/>
            <w:left w:val="none" w:color="auto" w:sz="0" w:space="0"/>
            <w:bottom w:val="single" w:color="000000" w:sz="6"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9" w:hRule="exact"/>
          <w:jc w:val="center"/>
        </w:trPr>
        <w:tc>
          <w:tcPr>
            <w:tcW w:w="27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编号</w:t>
            </w:r>
          </w:p>
        </w:tc>
        <w:tc>
          <w:tcPr>
            <w:tcW w:w="615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监测点名称</w:t>
            </w:r>
          </w:p>
        </w:tc>
      </w:tr>
      <w:tr>
        <w:tblPrEx>
          <w:tblBorders>
            <w:top w:val="single" w:color="000000" w:sz="6" w:space="0"/>
            <w:left w:val="none" w:color="auto" w:sz="0" w:space="0"/>
            <w:bottom w:val="single" w:color="000000" w:sz="6"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2" w:hRule="exact"/>
          <w:jc w:val="center"/>
        </w:trPr>
        <w:tc>
          <w:tcPr>
            <w:tcW w:w="27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615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厂址</w:t>
            </w:r>
          </w:p>
        </w:tc>
      </w:tr>
      <w:tr>
        <w:tblPrEx>
          <w:tblBorders>
            <w:top w:val="single" w:color="000000" w:sz="6" w:space="0"/>
            <w:left w:val="none" w:color="auto" w:sz="0" w:space="0"/>
            <w:bottom w:val="single" w:color="000000" w:sz="6"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2" w:hRule="exact"/>
          <w:jc w:val="center"/>
        </w:trPr>
        <w:tc>
          <w:tcPr>
            <w:tcW w:w="279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615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杨韩村</w:t>
            </w:r>
          </w:p>
        </w:tc>
      </w:tr>
    </w:tbl>
    <w:p>
      <w:pPr>
        <w:autoSpaceDE w:val="0"/>
        <w:autoSpaceDN w:val="0"/>
        <w:ind w:firstLine="480"/>
        <w:rPr>
          <w:rFonts w:hint="default" w:ascii="Times New Roman" w:hAnsi="Times New Roman" w:cs="Times New Roman"/>
          <w:color w:val="auto"/>
        </w:rPr>
      </w:pPr>
      <w:r>
        <w:rPr>
          <w:rFonts w:hint="default" w:ascii="Times New Roman" w:hAnsi="Times New Roman" w:cs="Times New Roman"/>
          <w:color w:val="auto"/>
        </w:rPr>
        <w:t>4.2.1.2.2  监测时间及监测频率</w:t>
      </w:r>
    </w:p>
    <w:p>
      <w:pPr>
        <w:pStyle w:val="42"/>
        <w:numPr>
          <w:ilvl w:val="0"/>
          <w:numId w:val="0"/>
        </w:numPr>
        <w:ind w:firstLine="468"/>
        <w:jc w:val="left"/>
        <w:rPr>
          <w:rFonts w:hint="default" w:ascii="Times New Roman" w:hAnsi="Times New Roman" w:cs="Times New Roman"/>
          <w:b w:val="0"/>
          <w:color w:val="auto"/>
        </w:rPr>
      </w:pPr>
      <w:r>
        <w:rPr>
          <w:rFonts w:hint="default" w:ascii="Times New Roman" w:hAnsi="Times New Roman" w:cs="Times New Roman"/>
          <w:b w:val="0"/>
          <w:color w:val="auto"/>
        </w:rPr>
        <w:t>本次环境空气质量现状由河南中弘检测中心于2019年11月7日～2019年11月13日进行了监测，监测的同时，测量风向、风速、气温、气压、总云量、低云量等常规气象要素。各因子的监测频率见表4.2-3。</w:t>
      </w:r>
    </w:p>
    <w:p>
      <w:pPr>
        <w:ind w:firstLine="0" w:firstLineChars="0"/>
        <w:jc w:val="center"/>
        <w:rPr>
          <w:rFonts w:hint="default" w:ascii="Times New Roman" w:hAnsi="Times New Roman" w:cs="Times New Roman"/>
          <w:b/>
          <w:color w:val="auto"/>
        </w:rPr>
      </w:pPr>
      <w:r>
        <w:rPr>
          <w:rFonts w:hint="default" w:ascii="Times New Roman" w:hAnsi="Times New Roman" w:cs="Times New Roman"/>
          <w:b/>
          <w:color w:val="auto"/>
        </w:rPr>
        <w:t>表4.2-3                环境空气质量现状监测频率一览表</w:t>
      </w:r>
    </w:p>
    <w:tbl>
      <w:tblPr>
        <w:tblStyle w:val="25"/>
        <w:tblW w:w="917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593"/>
        <w:gridCol w:w="630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276"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监测因子</w:t>
            </w:r>
          </w:p>
        </w:tc>
        <w:tc>
          <w:tcPr>
            <w:tcW w:w="1593"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取值时间</w:t>
            </w:r>
          </w:p>
        </w:tc>
        <w:tc>
          <w:tcPr>
            <w:tcW w:w="6305"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监测频率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276"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p>
        </w:tc>
        <w:tc>
          <w:tcPr>
            <w:tcW w:w="1593"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一次值</w:t>
            </w:r>
          </w:p>
        </w:tc>
        <w:tc>
          <w:tcPr>
            <w:tcW w:w="6305" w:type="dxa"/>
            <w:tcMar>
              <w:top w:w="57" w:type="dxa"/>
              <w:bottom w:w="57" w:type="dxa"/>
            </w:tcMar>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连续监测7天，每天4次，每次采样时间不小于45min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276"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w:t>
            </w:r>
          </w:p>
        </w:tc>
        <w:tc>
          <w:tcPr>
            <w:tcW w:w="1593"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一次值</w:t>
            </w:r>
          </w:p>
        </w:tc>
        <w:tc>
          <w:tcPr>
            <w:tcW w:w="6305" w:type="dxa"/>
            <w:tcMar>
              <w:top w:w="57" w:type="dxa"/>
              <w:bottom w:w="57" w:type="dxa"/>
            </w:tcMar>
            <w:vAlign w:val="center"/>
          </w:tcPr>
          <w:p>
            <w:pPr>
              <w:spacing w:line="24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连续监测7天，每天4次，每次采样时间不小于45min</w:t>
            </w:r>
          </w:p>
        </w:tc>
      </w:tr>
    </w:tbl>
    <w:p>
      <w:pPr>
        <w:autoSpaceDE w:val="0"/>
        <w:autoSpaceDN w:val="0"/>
        <w:adjustRightInd/>
        <w:snapToGrid/>
        <w:spacing w:line="240" w:lineRule="auto"/>
        <w:ind w:firstLine="480"/>
        <w:rPr>
          <w:rFonts w:hint="default" w:ascii="Times New Roman" w:hAnsi="Times New Roman" w:cs="Times New Roman"/>
          <w:color w:val="auto"/>
        </w:rPr>
      </w:pPr>
      <w:r>
        <w:rPr>
          <w:rFonts w:hint="default" w:ascii="Times New Roman" w:hAnsi="Times New Roman" w:cs="Times New Roman"/>
          <w:color w:val="auto"/>
        </w:rPr>
        <w:t>4.2.1.2.3监测因子分析方法</w:t>
      </w:r>
    </w:p>
    <w:p>
      <w:pPr>
        <w:pStyle w:val="42"/>
        <w:numPr>
          <w:ilvl w:val="0"/>
          <w:numId w:val="0"/>
        </w:numPr>
        <w:adjustRightInd/>
        <w:snapToGrid/>
        <w:spacing w:line="240" w:lineRule="auto"/>
        <w:ind w:firstLine="60" w:firstLineChars="25"/>
        <w:jc w:val="left"/>
        <w:rPr>
          <w:rFonts w:hint="default" w:ascii="Times New Roman" w:hAnsi="Times New Roman" w:cs="Times New Roman"/>
          <w:b w:val="0"/>
          <w:color w:val="auto"/>
        </w:rPr>
      </w:pPr>
      <w:r>
        <w:rPr>
          <w:rFonts w:hint="default" w:ascii="Times New Roman" w:hAnsi="Times New Roman" w:cs="Times New Roman"/>
          <w:b w:val="0"/>
          <w:color w:val="auto"/>
        </w:rPr>
        <w:t>监测因子的监测分析方法见表4.2-4。</w:t>
      </w:r>
    </w:p>
    <w:p>
      <w:pPr>
        <w:adjustRightInd/>
        <w:snapToGrid/>
        <w:spacing w:line="240" w:lineRule="auto"/>
        <w:ind w:firstLine="1320" w:firstLineChars="550"/>
        <w:rPr>
          <w:rFonts w:hint="default" w:ascii="Times New Roman" w:hAnsi="Times New Roman" w:cs="Times New Roman"/>
          <w:b/>
          <w:color w:val="auto"/>
        </w:rPr>
      </w:pPr>
      <w:r>
        <w:rPr>
          <w:rFonts w:hint="default" w:ascii="Times New Roman" w:hAnsi="Times New Roman" w:cs="Times New Roman"/>
          <w:b/>
          <w:color w:val="auto"/>
        </w:rPr>
        <w:t>表4.2-4                 环境空气质量现状监测分析方法</w:t>
      </w:r>
    </w:p>
    <w:tbl>
      <w:tblPr>
        <w:tblStyle w:val="25"/>
        <w:tblW w:w="917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3519"/>
        <w:gridCol w:w="2029"/>
        <w:gridCol w:w="235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1270"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监测因子</w:t>
            </w:r>
          </w:p>
        </w:tc>
        <w:tc>
          <w:tcPr>
            <w:tcW w:w="3519"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监测分析方法</w:t>
            </w:r>
          </w:p>
        </w:tc>
        <w:tc>
          <w:tcPr>
            <w:tcW w:w="2029"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方法来源</w:t>
            </w:r>
          </w:p>
        </w:tc>
        <w:tc>
          <w:tcPr>
            <w:tcW w:w="2352"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检出限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0"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NH</w:t>
            </w:r>
            <w:r>
              <w:rPr>
                <w:rFonts w:hint="default" w:ascii="Times New Roman" w:hAnsi="Times New Roman" w:cs="Times New Roman"/>
                <w:color w:val="auto"/>
                <w:spacing w:val="-4"/>
                <w:sz w:val="21"/>
                <w:szCs w:val="21"/>
                <w:vertAlign w:val="subscript"/>
              </w:rPr>
              <w:t>3</w:t>
            </w:r>
          </w:p>
        </w:tc>
        <w:tc>
          <w:tcPr>
            <w:tcW w:w="3519"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pacing w:val="-4"/>
                <w:sz w:val="21"/>
                <w:szCs w:val="21"/>
              </w:rPr>
            </w:pPr>
            <w:r>
              <w:rPr>
                <w:rFonts w:hint="default" w:ascii="Times New Roman" w:hAnsi="Times New Roman" w:cs="Times New Roman"/>
                <w:color w:val="auto"/>
                <w:kern w:val="0"/>
                <w:sz w:val="21"/>
                <w:szCs w:val="21"/>
              </w:rPr>
              <w:t>次氯酸钠-水杨酸分光光度法</w:t>
            </w:r>
          </w:p>
        </w:tc>
        <w:tc>
          <w:tcPr>
            <w:tcW w:w="2029"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pacing w:val="-4"/>
                <w:sz w:val="21"/>
                <w:szCs w:val="21"/>
              </w:rPr>
            </w:pPr>
            <w:r>
              <w:rPr>
                <w:rFonts w:hint="default" w:ascii="Times New Roman" w:hAnsi="Times New Roman" w:cs="Times New Roman"/>
                <w:color w:val="auto"/>
                <w:kern w:val="0"/>
                <w:sz w:val="21"/>
                <w:szCs w:val="21"/>
              </w:rPr>
              <w:t>HJ 534-2009</w:t>
            </w:r>
          </w:p>
        </w:tc>
        <w:tc>
          <w:tcPr>
            <w:tcW w:w="2352"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0.001mg/m</w:t>
            </w:r>
            <w:r>
              <w:rPr>
                <w:rFonts w:hint="default" w:ascii="Times New Roman" w:hAnsi="Times New Roman" w:cs="Times New Roman"/>
                <w:color w:val="auto"/>
                <w:spacing w:val="-4"/>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70"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H</w:t>
            </w:r>
            <w:r>
              <w:rPr>
                <w:rFonts w:hint="default" w:ascii="Times New Roman" w:hAnsi="Times New Roman" w:cs="Times New Roman"/>
                <w:color w:val="auto"/>
                <w:spacing w:val="-4"/>
                <w:sz w:val="21"/>
                <w:szCs w:val="21"/>
                <w:vertAlign w:val="subscript"/>
              </w:rPr>
              <w:t>2</w:t>
            </w:r>
            <w:r>
              <w:rPr>
                <w:rFonts w:hint="default" w:ascii="Times New Roman" w:hAnsi="Times New Roman" w:cs="Times New Roman"/>
                <w:color w:val="auto"/>
                <w:spacing w:val="-4"/>
                <w:sz w:val="21"/>
                <w:szCs w:val="21"/>
              </w:rPr>
              <w:t>S</w:t>
            </w:r>
          </w:p>
        </w:tc>
        <w:tc>
          <w:tcPr>
            <w:tcW w:w="3519"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pacing w:val="-4"/>
                <w:sz w:val="21"/>
                <w:szCs w:val="21"/>
              </w:rPr>
            </w:pPr>
            <w:r>
              <w:rPr>
                <w:rFonts w:hint="default" w:ascii="Times New Roman" w:hAnsi="Times New Roman" w:cs="Times New Roman"/>
                <w:color w:val="auto"/>
                <w:kern w:val="0"/>
                <w:sz w:val="21"/>
                <w:szCs w:val="21"/>
              </w:rPr>
              <w:t>亚甲蓝分光光度法</w:t>
            </w:r>
          </w:p>
        </w:tc>
        <w:tc>
          <w:tcPr>
            <w:tcW w:w="2029"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pacing w:val="-4"/>
                <w:sz w:val="21"/>
                <w:szCs w:val="21"/>
              </w:rPr>
            </w:pPr>
            <w:r>
              <w:rPr>
                <w:rFonts w:hint="default" w:ascii="Times New Roman" w:hAnsi="Times New Roman" w:cs="Times New Roman"/>
                <w:color w:val="auto"/>
                <w:kern w:val="0"/>
                <w:sz w:val="21"/>
                <w:szCs w:val="21"/>
              </w:rPr>
              <w:t>GB 11742-1989</w:t>
            </w:r>
          </w:p>
        </w:tc>
        <w:tc>
          <w:tcPr>
            <w:tcW w:w="2352"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pacing w:val="-4"/>
                <w:sz w:val="21"/>
                <w:szCs w:val="21"/>
              </w:rPr>
            </w:pPr>
            <w:r>
              <w:rPr>
                <w:rFonts w:hint="default" w:ascii="Times New Roman" w:hAnsi="Times New Roman" w:cs="Times New Roman"/>
                <w:color w:val="auto"/>
                <w:kern w:val="0"/>
                <w:sz w:val="21"/>
                <w:szCs w:val="21"/>
              </w:rPr>
              <w:t>0.005mg/m</w:t>
            </w:r>
            <w:r>
              <w:rPr>
                <w:rFonts w:hint="default" w:ascii="Times New Roman" w:hAnsi="Times New Roman" w:cs="Times New Roman"/>
                <w:color w:val="auto"/>
                <w:kern w:val="0"/>
                <w:sz w:val="21"/>
                <w:szCs w:val="21"/>
                <w:vertAlign w:val="superscript"/>
              </w:rPr>
              <w:t>3</w:t>
            </w:r>
          </w:p>
        </w:tc>
      </w:tr>
    </w:tbl>
    <w:p>
      <w:pPr>
        <w:autoSpaceDE w:val="0"/>
        <w:autoSpaceDN w:val="0"/>
        <w:ind w:firstLine="480"/>
        <w:rPr>
          <w:rFonts w:hint="default" w:ascii="Times New Roman" w:hAnsi="Times New Roman" w:cs="Times New Roman"/>
          <w:color w:val="auto"/>
        </w:rPr>
      </w:pPr>
      <w:r>
        <w:rPr>
          <w:rFonts w:hint="default" w:ascii="Times New Roman" w:hAnsi="Times New Roman" w:cs="Times New Roman"/>
          <w:color w:val="auto"/>
        </w:rPr>
        <w:t>4.2.1.2.4  评价方法</w:t>
      </w:r>
    </w:p>
    <w:p>
      <w:pPr>
        <w:ind w:firstLine="480"/>
        <w:rPr>
          <w:rFonts w:hint="default" w:ascii="Times New Roman" w:hAnsi="Times New Roman" w:cs="Times New Roman"/>
          <w:color w:val="auto"/>
        </w:rPr>
      </w:pPr>
      <w:r>
        <w:rPr>
          <w:rFonts w:hint="default" w:ascii="Times New Roman" w:hAnsi="Times New Roman" w:cs="Times New Roman"/>
          <w:color w:val="auto"/>
        </w:rPr>
        <w:t>根据监测结果，采用单因子污染指数法，对照评价标准对环境空气质量现状进行评价，计算公式如下：</w:t>
      </w:r>
    </w:p>
    <w:p>
      <w:pPr>
        <w:ind w:firstLine="480"/>
        <w:jc w:val="center"/>
        <w:rPr>
          <w:rFonts w:hint="default" w:ascii="Times New Roman" w:hAnsi="Times New Roman" w:cs="Times New Roman"/>
          <w:color w:val="auto"/>
        </w:rPr>
      </w:pPr>
      <w:r>
        <w:rPr>
          <w:rFonts w:hint="default" w:ascii="Times New Roman" w:hAnsi="Times New Roman" w:cs="Times New Roman"/>
          <w:color w:val="auto"/>
        </w:rPr>
        <w:t>P</w:t>
      </w:r>
      <w:r>
        <w:rPr>
          <w:rFonts w:hint="default" w:ascii="Times New Roman" w:hAnsi="Times New Roman" w:cs="Times New Roman"/>
          <w:color w:val="auto"/>
          <w:vertAlign w:val="subscript"/>
        </w:rPr>
        <w:t>i</w:t>
      </w:r>
      <w:r>
        <w:rPr>
          <w:rFonts w:hint="default" w:ascii="Times New Roman" w:hAnsi="Times New Roman" w:cs="Times New Roman"/>
          <w:color w:val="auto"/>
        </w:rPr>
        <w:t>=C</w:t>
      </w:r>
      <w:r>
        <w:rPr>
          <w:rFonts w:hint="default" w:ascii="Times New Roman" w:hAnsi="Times New Roman" w:cs="Times New Roman"/>
          <w:color w:val="auto"/>
          <w:vertAlign w:val="subscript"/>
        </w:rPr>
        <w:t>i</w:t>
      </w:r>
      <w:r>
        <w:rPr>
          <w:rFonts w:hint="default" w:ascii="Times New Roman" w:hAnsi="Times New Roman" w:cs="Times New Roman"/>
          <w:color w:val="auto"/>
        </w:rPr>
        <w:t>/S</w:t>
      </w:r>
      <w:r>
        <w:rPr>
          <w:rFonts w:hint="default" w:ascii="Times New Roman" w:hAnsi="Times New Roman" w:cs="Times New Roman"/>
          <w:color w:val="auto"/>
          <w:vertAlign w:val="subscript"/>
        </w:rPr>
        <w:t>i</w:t>
      </w:r>
    </w:p>
    <w:p>
      <w:pPr>
        <w:ind w:firstLine="480"/>
        <w:rPr>
          <w:rFonts w:hint="default" w:ascii="Times New Roman" w:hAnsi="Times New Roman" w:cs="Times New Roman"/>
          <w:color w:val="auto"/>
        </w:rPr>
      </w:pPr>
      <w:r>
        <w:rPr>
          <w:rFonts w:hint="default" w:ascii="Times New Roman" w:hAnsi="Times New Roman" w:cs="Times New Roman"/>
          <w:color w:val="auto"/>
        </w:rPr>
        <w:t>式中，P</w:t>
      </w:r>
      <w:r>
        <w:rPr>
          <w:rFonts w:hint="default" w:ascii="Times New Roman" w:hAnsi="Times New Roman" w:cs="Times New Roman"/>
          <w:color w:val="auto"/>
          <w:vertAlign w:val="subscript"/>
        </w:rPr>
        <w:t>i</w:t>
      </w:r>
      <w:r>
        <w:rPr>
          <w:rFonts w:hint="default" w:ascii="Times New Roman" w:hAnsi="Times New Roman" w:cs="Times New Roman"/>
          <w:color w:val="auto"/>
        </w:rPr>
        <w:t>——i污染物的单因子污染指数</w:t>
      </w:r>
    </w:p>
    <w:p>
      <w:pPr>
        <w:ind w:firstLine="480"/>
        <w:rPr>
          <w:rFonts w:hint="default" w:ascii="Times New Roman" w:hAnsi="Times New Roman" w:cs="Times New Roman"/>
          <w:color w:val="auto"/>
        </w:rPr>
      </w:pPr>
      <w:r>
        <w:rPr>
          <w:rFonts w:hint="default" w:ascii="Times New Roman" w:hAnsi="Times New Roman" w:cs="Times New Roman"/>
          <w:color w:val="auto"/>
        </w:rPr>
        <w:t xml:space="preserve">          C</w:t>
      </w:r>
      <w:r>
        <w:rPr>
          <w:rFonts w:hint="default" w:ascii="Times New Roman" w:hAnsi="Times New Roman" w:cs="Times New Roman"/>
          <w:color w:val="auto"/>
          <w:vertAlign w:val="subscript"/>
        </w:rPr>
        <w:t>i</w:t>
      </w:r>
      <w:r>
        <w:rPr>
          <w:rFonts w:hint="default" w:ascii="Times New Roman" w:hAnsi="Times New Roman" w:cs="Times New Roman"/>
          <w:color w:val="auto"/>
        </w:rPr>
        <w:t>——i污染物的实测浓度，单位：mg/Nm</w:t>
      </w:r>
      <w:r>
        <w:rPr>
          <w:rFonts w:hint="default" w:ascii="Times New Roman" w:hAnsi="Times New Roman" w:cs="Times New Roman"/>
          <w:color w:val="auto"/>
          <w:vertAlign w:val="superscript"/>
        </w:rPr>
        <w:t>3</w:t>
      </w:r>
    </w:p>
    <w:p>
      <w:pPr>
        <w:ind w:firstLine="480"/>
        <w:rPr>
          <w:rFonts w:hint="default" w:ascii="Times New Roman" w:hAnsi="Times New Roman" w:cs="Times New Roman"/>
          <w:color w:val="auto"/>
          <w:vertAlign w:val="superscript"/>
        </w:rPr>
      </w:pPr>
      <w:r>
        <w:rPr>
          <w:rFonts w:hint="default" w:ascii="Times New Roman" w:hAnsi="Times New Roman" w:cs="Times New Roman"/>
          <w:color w:val="auto"/>
        </w:rPr>
        <w:t xml:space="preserve">          S</w:t>
      </w:r>
      <w:r>
        <w:rPr>
          <w:rFonts w:hint="default" w:ascii="Times New Roman" w:hAnsi="Times New Roman" w:cs="Times New Roman"/>
          <w:color w:val="auto"/>
          <w:vertAlign w:val="subscript"/>
        </w:rPr>
        <w:t>i</w:t>
      </w:r>
      <w:r>
        <w:rPr>
          <w:rFonts w:hint="default" w:ascii="Times New Roman" w:hAnsi="Times New Roman" w:cs="Times New Roman"/>
          <w:color w:val="auto"/>
        </w:rPr>
        <w:t>——i污染物的评价标准，单位：mg/Nm</w:t>
      </w:r>
      <w:r>
        <w:rPr>
          <w:rFonts w:hint="default" w:ascii="Times New Roman" w:hAnsi="Times New Roman" w:cs="Times New Roman"/>
          <w:color w:val="auto"/>
          <w:vertAlign w:val="superscript"/>
        </w:rPr>
        <w:t>3</w:t>
      </w:r>
    </w:p>
    <w:p>
      <w:pPr>
        <w:autoSpaceDE w:val="0"/>
        <w:autoSpaceDN w:val="0"/>
        <w:ind w:firstLine="480"/>
        <w:rPr>
          <w:rFonts w:hint="default" w:ascii="Times New Roman" w:hAnsi="Times New Roman" w:cs="Times New Roman"/>
          <w:color w:val="auto"/>
        </w:rPr>
      </w:pPr>
      <w:r>
        <w:rPr>
          <w:rFonts w:hint="default" w:ascii="Times New Roman" w:hAnsi="Times New Roman" w:cs="Times New Roman"/>
          <w:color w:val="auto"/>
        </w:rPr>
        <w:t>4.2.1.2.5  评价标准</w:t>
      </w:r>
    </w:p>
    <w:p>
      <w:pPr>
        <w:pStyle w:val="42"/>
        <w:numPr>
          <w:ilvl w:val="0"/>
          <w:numId w:val="0"/>
        </w:numPr>
        <w:ind w:firstLine="480" w:firstLineChars="200"/>
        <w:jc w:val="left"/>
        <w:rPr>
          <w:rFonts w:hint="default" w:ascii="Times New Roman" w:hAnsi="Times New Roman" w:cs="Times New Roman"/>
          <w:b w:val="0"/>
          <w:color w:val="auto"/>
        </w:rPr>
      </w:pPr>
      <w:r>
        <w:rPr>
          <w:rFonts w:hint="default" w:ascii="Times New Roman" w:hAnsi="Times New Roman" w:cs="Times New Roman"/>
          <w:b w:val="0"/>
          <w:color w:val="auto"/>
        </w:rPr>
        <w:t>本次环境空气质量评价标准见表4.2-5。</w:t>
      </w:r>
    </w:p>
    <w:p>
      <w:pPr>
        <w:ind w:firstLine="1320" w:firstLineChars="550"/>
        <w:rPr>
          <w:rFonts w:hint="default" w:ascii="Times New Roman" w:hAnsi="Times New Roman" w:cs="Times New Roman"/>
          <w:b/>
          <w:color w:val="auto"/>
        </w:rPr>
      </w:pPr>
      <w:r>
        <w:rPr>
          <w:rFonts w:hint="default" w:ascii="Times New Roman" w:hAnsi="Times New Roman" w:cs="Times New Roman"/>
          <w:b/>
          <w:color w:val="auto"/>
        </w:rPr>
        <w:t>表4.2-5                      环境空气质量评价标准</w:t>
      </w:r>
    </w:p>
    <w:tbl>
      <w:tblPr>
        <w:tblStyle w:val="25"/>
        <w:tblW w:w="917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1391"/>
        <w:gridCol w:w="2857"/>
        <w:gridCol w:w="1646"/>
        <w:gridCol w:w="327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jc w:val="center"/>
        </w:trPr>
        <w:tc>
          <w:tcPr>
            <w:tcW w:w="1391"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污染物名称</w:t>
            </w:r>
          </w:p>
        </w:tc>
        <w:tc>
          <w:tcPr>
            <w:tcW w:w="2857"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取值时间</w:t>
            </w:r>
          </w:p>
        </w:tc>
        <w:tc>
          <w:tcPr>
            <w:tcW w:w="1646"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标准浓度限值</w:t>
            </w:r>
          </w:p>
        </w:tc>
        <w:tc>
          <w:tcPr>
            <w:tcW w:w="3278"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jc w:val="center"/>
        </w:trPr>
        <w:tc>
          <w:tcPr>
            <w:tcW w:w="1391"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NH</w:t>
            </w:r>
            <w:r>
              <w:rPr>
                <w:rFonts w:hint="default" w:ascii="Times New Roman" w:hAnsi="Times New Roman" w:cs="Times New Roman"/>
                <w:color w:val="auto"/>
                <w:spacing w:val="-4"/>
                <w:sz w:val="21"/>
                <w:szCs w:val="21"/>
                <w:vertAlign w:val="subscript"/>
              </w:rPr>
              <w:t>3</w:t>
            </w:r>
          </w:p>
        </w:tc>
        <w:tc>
          <w:tcPr>
            <w:tcW w:w="2857"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一次值（mg/m</w:t>
            </w:r>
            <w:r>
              <w:rPr>
                <w:rFonts w:hint="default" w:ascii="Times New Roman" w:hAnsi="Times New Roman" w:cs="Times New Roman"/>
                <w:color w:val="auto"/>
                <w:spacing w:val="-4"/>
                <w:sz w:val="21"/>
                <w:szCs w:val="21"/>
                <w:vertAlign w:val="superscript"/>
              </w:rPr>
              <w:t>3</w:t>
            </w:r>
            <w:r>
              <w:rPr>
                <w:rFonts w:hint="default" w:ascii="Times New Roman" w:hAnsi="Times New Roman" w:cs="Times New Roman"/>
                <w:color w:val="auto"/>
                <w:spacing w:val="-4"/>
                <w:sz w:val="21"/>
                <w:szCs w:val="21"/>
              </w:rPr>
              <w:t>）</w:t>
            </w:r>
          </w:p>
        </w:tc>
        <w:tc>
          <w:tcPr>
            <w:tcW w:w="1646"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0.20</w:t>
            </w:r>
          </w:p>
        </w:tc>
        <w:tc>
          <w:tcPr>
            <w:tcW w:w="3278" w:type="dxa"/>
            <w:vMerge w:val="restart"/>
            <w:tcMar>
              <w:top w:w="85" w:type="dxa"/>
              <w:bottom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《环境影响评价技术导则  大气环境》（HJ 2.2-2018）附录D参考限值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jc w:val="center"/>
        </w:trPr>
        <w:tc>
          <w:tcPr>
            <w:tcW w:w="1391"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H</w:t>
            </w:r>
            <w:r>
              <w:rPr>
                <w:rFonts w:hint="default" w:ascii="Times New Roman" w:hAnsi="Times New Roman" w:cs="Times New Roman"/>
                <w:color w:val="auto"/>
                <w:spacing w:val="-4"/>
                <w:sz w:val="21"/>
                <w:szCs w:val="21"/>
                <w:vertAlign w:val="subscript"/>
              </w:rPr>
              <w:t>2</w:t>
            </w:r>
            <w:r>
              <w:rPr>
                <w:rFonts w:hint="default" w:ascii="Times New Roman" w:hAnsi="Times New Roman" w:cs="Times New Roman"/>
                <w:color w:val="auto"/>
                <w:spacing w:val="-4"/>
                <w:sz w:val="21"/>
                <w:szCs w:val="21"/>
              </w:rPr>
              <w:t>S</w:t>
            </w:r>
          </w:p>
        </w:tc>
        <w:tc>
          <w:tcPr>
            <w:tcW w:w="2857"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一次值（mg/m</w:t>
            </w:r>
            <w:r>
              <w:rPr>
                <w:rFonts w:hint="default" w:ascii="Times New Roman" w:hAnsi="Times New Roman" w:cs="Times New Roman"/>
                <w:color w:val="auto"/>
                <w:spacing w:val="-4"/>
                <w:sz w:val="21"/>
                <w:szCs w:val="21"/>
                <w:vertAlign w:val="superscript"/>
              </w:rPr>
              <w:t>3</w:t>
            </w:r>
            <w:r>
              <w:rPr>
                <w:rFonts w:hint="default" w:ascii="Times New Roman" w:hAnsi="Times New Roman" w:cs="Times New Roman"/>
                <w:color w:val="auto"/>
                <w:spacing w:val="-4"/>
                <w:sz w:val="21"/>
                <w:szCs w:val="21"/>
              </w:rPr>
              <w:t>）</w:t>
            </w:r>
          </w:p>
        </w:tc>
        <w:tc>
          <w:tcPr>
            <w:tcW w:w="1646"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0.01</w:t>
            </w:r>
          </w:p>
        </w:tc>
        <w:tc>
          <w:tcPr>
            <w:tcW w:w="3278" w:type="dxa"/>
            <w:vMerge w:val="continue"/>
            <w:tcMar>
              <w:top w:w="85" w:type="dxa"/>
              <w:bottom w:w="85" w:type="dxa"/>
            </w:tcMar>
            <w:vAlign w:val="center"/>
          </w:tcPr>
          <w:p>
            <w:pPr>
              <w:spacing w:line="240" w:lineRule="auto"/>
              <w:ind w:firstLine="0" w:firstLineChars="0"/>
              <w:jc w:val="center"/>
              <w:rPr>
                <w:rFonts w:hint="default" w:ascii="Times New Roman" w:hAnsi="Times New Roman" w:cs="Times New Roman"/>
                <w:color w:val="auto"/>
                <w:sz w:val="21"/>
                <w:szCs w:val="21"/>
              </w:rPr>
            </w:pPr>
          </w:p>
        </w:tc>
      </w:tr>
    </w:tbl>
    <w:p>
      <w:pPr>
        <w:autoSpaceDE w:val="0"/>
        <w:autoSpaceDN w:val="0"/>
        <w:ind w:firstLine="480"/>
        <w:rPr>
          <w:rFonts w:hint="default" w:ascii="Times New Roman" w:hAnsi="Times New Roman" w:cs="Times New Roman"/>
          <w:color w:val="auto"/>
        </w:rPr>
      </w:pPr>
      <w:r>
        <w:rPr>
          <w:rFonts w:hint="default" w:ascii="Times New Roman" w:hAnsi="Times New Roman" w:cs="Times New Roman"/>
          <w:color w:val="auto"/>
        </w:rPr>
        <w:t>4.2.1.2.6  监测结果统计及评价</w:t>
      </w:r>
    </w:p>
    <w:p>
      <w:pPr>
        <w:pStyle w:val="42"/>
        <w:numPr>
          <w:ilvl w:val="0"/>
          <w:numId w:val="0"/>
        </w:numPr>
        <w:spacing w:line="240" w:lineRule="auto"/>
        <w:ind w:firstLine="480" w:firstLineChars="200"/>
        <w:jc w:val="left"/>
        <w:rPr>
          <w:rFonts w:hint="default" w:ascii="Times New Roman" w:hAnsi="Times New Roman" w:cs="Times New Roman"/>
          <w:b w:val="0"/>
          <w:color w:val="auto"/>
        </w:rPr>
      </w:pPr>
      <w:r>
        <w:rPr>
          <w:rFonts w:hint="default" w:ascii="Times New Roman" w:hAnsi="Times New Roman" w:cs="Times New Roman"/>
          <w:b w:val="0"/>
          <w:color w:val="auto"/>
        </w:rPr>
        <w:t>本次环境空气质量现状监测数据统计分析结果见表4.2-6。</w:t>
      </w:r>
    </w:p>
    <w:p>
      <w:pPr>
        <w:spacing w:afterLines="30" w:line="500" w:lineRule="exact"/>
        <w:ind w:firstLine="0" w:firstLineChars="0"/>
        <w:jc w:val="center"/>
        <w:rPr>
          <w:rFonts w:hint="default" w:ascii="Times New Roman" w:hAnsi="Times New Roman" w:cs="Times New Roman"/>
          <w:b/>
          <w:color w:val="auto"/>
        </w:rPr>
      </w:pPr>
      <w:r>
        <w:rPr>
          <w:rFonts w:hint="default" w:ascii="Times New Roman" w:hAnsi="Times New Roman" w:cs="Times New Roman"/>
          <w:b/>
          <w:color w:val="auto"/>
        </w:rPr>
        <w:t>表4.2-6       环境空气质量特征因子现状监测结果统计一览表</w:t>
      </w:r>
    </w:p>
    <w:tbl>
      <w:tblPr>
        <w:tblStyle w:val="25"/>
        <w:tblW w:w="917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1158"/>
        <w:gridCol w:w="2016"/>
        <w:gridCol w:w="2495"/>
        <w:gridCol w:w="2002"/>
        <w:gridCol w:w="149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jc w:val="center"/>
        </w:trPr>
        <w:tc>
          <w:tcPr>
            <w:tcW w:w="1158"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监测项目</w:t>
            </w:r>
          </w:p>
        </w:tc>
        <w:tc>
          <w:tcPr>
            <w:tcW w:w="2016"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点位</w:t>
            </w:r>
          </w:p>
        </w:tc>
        <w:tc>
          <w:tcPr>
            <w:tcW w:w="2495"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浓度值范围</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2002"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标准限值（</w:t>
            </w:r>
            <w:r>
              <w:rPr>
                <w:rFonts w:hint="default" w:ascii="Times New Roman" w:hAnsi="Times New Roman" w:cs="Times New Roman"/>
                <w:bCs/>
                <w:color w:val="auto"/>
                <w:sz w:val="21"/>
                <w:szCs w:val="21"/>
              </w:rPr>
              <w:t>m</w:t>
            </w:r>
            <w:r>
              <w:rPr>
                <w:rFonts w:hint="default" w:ascii="Times New Roman" w:hAnsi="Times New Roman" w:cs="Times New Roman"/>
                <w:color w:val="auto"/>
                <w:sz w:val="21"/>
                <w:szCs w:val="21"/>
              </w:rPr>
              <w:t>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499"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超标率</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jc w:val="center"/>
        </w:trPr>
        <w:tc>
          <w:tcPr>
            <w:tcW w:w="1158" w:type="dxa"/>
            <w:vMerge w:val="restart"/>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一次值</w:t>
            </w:r>
          </w:p>
        </w:tc>
        <w:tc>
          <w:tcPr>
            <w:tcW w:w="2016"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厂址</w:t>
            </w:r>
          </w:p>
        </w:tc>
        <w:tc>
          <w:tcPr>
            <w:tcW w:w="2495" w:type="dxa"/>
            <w:tcMar>
              <w:top w:w="57" w:type="dxa"/>
              <w:bottom w:w="57"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0.054-0.136</w:t>
            </w:r>
          </w:p>
        </w:tc>
        <w:tc>
          <w:tcPr>
            <w:tcW w:w="2002" w:type="dxa"/>
            <w:vMerge w:val="restart"/>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0.20</w:t>
            </w:r>
          </w:p>
        </w:tc>
        <w:tc>
          <w:tcPr>
            <w:tcW w:w="1499"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jc w:val="center"/>
        </w:trPr>
        <w:tc>
          <w:tcPr>
            <w:tcW w:w="1158" w:type="dxa"/>
            <w:vMerge w:val="continue"/>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p>
        </w:tc>
        <w:tc>
          <w:tcPr>
            <w:tcW w:w="2016"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杨韩村</w:t>
            </w:r>
          </w:p>
        </w:tc>
        <w:tc>
          <w:tcPr>
            <w:tcW w:w="2495" w:type="dxa"/>
            <w:tcMar>
              <w:top w:w="57" w:type="dxa"/>
              <w:bottom w:w="57"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0.001-0.101</w:t>
            </w:r>
          </w:p>
        </w:tc>
        <w:tc>
          <w:tcPr>
            <w:tcW w:w="2002" w:type="dxa"/>
            <w:vMerge w:val="continue"/>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p>
        </w:tc>
        <w:tc>
          <w:tcPr>
            <w:tcW w:w="1499"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jc w:val="center"/>
        </w:trPr>
        <w:tc>
          <w:tcPr>
            <w:tcW w:w="1158" w:type="dxa"/>
            <w:vMerge w:val="restart"/>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S一次值</w:t>
            </w:r>
          </w:p>
        </w:tc>
        <w:tc>
          <w:tcPr>
            <w:tcW w:w="2016"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厂址</w:t>
            </w:r>
          </w:p>
        </w:tc>
        <w:tc>
          <w:tcPr>
            <w:tcW w:w="2495"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未检出-0.003</w:t>
            </w:r>
          </w:p>
        </w:tc>
        <w:tc>
          <w:tcPr>
            <w:tcW w:w="2002" w:type="dxa"/>
            <w:vMerge w:val="restart"/>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w:t>
            </w:r>
          </w:p>
        </w:tc>
        <w:tc>
          <w:tcPr>
            <w:tcW w:w="1499"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cantSplit/>
          <w:jc w:val="center"/>
        </w:trPr>
        <w:tc>
          <w:tcPr>
            <w:tcW w:w="1158" w:type="dxa"/>
            <w:vMerge w:val="continue"/>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p>
        </w:tc>
        <w:tc>
          <w:tcPr>
            <w:tcW w:w="2016"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杨韩村</w:t>
            </w:r>
          </w:p>
        </w:tc>
        <w:tc>
          <w:tcPr>
            <w:tcW w:w="2495"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未检出-0.003</w:t>
            </w:r>
          </w:p>
        </w:tc>
        <w:tc>
          <w:tcPr>
            <w:tcW w:w="2002" w:type="dxa"/>
            <w:vMerge w:val="continue"/>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p>
        </w:tc>
        <w:tc>
          <w:tcPr>
            <w:tcW w:w="1499"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bl>
    <w:p>
      <w:pPr>
        <w:ind w:firstLine="480"/>
        <w:rPr>
          <w:rFonts w:hint="default" w:ascii="Times New Roman" w:hAnsi="Times New Roman" w:cs="Times New Roman"/>
          <w:color w:val="auto"/>
        </w:rPr>
      </w:pPr>
      <w:r>
        <w:rPr>
          <w:rFonts w:hint="default" w:ascii="Times New Roman" w:hAnsi="Times New Roman" w:cs="Times New Roman"/>
          <w:color w:val="auto"/>
        </w:rPr>
        <w:t>由表4.3-5可以看出，各监测点位NH</w:t>
      </w:r>
      <w:r>
        <w:rPr>
          <w:rFonts w:hint="default" w:ascii="Times New Roman" w:hAnsi="Times New Roman" w:cs="Times New Roman"/>
          <w:color w:val="auto"/>
          <w:vertAlign w:val="subscript"/>
        </w:rPr>
        <w:t>3</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S浓度均符合《环境影响评价技术导则  大气环境》（HJ 2.2-2018）附录D参考限值。</w:t>
      </w:r>
    </w:p>
    <w:p>
      <w:pPr>
        <w:pStyle w:val="5"/>
        <w:tabs>
          <w:tab w:val="left" w:pos="0"/>
        </w:tabs>
        <w:rPr>
          <w:rFonts w:hint="default" w:ascii="Times New Roman" w:hAnsi="Times New Roman" w:cs="Times New Roman"/>
          <w:color w:val="auto"/>
        </w:rPr>
      </w:pPr>
      <w:r>
        <w:rPr>
          <w:rFonts w:hint="default" w:ascii="Times New Roman" w:hAnsi="Times New Roman" w:cs="Times New Roman"/>
          <w:color w:val="auto"/>
        </w:rPr>
        <w:t>4.</w:t>
      </w:r>
      <w:r>
        <w:rPr>
          <w:rFonts w:hint="default" w:ascii="Times New Roman" w:hAnsi="Times New Roman" w:cs="Times New Roman"/>
          <w:color w:val="auto"/>
          <w:lang w:val="en-US"/>
        </w:rPr>
        <w:t>2</w:t>
      </w:r>
      <w:r>
        <w:rPr>
          <w:rFonts w:hint="default" w:ascii="Times New Roman" w:hAnsi="Times New Roman" w:cs="Times New Roman"/>
          <w:color w:val="auto"/>
        </w:rPr>
        <w:t>.2  地表水质量现状调查与评价</w:t>
      </w:r>
    </w:p>
    <w:p>
      <w:pPr>
        <w:autoSpaceDE w:val="0"/>
        <w:autoSpaceDN w:val="0"/>
        <w:ind w:firstLine="480"/>
        <w:textAlignment w:val="baseline"/>
        <w:rPr>
          <w:rFonts w:hint="default" w:ascii="Times New Roman" w:hAnsi="Times New Roman" w:cs="Times New Roman"/>
          <w:bCs/>
          <w:color w:val="auto"/>
          <w:kern w:val="0"/>
          <w:szCs w:val="28"/>
        </w:rPr>
      </w:pPr>
      <w:r>
        <w:rPr>
          <w:rFonts w:hint="default" w:ascii="Times New Roman" w:hAnsi="Times New Roman" w:cs="Times New Roman"/>
          <w:bCs/>
          <w:color w:val="auto"/>
          <w:kern w:val="0"/>
          <w:szCs w:val="28"/>
        </w:rPr>
        <w:t>4.2.2.1  监测断面位置及功能</w:t>
      </w:r>
    </w:p>
    <w:p>
      <w:pPr>
        <w:autoSpaceDE w:val="0"/>
        <w:autoSpaceDN w:val="0"/>
        <w:snapToGrid/>
        <w:spacing w:line="240" w:lineRule="auto"/>
        <w:ind w:firstLine="480"/>
        <w:rPr>
          <w:rFonts w:hint="default" w:ascii="Times New Roman" w:hAnsi="Times New Roman" w:cs="Times New Roman"/>
          <w:color w:val="auto"/>
          <w:kern w:val="0"/>
          <w:highlight w:val="none"/>
        </w:rPr>
      </w:pPr>
      <w:r>
        <w:rPr>
          <w:rFonts w:hint="default" w:ascii="Times New Roman" w:hAnsi="Times New Roman" w:cs="Times New Roman"/>
          <w:color w:val="auto"/>
          <w:kern w:val="0"/>
        </w:rPr>
        <w:t>本项目位于清丰县韩村镇，项目所在区域内主要的纳污水体为马郏河，本次评价引用濮阳市生态环境局公布</w:t>
      </w:r>
      <w:r>
        <w:rPr>
          <w:rFonts w:hint="default" w:ascii="Times New Roman" w:hAnsi="Times New Roman" w:cs="Times New Roman"/>
          <w:color w:val="auto"/>
          <w:kern w:val="0"/>
          <w:highlight w:val="none"/>
        </w:rPr>
        <w:t>的《濮阳市环境质量月报》201</w:t>
      </w:r>
      <w:r>
        <w:rPr>
          <w:rFonts w:hint="default" w:ascii="Times New Roman" w:hAnsi="Times New Roman" w:cs="Times New Roman"/>
          <w:color w:val="auto"/>
          <w:kern w:val="0"/>
          <w:highlight w:val="none"/>
          <w:lang w:eastAsia="zh-CN"/>
        </w:rPr>
        <w:t>8</w:t>
      </w:r>
      <w:r>
        <w:rPr>
          <w:rFonts w:hint="default" w:ascii="Times New Roman" w:hAnsi="Times New Roman" w:cs="Times New Roman"/>
          <w:color w:val="auto"/>
          <w:kern w:val="0"/>
          <w:highlight w:val="none"/>
        </w:rPr>
        <w:t>年</w:t>
      </w:r>
      <w:r>
        <w:rPr>
          <w:rFonts w:hint="default" w:ascii="Times New Roman" w:hAnsi="Times New Roman" w:cs="Times New Roman"/>
          <w:color w:val="auto"/>
          <w:kern w:val="0"/>
          <w:highlight w:val="none"/>
          <w:lang w:val="en-US" w:eastAsia="zh-CN"/>
        </w:rPr>
        <w:t>6月-2019年</w:t>
      </w:r>
      <w:r>
        <w:rPr>
          <w:rFonts w:hint="default" w:ascii="Times New Roman" w:hAnsi="Times New Roman" w:cs="Times New Roman"/>
          <w:color w:val="auto"/>
          <w:kern w:val="0"/>
          <w:highlight w:val="none"/>
          <w:lang w:eastAsia="zh-CN"/>
        </w:rPr>
        <w:t>5月的</w:t>
      </w:r>
      <w:r>
        <w:rPr>
          <w:rFonts w:hint="default" w:ascii="Times New Roman" w:hAnsi="Times New Roman" w:cs="Times New Roman"/>
          <w:color w:val="auto"/>
          <w:kern w:val="0"/>
          <w:highlight w:val="none"/>
        </w:rPr>
        <w:t>监测数据，其监测断面位置、名称详见表4.2-7。</w:t>
      </w:r>
    </w:p>
    <w:p>
      <w:pPr>
        <w:autoSpaceDE w:val="0"/>
        <w:autoSpaceDN w:val="0"/>
        <w:snapToGrid/>
        <w:spacing w:line="240" w:lineRule="auto"/>
        <w:ind w:firstLine="440"/>
        <w:jc w:val="center"/>
        <w:rPr>
          <w:rFonts w:hint="default" w:ascii="Times New Roman" w:hAnsi="Times New Roman" w:eastAsia="黑体" w:cs="Times New Roman"/>
          <w:color w:val="auto"/>
          <w:kern w:val="0"/>
          <w:sz w:val="22"/>
          <w:szCs w:val="22"/>
        </w:rPr>
      </w:pPr>
      <w:r>
        <w:rPr>
          <w:rFonts w:hint="default" w:ascii="Times New Roman" w:hAnsi="Times New Roman" w:eastAsia="黑体" w:cs="Times New Roman"/>
          <w:color w:val="auto"/>
          <w:kern w:val="0"/>
          <w:sz w:val="22"/>
          <w:szCs w:val="22"/>
        </w:rPr>
        <w:t>表4.2-7   地表水现状监测布点情况表</w:t>
      </w:r>
    </w:p>
    <w:tbl>
      <w:tblPr>
        <w:tblStyle w:val="25"/>
        <w:tblW w:w="8956"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030"/>
        <w:gridCol w:w="3717"/>
        <w:gridCol w:w="3209"/>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6" w:hRule="exact"/>
          <w:jc w:val="center"/>
        </w:trPr>
        <w:tc>
          <w:tcPr>
            <w:tcW w:w="2030"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地表水体</w:t>
            </w:r>
          </w:p>
        </w:tc>
        <w:tc>
          <w:tcPr>
            <w:tcW w:w="3717"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位置</w:t>
            </w:r>
          </w:p>
        </w:tc>
        <w:tc>
          <w:tcPr>
            <w:tcW w:w="3209"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监测断面名称</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6" w:hRule="exact"/>
          <w:jc w:val="center"/>
        </w:trPr>
        <w:tc>
          <w:tcPr>
            <w:tcW w:w="2030"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马郏河</w:t>
            </w:r>
          </w:p>
        </w:tc>
        <w:tc>
          <w:tcPr>
            <w:tcW w:w="3717"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项目东北侧16.2km</w:t>
            </w:r>
          </w:p>
        </w:tc>
        <w:tc>
          <w:tcPr>
            <w:tcW w:w="3209"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西吉七断面</w:t>
            </w:r>
          </w:p>
        </w:tc>
      </w:tr>
    </w:tbl>
    <w:p>
      <w:pPr>
        <w:autoSpaceDE w:val="0"/>
        <w:autoSpaceDN w:val="0"/>
        <w:ind w:firstLine="482"/>
        <w:textAlignment w:val="baseline"/>
        <w:rPr>
          <w:rFonts w:hint="default" w:ascii="Times New Roman" w:hAnsi="Times New Roman" w:cs="Times New Roman"/>
          <w:b/>
          <w:color w:val="auto"/>
          <w:kern w:val="0"/>
          <w:szCs w:val="28"/>
        </w:rPr>
      </w:pPr>
    </w:p>
    <w:p>
      <w:pPr>
        <w:autoSpaceDE w:val="0"/>
        <w:autoSpaceDN w:val="0"/>
        <w:ind w:firstLine="482"/>
        <w:textAlignment w:val="baseline"/>
        <w:rPr>
          <w:rFonts w:hint="default" w:ascii="Times New Roman" w:hAnsi="Times New Roman" w:cs="Times New Roman"/>
          <w:b/>
          <w:color w:val="auto"/>
          <w:kern w:val="0"/>
          <w:szCs w:val="28"/>
        </w:rPr>
      </w:pPr>
      <w:r>
        <w:rPr>
          <w:rFonts w:hint="default" w:ascii="Times New Roman" w:hAnsi="Times New Roman" w:cs="Times New Roman"/>
          <w:b/>
          <w:color w:val="auto"/>
          <w:kern w:val="0"/>
          <w:szCs w:val="28"/>
        </w:rPr>
        <w:t>4.2.2.2  监测因子、时间及监测频率</w:t>
      </w:r>
    </w:p>
    <w:p>
      <w:pPr>
        <w:ind w:firstLine="480"/>
        <w:jc w:val="left"/>
        <w:rPr>
          <w:rFonts w:hint="default" w:ascii="Times New Roman" w:hAnsi="Times New Roman" w:cs="Times New Roman"/>
          <w:color w:val="auto"/>
        </w:rPr>
      </w:pPr>
      <w:r>
        <w:rPr>
          <w:rFonts w:hint="default" w:ascii="Times New Roman" w:hAnsi="Times New Roman" w:cs="Times New Roman"/>
          <w:color w:val="auto"/>
        </w:rPr>
        <w:t>本次评价引用地表水环境质量现状监测因子为COD、氨氮、总磷，引用数据时段为201</w:t>
      </w:r>
      <w:r>
        <w:rPr>
          <w:rFonts w:hint="default" w:ascii="Times New Roman" w:hAnsi="Times New Roman" w:cs="Times New Roman"/>
          <w:color w:val="auto"/>
          <w:lang w:val="en-US" w:eastAsia="zh-CN"/>
        </w:rPr>
        <w:t>8</w:t>
      </w:r>
      <w:r>
        <w:rPr>
          <w:rFonts w:hint="default" w:ascii="Times New Roman" w:hAnsi="Times New Roman" w:cs="Times New Roman"/>
          <w:color w:val="auto"/>
        </w:rPr>
        <w:t>年</w:t>
      </w:r>
      <w:r>
        <w:rPr>
          <w:rFonts w:hint="default" w:ascii="Times New Roman" w:hAnsi="Times New Roman" w:cs="Times New Roman"/>
          <w:color w:val="auto"/>
          <w:lang w:val="en-US" w:eastAsia="zh-CN"/>
        </w:rPr>
        <w:t>6</w:t>
      </w:r>
      <w:r>
        <w:rPr>
          <w:rFonts w:hint="default" w:ascii="Times New Roman" w:hAnsi="Times New Roman" w:cs="Times New Roman"/>
          <w:color w:val="auto"/>
        </w:rPr>
        <w:t>月</w:t>
      </w:r>
      <w:r>
        <w:rPr>
          <w:rFonts w:hint="default" w:ascii="Times New Roman" w:hAnsi="Times New Roman" w:cs="Times New Roman"/>
          <w:color w:val="auto"/>
          <w:lang w:val="en-US" w:eastAsia="zh-CN"/>
        </w:rPr>
        <w:t>-2019年5月</w:t>
      </w:r>
      <w:r>
        <w:rPr>
          <w:rFonts w:hint="default" w:ascii="Times New Roman" w:hAnsi="Times New Roman" w:cs="Times New Roman"/>
          <w:color w:val="auto"/>
        </w:rPr>
        <w:t>。</w:t>
      </w:r>
    </w:p>
    <w:p>
      <w:pPr>
        <w:autoSpaceDE w:val="0"/>
        <w:autoSpaceDN w:val="0"/>
        <w:ind w:firstLine="482"/>
        <w:textAlignment w:val="baseline"/>
        <w:rPr>
          <w:rFonts w:hint="default" w:ascii="Times New Roman" w:hAnsi="Times New Roman" w:cs="Times New Roman"/>
          <w:b/>
          <w:color w:val="auto"/>
          <w:kern w:val="0"/>
          <w:szCs w:val="28"/>
        </w:rPr>
      </w:pPr>
      <w:r>
        <w:rPr>
          <w:rFonts w:hint="default" w:ascii="Times New Roman" w:hAnsi="Times New Roman" w:cs="Times New Roman"/>
          <w:b/>
          <w:color w:val="auto"/>
          <w:kern w:val="0"/>
          <w:szCs w:val="28"/>
        </w:rPr>
        <w:t>4.2.2.3  监测因子分析方法</w:t>
      </w:r>
    </w:p>
    <w:p>
      <w:pPr>
        <w:ind w:firstLine="480"/>
        <w:jc w:val="left"/>
        <w:rPr>
          <w:rFonts w:hint="default" w:ascii="Times New Roman" w:hAnsi="Times New Roman" w:cs="Times New Roman"/>
          <w:color w:val="auto"/>
        </w:rPr>
      </w:pPr>
      <w:r>
        <w:rPr>
          <w:rFonts w:hint="default" w:ascii="Times New Roman" w:hAnsi="Times New Roman" w:cs="Times New Roman"/>
          <w:color w:val="auto"/>
        </w:rPr>
        <w:t>地表水各监测因子的分析方法见表4.2-8。</w:t>
      </w:r>
    </w:p>
    <w:p>
      <w:pPr>
        <w:ind w:firstLine="0" w:firstLineChars="0"/>
        <w:jc w:val="center"/>
        <w:rPr>
          <w:rFonts w:hint="default" w:ascii="Times New Roman" w:hAnsi="Times New Roman" w:cs="Times New Roman"/>
          <w:b/>
          <w:color w:val="auto"/>
        </w:rPr>
      </w:pPr>
      <w:r>
        <w:rPr>
          <w:rFonts w:hint="default" w:ascii="Times New Roman" w:hAnsi="Times New Roman" w:cs="Times New Roman"/>
          <w:b/>
          <w:color w:val="auto"/>
        </w:rPr>
        <w:t>表4.2-8            地表水各监测因子分析方法一览表</w:t>
      </w:r>
    </w:p>
    <w:tbl>
      <w:tblPr>
        <w:tblStyle w:val="25"/>
        <w:tblW w:w="917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3"/>
        <w:gridCol w:w="1637"/>
        <w:gridCol w:w="2752"/>
        <w:gridCol w:w="2031"/>
        <w:gridCol w:w="19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3" w:type="dxa"/>
            <w:tcMar>
              <w:top w:w="85" w:type="dxa"/>
              <w:left w:w="108" w:type="dxa"/>
              <w:bottom w:w="85" w:type="dxa"/>
              <w:right w:w="108" w:type="dxa"/>
            </w:tcMar>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序号</w:t>
            </w:r>
          </w:p>
        </w:tc>
        <w:tc>
          <w:tcPr>
            <w:tcW w:w="1637" w:type="dxa"/>
            <w:tcMar>
              <w:top w:w="85" w:type="dxa"/>
              <w:left w:w="108" w:type="dxa"/>
              <w:bottom w:w="85" w:type="dxa"/>
              <w:right w:w="108" w:type="dxa"/>
            </w:tcMar>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监测因子</w:t>
            </w:r>
          </w:p>
        </w:tc>
        <w:tc>
          <w:tcPr>
            <w:tcW w:w="2752" w:type="dxa"/>
            <w:tcMar>
              <w:top w:w="85" w:type="dxa"/>
              <w:left w:w="108" w:type="dxa"/>
              <w:bottom w:w="85" w:type="dxa"/>
              <w:right w:w="108" w:type="dxa"/>
            </w:tcMar>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监测方法</w:t>
            </w:r>
          </w:p>
        </w:tc>
        <w:tc>
          <w:tcPr>
            <w:tcW w:w="2031" w:type="dxa"/>
            <w:tcMar>
              <w:top w:w="85" w:type="dxa"/>
              <w:left w:w="108" w:type="dxa"/>
              <w:bottom w:w="85" w:type="dxa"/>
              <w:right w:w="108" w:type="dxa"/>
            </w:tcMar>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方法来源</w:t>
            </w:r>
          </w:p>
        </w:tc>
        <w:tc>
          <w:tcPr>
            <w:tcW w:w="1901" w:type="dxa"/>
            <w:tcMar>
              <w:top w:w="85" w:type="dxa"/>
              <w:left w:w="108" w:type="dxa"/>
              <w:bottom w:w="85" w:type="dxa"/>
              <w:right w:w="108" w:type="dxa"/>
            </w:tcMar>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检出限（mg/L）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3" w:type="dxa"/>
            <w:tcMar>
              <w:top w:w="85" w:type="dxa"/>
              <w:left w:w="108" w:type="dxa"/>
              <w:bottom w:w="85" w:type="dxa"/>
              <w:right w:w="108" w:type="dxa"/>
            </w:tcMar>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1637" w:type="dxa"/>
            <w:tcMar>
              <w:top w:w="85" w:type="dxa"/>
              <w:left w:w="108" w:type="dxa"/>
              <w:bottom w:w="85" w:type="dxa"/>
              <w:right w:w="108" w:type="dxa"/>
            </w:tcMar>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COD</w:t>
            </w:r>
          </w:p>
        </w:tc>
        <w:tc>
          <w:tcPr>
            <w:tcW w:w="2752" w:type="dxa"/>
            <w:tcMar>
              <w:top w:w="85" w:type="dxa"/>
              <w:left w:w="108" w:type="dxa"/>
              <w:bottom w:w="85" w:type="dxa"/>
              <w:right w:w="108" w:type="dxa"/>
            </w:tcMar>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重铬酸盐法</w:t>
            </w:r>
          </w:p>
        </w:tc>
        <w:tc>
          <w:tcPr>
            <w:tcW w:w="2031" w:type="dxa"/>
            <w:tcMar>
              <w:top w:w="85" w:type="dxa"/>
              <w:left w:w="108" w:type="dxa"/>
              <w:bottom w:w="85" w:type="dxa"/>
              <w:right w:w="108" w:type="dxa"/>
            </w:tcMar>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GB/T11914-1989</w:t>
            </w:r>
          </w:p>
        </w:tc>
        <w:tc>
          <w:tcPr>
            <w:tcW w:w="1901" w:type="dxa"/>
            <w:tcMar>
              <w:top w:w="85" w:type="dxa"/>
              <w:left w:w="108" w:type="dxa"/>
              <w:bottom w:w="85" w:type="dxa"/>
              <w:right w:w="108" w:type="dxa"/>
            </w:tcMar>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3" w:type="dxa"/>
            <w:tcMar>
              <w:top w:w="85" w:type="dxa"/>
              <w:left w:w="108" w:type="dxa"/>
              <w:bottom w:w="85" w:type="dxa"/>
              <w:right w:w="108" w:type="dxa"/>
            </w:tcMar>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w:t>
            </w:r>
          </w:p>
        </w:tc>
        <w:tc>
          <w:tcPr>
            <w:tcW w:w="1637" w:type="dxa"/>
            <w:tcMar>
              <w:top w:w="85" w:type="dxa"/>
              <w:left w:w="108" w:type="dxa"/>
              <w:bottom w:w="85" w:type="dxa"/>
              <w:right w:w="108" w:type="dxa"/>
            </w:tcMar>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氨氮</w:t>
            </w:r>
          </w:p>
        </w:tc>
        <w:tc>
          <w:tcPr>
            <w:tcW w:w="2752" w:type="dxa"/>
            <w:tcMar>
              <w:top w:w="85" w:type="dxa"/>
              <w:left w:w="108" w:type="dxa"/>
              <w:bottom w:w="85" w:type="dxa"/>
              <w:right w:w="108" w:type="dxa"/>
            </w:tcMar>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纳氏试剂分光光度法</w:t>
            </w:r>
          </w:p>
        </w:tc>
        <w:tc>
          <w:tcPr>
            <w:tcW w:w="2031" w:type="dxa"/>
            <w:tcMar>
              <w:top w:w="85" w:type="dxa"/>
              <w:left w:w="108" w:type="dxa"/>
              <w:bottom w:w="85" w:type="dxa"/>
              <w:right w:w="108" w:type="dxa"/>
            </w:tcMar>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HJ 535-2009</w:t>
            </w:r>
          </w:p>
        </w:tc>
        <w:tc>
          <w:tcPr>
            <w:tcW w:w="1901" w:type="dxa"/>
            <w:tcMar>
              <w:top w:w="85" w:type="dxa"/>
              <w:left w:w="108" w:type="dxa"/>
              <w:bottom w:w="85" w:type="dxa"/>
              <w:right w:w="108" w:type="dxa"/>
            </w:tcMar>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3" w:type="dxa"/>
            <w:tcMar>
              <w:top w:w="85" w:type="dxa"/>
              <w:left w:w="108" w:type="dxa"/>
              <w:bottom w:w="85" w:type="dxa"/>
              <w:right w:w="108" w:type="dxa"/>
            </w:tcMar>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w:t>
            </w:r>
          </w:p>
        </w:tc>
        <w:tc>
          <w:tcPr>
            <w:tcW w:w="1637" w:type="dxa"/>
            <w:tcMar>
              <w:top w:w="85" w:type="dxa"/>
              <w:left w:w="108" w:type="dxa"/>
              <w:bottom w:w="85" w:type="dxa"/>
              <w:right w:w="108" w:type="dxa"/>
            </w:tcMar>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总磷</w:t>
            </w:r>
          </w:p>
        </w:tc>
        <w:tc>
          <w:tcPr>
            <w:tcW w:w="2752" w:type="dxa"/>
            <w:tcMar>
              <w:top w:w="85" w:type="dxa"/>
              <w:left w:w="108" w:type="dxa"/>
              <w:bottom w:w="85" w:type="dxa"/>
              <w:right w:w="108" w:type="dxa"/>
            </w:tcMar>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钼酸铵分光光度法</w:t>
            </w:r>
          </w:p>
        </w:tc>
        <w:tc>
          <w:tcPr>
            <w:tcW w:w="2031" w:type="dxa"/>
            <w:tcMar>
              <w:top w:w="85" w:type="dxa"/>
              <w:left w:w="108" w:type="dxa"/>
              <w:bottom w:w="85" w:type="dxa"/>
              <w:right w:w="108" w:type="dxa"/>
            </w:tcMar>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GB/T11893-1989</w:t>
            </w:r>
          </w:p>
        </w:tc>
        <w:tc>
          <w:tcPr>
            <w:tcW w:w="1901" w:type="dxa"/>
            <w:tcMar>
              <w:top w:w="85" w:type="dxa"/>
              <w:left w:w="108" w:type="dxa"/>
              <w:bottom w:w="85" w:type="dxa"/>
              <w:right w:w="108" w:type="dxa"/>
            </w:tcMar>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0.01</w:t>
            </w:r>
          </w:p>
        </w:tc>
      </w:tr>
    </w:tbl>
    <w:p>
      <w:pPr>
        <w:autoSpaceDE w:val="0"/>
        <w:autoSpaceDN w:val="0"/>
        <w:spacing w:line="500" w:lineRule="exact"/>
        <w:ind w:firstLine="482"/>
        <w:textAlignment w:val="baseline"/>
        <w:rPr>
          <w:rFonts w:hint="default" w:ascii="Times New Roman" w:hAnsi="Times New Roman" w:cs="Times New Roman"/>
          <w:b/>
          <w:color w:val="auto"/>
          <w:kern w:val="0"/>
          <w:szCs w:val="28"/>
        </w:rPr>
      </w:pPr>
      <w:r>
        <w:rPr>
          <w:rFonts w:hint="default" w:ascii="Times New Roman" w:hAnsi="Times New Roman" w:cs="Times New Roman"/>
          <w:b/>
          <w:color w:val="auto"/>
          <w:kern w:val="0"/>
          <w:szCs w:val="28"/>
        </w:rPr>
        <w:t>4.2.2.4  评价方法</w:t>
      </w:r>
    </w:p>
    <w:p>
      <w:pPr>
        <w:ind w:firstLine="480"/>
        <w:rPr>
          <w:rFonts w:hint="default" w:ascii="Times New Roman" w:hAnsi="Times New Roman" w:cs="Times New Roman"/>
          <w:color w:val="auto"/>
        </w:rPr>
      </w:pPr>
      <w:r>
        <w:rPr>
          <w:rFonts w:hint="default" w:ascii="Times New Roman" w:hAnsi="Times New Roman" w:cs="Times New Roman"/>
          <w:color w:val="auto"/>
        </w:rPr>
        <w:t>根据监测结果，采用单因子污染指数法，对照评价标准对地表水环境质量现状进行评价，计算公式如下：</w:t>
      </w:r>
    </w:p>
    <w:p>
      <w:pPr>
        <w:ind w:firstLine="480"/>
        <w:rPr>
          <w:rFonts w:hint="default" w:ascii="Times New Roman" w:hAnsi="Times New Roman" w:cs="Times New Roman"/>
          <w:color w:val="auto"/>
        </w:rPr>
      </w:pPr>
      <w:r>
        <w:rPr>
          <w:rFonts w:hint="default" w:ascii="Times New Roman" w:hAnsi="Times New Roman" w:cs="Times New Roman"/>
          <w:color w:val="auto"/>
        </w:rPr>
        <w:t>常规污染物（PH值除外）：</w:t>
      </w:r>
    </w:p>
    <w:p>
      <w:pPr>
        <w:ind w:firstLine="480"/>
        <w:jc w:val="center"/>
        <w:rPr>
          <w:rFonts w:hint="default" w:ascii="Times New Roman" w:hAnsi="Times New Roman" w:cs="Times New Roman"/>
          <w:color w:val="auto"/>
        </w:rPr>
      </w:pPr>
      <w:r>
        <w:rPr>
          <w:rFonts w:hint="default" w:ascii="Times New Roman" w:hAnsi="Times New Roman" w:cs="Times New Roman"/>
          <w:color w:val="auto"/>
        </w:rPr>
        <w:t>S</w:t>
      </w:r>
      <w:r>
        <w:rPr>
          <w:rFonts w:hint="default" w:ascii="Times New Roman" w:hAnsi="Times New Roman" w:cs="Times New Roman"/>
          <w:color w:val="auto"/>
          <w:vertAlign w:val="subscript"/>
        </w:rPr>
        <w:t>i, j</w:t>
      </w:r>
      <w:r>
        <w:rPr>
          <w:rFonts w:hint="default" w:ascii="Times New Roman" w:hAnsi="Times New Roman" w:cs="Times New Roman"/>
          <w:color w:val="auto"/>
        </w:rPr>
        <w:t>=C</w:t>
      </w:r>
      <w:r>
        <w:rPr>
          <w:rFonts w:hint="default" w:ascii="Times New Roman" w:hAnsi="Times New Roman" w:cs="Times New Roman"/>
          <w:color w:val="auto"/>
          <w:vertAlign w:val="subscript"/>
        </w:rPr>
        <w:t>i, j</w:t>
      </w:r>
      <w:r>
        <w:rPr>
          <w:rFonts w:hint="default" w:ascii="Times New Roman" w:hAnsi="Times New Roman" w:cs="Times New Roman"/>
          <w:color w:val="auto"/>
        </w:rPr>
        <w:t>/C</w:t>
      </w:r>
      <w:r>
        <w:rPr>
          <w:rFonts w:hint="default" w:ascii="Times New Roman" w:hAnsi="Times New Roman" w:cs="Times New Roman"/>
          <w:color w:val="auto"/>
          <w:vertAlign w:val="subscript"/>
        </w:rPr>
        <w:t>si</w:t>
      </w:r>
    </w:p>
    <w:p>
      <w:pPr>
        <w:ind w:firstLine="480"/>
        <w:rPr>
          <w:rFonts w:hint="default" w:ascii="Times New Roman" w:hAnsi="Times New Roman" w:cs="Times New Roman"/>
          <w:color w:val="auto"/>
        </w:rPr>
      </w:pPr>
      <w:r>
        <w:rPr>
          <w:rFonts w:hint="default" w:ascii="Times New Roman" w:hAnsi="Times New Roman" w:cs="Times New Roman"/>
          <w:color w:val="auto"/>
        </w:rPr>
        <w:t>式中，Si,j——某污染物的单项污染指数</w:t>
      </w:r>
    </w:p>
    <w:p>
      <w:pPr>
        <w:ind w:firstLine="480"/>
        <w:rPr>
          <w:rFonts w:hint="default" w:ascii="Times New Roman" w:hAnsi="Times New Roman" w:cs="Times New Roman"/>
          <w:color w:val="auto"/>
        </w:rPr>
      </w:pPr>
      <w:r>
        <w:rPr>
          <w:rFonts w:hint="default" w:ascii="Times New Roman" w:hAnsi="Times New Roman" w:cs="Times New Roman"/>
          <w:color w:val="auto"/>
        </w:rPr>
        <w:t xml:space="preserve">      Ci,j——某污染物的实测浓度，单位：mg/L</w:t>
      </w:r>
    </w:p>
    <w:p>
      <w:pPr>
        <w:ind w:firstLine="480"/>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 xml:space="preserve">   Csi——某污染物的评价标准，单位：mg/L</w:t>
      </w:r>
    </w:p>
    <w:p>
      <w:pPr>
        <w:ind w:firstLine="480"/>
        <w:rPr>
          <w:rFonts w:hint="default" w:ascii="Times New Roman" w:hAnsi="Times New Roman" w:cs="Times New Roman"/>
          <w:color w:val="auto"/>
        </w:rPr>
      </w:pPr>
      <w:r>
        <w:rPr>
          <w:rFonts w:hint="default" w:ascii="Times New Roman" w:hAnsi="Times New Roman" w:cs="Times New Roman"/>
          <w:color w:val="auto"/>
        </w:rPr>
        <w:t>pH的标准指数：</w:t>
      </w:r>
    </w:p>
    <w:p>
      <w:pPr>
        <w:ind w:firstLine="48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381250" cy="400050"/>
            <wp:effectExtent l="0" t="0" r="0" b="0"/>
            <wp:docPr id="3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
                    <pic:cNvPicPr>
                      <a:picLocks noChangeAspect="1"/>
                    </pic:cNvPicPr>
                  </pic:nvPicPr>
                  <pic:blipFill>
                    <a:blip r:embed="rId42" cstate="print">
                      <a:clrChange>
                        <a:clrFrom>
                          <a:srgbClr val="FFFFFF"/>
                        </a:clrFrom>
                        <a:clrTo>
                          <a:srgbClr val="FFFFFF">
                            <a:alpha val="0"/>
                          </a:srgbClr>
                        </a:clrTo>
                      </a:clrChange>
                    </a:blip>
                    <a:stretch>
                      <a:fillRect/>
                    </a:stretch>
                  </pic:blipFill>
                  <pic:spPr>
                    <a:xfrm>
                      <a:off x="0" y="0"/>
                      <a:ext cx="2381250" cy="400050"/>
                    </a:xfrm>
                    <a:prstGeom prst="rect">
                      <a:avLst/>
                    </a:prstGeom>
                    <a:noFill/>
                    <a:ln>
                      <a:noFill/>
                    </a:ln>
                  </pic:spPr>
                </pic:pic>
              </a:graphicData>
            </a:graphic>
          </wp:inline>
        </w:drawing>
      </w:r>
    </w:p>
    <w:p>
      <w:pPr>
        <w:ind w:firstLine="48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381250" cy="400050"/>
            <wp:effectExtent l="0" t="0" r="0" b="0"/>
            <wp:docPr id="3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4"/>
                    <pic:cNvPicPr>
                      <a:picLocks noChangeAspect="1"/>
                    </pic:cNvPicPr>
                  </pic:nvPicPr>
                  <pic:blipFill>
                    <a:blip r:embed="rId43" cstate="print">
                      <a:clrChange>
                        <a:clrFrom>
                          <a:srgbClr val="FFFFFF"/>
                        </a:clrFrom>
                        <a:clrTo>
                          <a:srgbClr val="FFFFFF">
                            <a:alpha val="0"/>
                          </a:srgbClr>
                        </a:clrTo>
                      </a:clrChange>
                    </a:blip>
                    <a:stretch>
                      <a:fillRect/>
                    </a:stretch>
                  </pic:blipFill>
                  <pic:spPr>
                    <a:xfrm>
                      <a:off x="0" y="0"/>
                      <a:ext cx="2381250" cy="400050"/>
                    </a:xfrm>
                    <a:prstGeom prst="rect">
                      <a:avLst/>
                    </a:prstGeom>
                    <a:noFill/>
                    <a:ln>
                      <a:noFill/>
                    </a:ln>
                  </pic:spPr>
                </pic:pic>
              </a:graphicData>
            </a:graphic>
          </wp:inline>
        </w:drawing>
      </w:r>
    </w:p>
    <w:p>
      <w:pPr>
        <w:ind w:firstLine="480"/>
        <w:rPr>
          <w:rFonts w:hint="default" w:ascii="Times New Roman" w:hAnsi="Times New Roman" w:cs="Times New Roman"/>
          <w:color w:val="auto"/>
        </w:rPr>
      </w:pPr>
      <w:r>
        <w:rPr>
          <w:rFonts w:hint="default" w:ascii="Times New Roman" w:hAnsi="Times New Roman" w:cs="Times New Roman"/>
          <w:color w:val="auto"/>
        </w:rPr>
        <w:t>式中，S</w:t>
      </w:r>
      <w:r>
        <w:rPr>
          <w:rFonts w:hint="default" w:ascii="Times New Roman" w:hAnsi="Times New Roman" w:cs="Times New Roman"/>
          <w:color w:val="auto"/>
          <w:vertAlign w:val="subscript"/>
        </w:rPr>
        <w:t>pHj</w:t>
      </w:r>
      <w:r>
        <w:rPr>
          <w:rFonts w:hint="default" w:ascii="Times New Roman" w:hAnsi="Times New Roman" w:cs="Times New Roman"/>
          <w:color w:val="auto"/>
        </w:rPr>
        <w:t>——pH在第j点的标准指数；</w:t>
      </w:r>
    </w:p>
    <w:p>
      <w:pPr>
        <w:ind w:firstLine="480"/>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pH</w:t>
      </w:r>
      <w:r>
        <w:rPr>
          <w:rFonts w:hint="default" w:ascii="Times New Roman" w:hAnsi="Times New Roman" w:cs="Times New Roman"/>
          <w:color w:val="auto"/>
          <w:vertAlign w:val="subscript"/>
        </w:rPr>
        <w:t>j</w:t>
      </w:r>
      <w:r>
        <w:rPr>
          <w:rFonts w:hint="default" w:ascii="Times New Roman" w:hAnsi="Times New Roman" w:cs="Times New Roman"/>
          <w:color w:val="auto"/>
        </w:rPr>
        <w:t xml:space="preserve"> ——j点pH实测值；</w:t>
      </w:r>
    </w:p>
    <w:p>
      <w:pPr>
        <w:ind w:firstLine="480"/>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pH</w:t>
      </w:r>
      <w:r>
        <w:rPr>
          <w:rFonts w:hint="default" w:ascii="Times New Roman" w:hAnsi="Times New Roman" w:cs="Times New Roman"/>
          <w:color w:val="auto"/>
          <w:vertAlign w:val="subscript"/>
        </w:rPr>
        <w:t>sd</w:t>
      </w:r>
      <w:r>
        <w:rPr>
          <w:rFonts w:hint="default" w:ascii="Times New Roman" w:hAnsi="Times New Roman" w:cs="Times New Roman"/>
          <w:color w:val="auto"/>
        </w:rPr>
        <w:t>——地表水水质标准中规定的pH值下限；</w:t>
      </w:r>
    </w:p>
    <w:p>
      <w:pPr>
        <w:ind w:firstLine="480"/>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pH</w:t>
      </w:r>
      <w:r>
        <w:rPr>
          <w:rFonts w:hint="default" w:ascii="Times New Roman" w:hAnsi="Times New Roman" w:cs="Times New Roman"/>
          <w:color w:val="auto"/>
          <w:vertAlign w:val="subscript"/>
        </w:rPr>
        <w:t>su</w:t>
      </w:r>
      <w:r>
        <w:rPr>
          <w:rFonts w:hint="default" w:ascii="Times New Roman" w:hAnsi="Times New Roman" w:cs="Times New Roman"/>
          <w:color w:val="auto"/>
        </w:rPr>
        <w:t>¬——地表水水质标准中规定的pH值上限。</w:t>
      </w:r>
    </w:p>
    <w:p>
      <w:pPr>
        <w:ind w:firstLine="480"/>
        <w:rPr>
          <w:rFonts w:hint="default" w:ascii="Times New Roman" w:hAnsi="Times New Roman" w:cs="Times New Roman"/>
          <w:color w:val="auto"/>
        </w:rPr>
      </w:pPr>
      <w:r>
        <w:rPr>
          <w:rFonts w:hint="default" w:ascii="Times New Roman" w:hAnsi="Times New Roman" w:cs="Times New Roman"/>
          <w:color w:val="auto"/>
        </w:rPr>
        <w:t>水质评价因子的标准指数大于1，表明该评价因子的水质超过了规定的水质标准，已经不能满足使用功能要求。</w:t>
      </w:r>
    </w:p>
    <w:p>
      <w:pPr>
        <w:autoSpaceDE w:val="0"/>
        <w:autoSpaceDN w:val="0"/>
        <w:spacing w:line="500" w:lineRule="exact"/>
        <w:ind w:firstLine="482"/>
        <w:textAlignment w:val="baseline"/>
        <w:rPr>
          <w:rFonts w:hint="default" w:ascii="Times New Roman" w:hAnsi="Times New Roman" w:cs="Times New Roman"/>
          <w:b/>
          <w:color w:val="auto"/>
          <w:kern w:val="0"/>
          <w:szCs w:val="28"/>
        </w:rPr>
      </w:pPr>
      <w:r>
        <w:rPr>
          <w:rFonts w:hint="default" w:ascii="Times New Roman" w:hAnsi="Times New Roman" w:cs="Times New Roman"/>
          <w:b/>
          <w:color w:val="auto"/>
          <w:kern w:val="0"/>
          <w:szCs w:val="28"/>
        </w:rPr>
        <w:t>4.2.2.5  评价标准</w:t>
      </w:r>
    </w:p>
    <w:p>
      <w:pPr>
        <w:adjustRightInd/>
        <w:snapToGrid/>
        <w:spacing w:line="240" w:lineRule="auto"/>
        <w:ind w:firstLine="480"/>
        <w:jc w:val="left"/>
        <w:rPr>
          <w:rFonts w:hint="default" w:ascii="Times New Roman" w:hAnsi="Times New Roman" w:cs="Times New Roman"/>
          <w:color w:val="auto"/>
        </w:rPr>
      </w:pPr>
      <w:r>
        <w:rPr>
          <w:rFonts w:hint="default" w:ascii="Times New Roman" w:hAnsi="Times New Roman" w:cs="Times New Roman"/>
          <w:color w:val="auto"/>
        </w:rPr>
        <w:t>本次地表水环境质量现状评价执行《地表水环境质量标准》（GB3838-2002）</w:t>
      </w: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 4 \* ROMAN \* MERGEFORMAT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rPr>
        <w:t>IV</w:t>
      </w:r>
      <w:r>
        <w:rPr>
          <w:rFonts w:hint="default" w:ascii="Times New Roman" w:hAnsi="Times New Roman" w:cs="Times New Roman"/>
          <w:color w:val="auto"/>
          <w:highlight w:val="yellow"/>
        </w:rPr>
        <w:fldChar w:fldCharType="end"/>
      </w:r>
      <w:r>
        <w:rPr>
          <w:rFonts w:hint="default" w:ascii="Times New Roman" w:hAnsi="Times New Roman" w:cs="Times New Roman"/>
          <w:color w:val="auto"/>
        </w:rPr>
        <w:t>类标准要求，本次地表水环境质量评价标准见表4.2-9。</w:t>
      </w:r>
    </w:p>
    <w:p>
      <w:pPr>
        <w:adjustRightInd/>
        <w:snapToGrid/>
        <w:spacing w:line="240" w:lineRule="auto"/>
        <w:ind w:firstLine="1320" w:firstLineChars="550"/>
        <w:rPr>
          <w:rFonts w:hint="default" w:ascii="Times New Roman" w:hAnsi="Times New Roman" w:cs="Times New Roman"/>
          <w:b/>
          <w:color w:val="auto"/>
        </w:rPr>
      </w:pPr>
      <w:r>
        <w:rPr>
          <w:rFonts w:hint="default" w:ascii="Times New Roman" w:hAnsi="Times New Roman" w:cs="Times New Roman"/>
          <w:b/>
          <w:color w:val="auto"/>
        </w:rPr>
        <w:t>表4.2-9                 地表水环境质量评价标准</w:t>
      </w:r>
    </w:p>
    <w:tbl>
      <w:tblPr>
        <w:tblStyle w:val="25"/>
        <w:tblW w:w="9128"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45" w:type="dxa"/>
          <w:left w:w="85" w:type="dxa"/>
          <w:bottom w:w="45" w:type="dxa"/>
          <w:right w:w="85" w:type="dxa"/>
        </w:tblCellMar>
      </w:tblPr>
      <w:tblGrid>
        <w:gridCol w:w="2914"/>
        <w:gridCol w:w="3182"/>
        <w:gridCol w:w="3032"/>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45" w:type="dxa"/>
            <w:left w:w="85" w:type="dxa"/>
            <w:bottom w:w="45" w:type="dxa"/>
            <w:right w:w="85" w:type="dxa"/>
          </w:tblCellMar>
        </w:tblPrEx>
        <w:trPr>
          <w:cantSplit/>
          <w:trHeight w:val="232" w:hRule="atLeast"/>
          <w:jc w:val="center"/>
        </w:trPr>
        <w:tc>
          <w:tcPr>
            <w:tcW w:w="2914" w:type="dxa"/>
            <w:tcMar>
              <w:top w:w="85" w:type="dxa"/>
              <w:left w:w="85" w:type="dxa"/>
              <w:bottom w:w="85" w:type="dxa"/>
              <w:right w:w="85" w:type="dxa"/>
            </w:tcMar>
            <w:vAlign w:val="center"/>
          </w:tcPr>
          <w:p>
            <w:pPr>
              <w:widowControl/>
              <w:autoSpaceDE w:val="0"/>
              <w:autoSpaceDN w:val="0"/>
              <w:spacing w:line="200" w:lineRule="atLeast"/>
              <w:ind w:firstLine="42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评价因子</w:t>
            </w:r>
          </w:p>
        </w:tc>
        <w:tc>
          <w:tcPr>
            <w:tcW w:w="3182" w:type="dxa"/>
            <w:tcMar>
              <w:top w:w="85" w:type="dxa"/>
              <w:left w:w="85" w:type="dxa"/>
              <w:bottom w:w="85" w:type="dxa"/>
              <w:right w:w="85" w:type="dxa"/>
            </w:tcMar>
            <w:vAlign w:val="center"/>
          </w:tcPr>
          <w:p>
            <w:pPr>
              <w:widowControl/>
              <w:autoSpaceDE w:val="0"/>
              <w:autoSpaceDN w:val="0"/>
              <w:spacing w:line="200" w:lineRule="atLeast"/>
              <w:ind w:firstLine="42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单位</w:t>
            </w:r>
          </w:p>
        </w:tc>
        <w:tc>
          <w:tcPr>
            <w:tcW w:w="3032" w:type="dxa"/>
            <w:tcMar>
              <w:top w:w="85" w:type="dxa"/>
              <w:left w:w="85" w:type="dxa"/>
              <w:bottom w:w="85" w:type="dxa"/>
              <w:right w:w="85" w:type="dxa"/>
            </w:tcMar>
            <w:vAlign w:val="center"/>
          </w:tcPr>
          <w:p>
            <w:pPr>
              <w:widowControl/>
              <w:autoSpaceDE w:val="0"/>
              <w:autoSpaceDN w:val="0"/>
              <w:spacing w:line="200" w:lineRule="atLeast"/>
              <w:ind w:firstLine="42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fldChar w:fldCharType="begin"/>
            </w:r>
            <w:r>
              <w:rPr>
                <w:rFonts w:hint="default" w:ascii="Times New Roman" w:hAnsi="Times New Roman" w:cs="Times New Roman"/>
                <w:color w:val="auto"/>
                <w:kern w:val="0"/>
                <w:sz w:val="21"/>
                <w:szCs w:val="21"/>
              </w:rPr>
              <w:instrText xml:space="preserve"> = 4 \* ROMAN \* MERGEFORMAT </w:instrText>
            </w:r>
            <w:r>
              <w:rPr>
                <w:rFonts w:hint="default" w:ascii="Times New Roman" w:hAnsi="Times New Roman" w:cs="Times New Roman"/>
                <w:color w:val="auto"/>
                <w:kern w:val="0"/>
                <w:sz w:val="21"/>
                <w:szCs w:val="21"/>
              </w:rPr>
              <w:fldChar w:fldCharType="separate"/>
            </w:r>
            <w:r>
              <w:rPr>
                <w:rFonts w:hint="default" w:ascii="Times New Roman" w:hAnsi="Times New Roman" w:cs="Times New Roman"/>
                <w:color w:val="auto"/>
                <w:kern w:val="0"/>
                <w:sz w:val="21"/>
                <w:szCs w:val="21"/>
              </w:rPr>
              <w:t>IV</w:t>
            </w:r>
            <w:r>
              <w:rPr>
                <w:rFonts w:hint="default" w:ascii="Times New Roman" w:hAnsi="Times New Roman" w:cs="Times New Roman"/>
                <w:color w:val="auto"/>
                <w:kern w:val="0"/>
                <w:sz w:val="21"/>
                <w:szCs w:val="21"/>
              </w:rPr>
              <w:fldChar w:fldCharType="end"/>
            </w:r>
            <w:r>
              <w:rPr>
                <w:rFonts w:hint="default" w:ascii="Times New Roman" w:hAnsi="Times New Roman" w:cs="Times New Roman"/>
                <w:color w:val="auto"/>
                <w:kern w:val="0"/>
                <w:sz w:val="21"/>
                <w:szCs w:val="21"/>
              </w:rPr>
              <w:t>类</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45" w:type="dxa"/>
            <w:left w:w="85" w:type="dxa"/>
            <w:bottom w:w="45" w:type="dxa"/>
            <w:right w:w="85" w:type="dxa"/>
          </w:tblCellMar>
        </w:tblPrEx>
        <w:trPr>
          <w:cantSplit/>
          <w:trHeight w:val="90" w:hRule="atLeast"/>
          <w:jc w:val="center"/>
        </w:trPr>
        <w:tc>
          <w:tcPr>
            <w:tcW w:w="2914" w:type="dxa"/>
            <w:tcMar>
              <w:top w:w="85" w:type="dxa"/>
              <w:left w:w="85" w:type="dxa"/>
              <w:bottom w:w="85" w:type="dxa"/>
              <w:right w:w="85" w:type="dxa"/>
            </w:tcMar>
            <w:vAlign w:val="center"/>
          </w:tcPr>
          <w:p>
            <w:pPr>
              <w:widowControl/>
              <w:autoSpaceDE w:val="0"/>
              <w:autoSpaceDN w:val="0"/>
              <w:spacing w:line="200" w:lineRule="atLeast"/>
              <w:ind w:firstLine="42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COD</w:t>
            </w:r>
          </w:p>
        </w:tc>
        <w:tc>
          <w:tcPr>
            <w:tcW w:w="3182" w:type="dxa"/>
            <w:tcMar>
              <w:top w:w="85" w:type="dxa"/>
              <w:left w:w="85" w:type="dxa"/>
              <w:bottom w:w="85" w:type="dxa"/>
              <w:right w:w="85" w:type="dxa"/>
            </w:tcMar>
            <w:vAlign w:val="center"/>
          </w:tcPr>
          <w:p>
            <w:pPr>
              <w:widowControl/>
              <w:autoSpaceDE w:val="0"/>
              <w:autoSpaceDN w:val="0"/>
              <w:spacing w:line="200" w:lineRule="atLeast"/>
              <w:ind w:firstLine="42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3032" w:type="dxa"/>
            <w:tcMar>
              <w:top w:w="85" w:type="dxa"/>
              <w:left w:w="85" w:type="dxa"/>
              <w:bottom w:w="85" w:type="dxa"/>
              <w:right w:w="85" w:type="dxa"/>
            </w:tcMar>
            <w:vAlign w:val="center"/>
          </w:tcPr>
          <w:p>
            <w:pPr>
              <w:widowControl/>
              <w:autoSpaceDE w:val="0"/>
              <w:autoSpaceDN w:val="0"/>
              <w:spacing w:line="200" w:lineRule="atLeast"/>
              <w:ind w:firstLine="42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45" w:type="dxa"/>
            <w:left w:w="85" w:type="dxa"/>
            <w:bottom w:w="45" w:type="dxa"/>
            <w:right w:w="85" w:type="dxa"/>
          </w:tblCellMar>
        </w:tblPrEx>
        <w:trPr>
          <w:cantSplit/>
          <w:jc w:val="center"/>
        </w:trPr>
        <w:tc>
          <w:tcPr>
            <w:tcW w:w="2914" w:type="dxa"/>
            <w:tcMar>
              <w:top w:w="85" w:type="dxa"/>
              <w:left w:w="85" w:type="dxa"/>
              <w:bottom w:w="85" w:type="dxa"/>
              <w:right w:w="85" w:type="dxa"/>
            </w:tcMar>
            <w:vAlign w:val="center"/>
          </w:tcPr>
          <w:p>
            <w:pPr>
              <w:widowControl/>
              <w:autoSpaceDE w:val="0"/>
              <w:autoSpaceDN w:val="0"/>
              <w:spacing w:line="200" w:lineRule="atLeast"/>
              <w:ind w:firstLine="42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氨氮</w:t>
            </w:r>
          </w:p>
        </w:tc>
        <w:tc>
          <w:tcPr>
            <w:tcW w:w="3182" w:type="dxa"/>
            <w:tcMar>
              <w:top w:w="85" w:type="dxa"/>
              <w:left w:w="85" w:type="dxa"/>
              <w:bottom w:w="85" w:type="dxa"/>
              <w:right w:w="85" w:type="dxa"/>
            </w:tcMar>
            <w:vAlign w:val="center"/>
          </w:tcPr>
          <w:p>
            <w:pPr>
              <w:widowControl/>
              <w:autoSpaceDE w:val="0"/>
              <w:autoSpaceDN w:val="0"/>
              <w:spacing w:line="200" w:lineRule="atLeast"/>
              <w:ind w:firstLine="42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3032" w:type="dxa"/>
            <w:tcMar>
              <w:top w:w="85" w:type="dxa"/>
              <w:left w:w="85" w:type="dxa"/>
              <w:bottom w:w="85" w:type="dxa"/>
              <w:right w:w="85" w:type="dxa"/>
            </w:tcMar>
            <w:vAlign w:val="center"/>
          </w:tcPr>
          <w:p>
            <w:pPr>
              <w:widowControl/>
              <w:autoSpaceDE w:val="0"/>
              <w:autoSpaceDN w:val="0"/>
              <w:spacing w:line="200" w:lineRule="atLeast"/>
              <w:ind w:firstLine="42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45" w:type="dxa"/>
            <w:left w:w="85" w:type="dxa"/>
            <w:bottom w:w="45" w:type="dxa"/>
            <w:right w:w="85" w:type="dxa"/>
          </w:tblCellMar>
        </w:tblPrEx>
        <w:trPr>
          <w:cantSplit/>
          <w:jc w:val="center"/>
        </w:trPr>
        <w:tc>
          <w:tcPr>
            <w:tcW w:w="2914" w:type="dxa"/>
            <w:tcMar>
              <w:top w:w="85" w:type="dxa"/>
              <w:left w:w="85" w:type="dxa"/>
              <w:bottom w:w="85" w:type="dxa"/>
              <w:right w:w="85" w:type="dxa"/>
            </w:tcMar>
            <w:vAlign w:val="center"/>
          </w:tcPr>
          <w:p>
            <w:pPr>
              <w:widowControl/>
              <w:autoSpaceDE w:val="0"/>
              <w:autoSpaceDN w:val="0"/>
              <w:spacing w:line="200" w:lineRule="atLeast"/>
              <w:ind w:firstLine="42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总磷</w:t>
            </w:r>
          </w:p>
        </w:tc>
        <w:tc>
          <w:tcPr>
            <w:tcW w:w="3182" w:type="dxa"/>
            <w:tcMar>
              <w:top w:w="85" w:type="dxa"/>
              <w:left w:w="85" w:type="dxa"/>
              <w:bottom w:w="85" w:type="dxa"/>
              <w:right w:w="85" w:type="dxa"/>
            </w:tcMar>
            <w:vAlign w:val="center"/>
          </w:tcPr>
          <w:p>
            <w:pPr>
              <w:widowControl/>
              <w:autoSpaceDE w:val="0"/>
              <w:autoSpaceDN w:val="0"/>
              <w:spacing w:line="200" w:lineRule="atLeast"/>
              <w:ind w:firstLine="42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mg/L</w:t>
            </w:r>
          </w:p>
        </w:tc>
        <w:tc>
          <w:tcPr>
            <w:tcW w:w="3032" w:type="dxa"/>
            <w:tcMar>
              <w:top w:w="85" w:type="dxa"/>
              <w:left w:w="85" w:type="dxa"/>
              <w:bottom w:w="85" w:type="dxa"/>
              <w:right w:w="85" w:type="dxa"/>
            </w:tcMar>
            <w:vAlign w:val="center"/>
          </w:tcPr>
          <w:p>
            <w:pPr>
              <w:widowControl/>
              <w:autoSpaceDE w:val="0"/>
              <w:autoSpaceDN w:val="0"/>
              <w:spacing w:line="200" w:lineRule="atLeast"/>
              <w:ind w:firstLine="42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0.3</w:t>
            </w:r>
          </w:p>
        </w:tc>
      </w:tr>
    </w:tbl>
    <w:p>
      <w:pPr>
        <w:autoSpaceDE w:val="0"/>
        <w:autoSpaceDN w:val="0"/>
        <w:spacing w:line="500" w:lineRule="exact"/>
        <w:ind w:firstLine="482"/>
        <w:textAlignment w:val="baseline"/>
        <w:rPr>
          <w:rFonts w:hint="default" w:ascii="Times New Roman" w:hAnsi="Times New Roman" w:cs="Times New Roman"/>
          <w:b/>
          <w:color w:val="auto"/>
          <w:kern w:val="0"/>
          <w:szCs w:val="28"/>
        </w:rPr>
      </w:pPr>
      <w:r>
        <w:rPr>
          <w:rFonts w:hint="default" w:ascii="Times New Roman" w:hAnsi="Times New Roman" w:cs="Times New Roman"/>
          <w:b/>
          <w:color w:val="auto"/>
          <w:kern w:val="0"/>
          <w:szCs w:val="28"/>
        </w:rPr>
        <w:t>4.3.2.6  监测结果统计及评价</w:t>
      </w:r>
    </w:p>
    <w:p>
      <w:pPr>
        <w:ind w:left="420" w:hanging="420" w:hangingChars="175"/>
        <w:jc w:val="left"/>
        <w:rPr>
          <w:rFonts w:hint="default" w:ascii="Times New Roman" w:hAnsi="Times New Roman" w:cs="Times New Roman"/>
          <w:color w:val="auto"/>
        </w:rPr>
      </w:pPr>
      <w:r>
        <w:rPr>
          <w:rFonts w:hint="default" w:ascii="Times New Roman" w:hAnsi="Times New Roman" w:cs="Times New Roman"/>
          <w:color w:val="auto"/>
        </w:rPr>
        <w:t xml:space="preserve">    本次地表水环境质量现状监测数据统计分析结果见表4.2-10。</w:t>
      </w:r>
    </w:p>
    <w:p>
      <w:pPr>
        <w:spacing w:afterLines="30" w:line="500" w:lineRule="exact"/>
        <w:ind w:firstLine="0" w:firstLineChars="0"/>
        <w:jc w:val="center"/>
        <w:rPr>
          <w:rFonts w:hint="default" w:ascii="Times New Roman" w:hAnsi="Times New Roman" w:cs="Times New Roman"/>
          <w:b/>
          <w:color w:val="auto"/>
        </w:rPr>
      </w:pPr>
      <w:r>
        <w:rPr>
          <w:rFonts w:hint="default" w:ascii="Times New Roman" w:hAnsi="Times New Roman" w:cs="Times New Roman"/>
          <w:b/>
          <w:color w:val="auto"/>
        </w:rPr>
        <w:t>表4.2-10           地表水环境质量现状监测结果统计一览表</w:t>
      </w:r>
    </w:p>
    <w:tbl>
      <w:tblPr>
        <w:tblStyle w:val="25"/>
        <w:tblW w:w="8954"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51"/>
        <w:gridCol w:w="1512"/>
        <w:gridCol w:w="3184"/>
        <w:gridCol w:w="1071"/>
        <w:gridCol w:w="2136"/>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51" w:type="dxa"/>
            <w:vMerge w:val="restart"/>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序号</w:t>
            </w:r>
          </w:p>
        </w:tc>
        <w:tc>
          <w:tcPr>
            <w:tcW w:w="1512" w:type="dxa"/>
            <w:vMerge w:val="restart"/>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w:t>
            </w:r>
          </w:p>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w:t>
            </w: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监测时段</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浓度</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超标倍数</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序号</w:t>
            </w: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w:t>
            </w:r>
          </w:p>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w:t>
            </w:r>
          </w:p>
        </w:tc>
        <w:tc>
          <w:tcPr>
            <w:tcW w:w="6391" w:type="dxa"/>
            <w:gridSpan w:val="3"/>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马郏河西吉七断面</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9" w:hRule="atLeast"/>
          <w:jc w:val="center"/>
        </w:trPr>
        <w:tc>
          <w:tcPr>
            <w:tcW w:w="1051" w:type="dxa"/>
            <w:vMerge w:val="restart"/>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1512" w:type="dxa"/>
            <w:vMerge w:val="restart"/>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COD</w:t>
            </w: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8</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6月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14</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5"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8</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7月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24</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9"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8</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8月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18</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8"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8</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9月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11</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1"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8</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10月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18</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5"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8</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11月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15</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8</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12月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22</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2"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9</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1月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15</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9</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2月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14</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9</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3月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16</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2"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9</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4月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9</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9"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9</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5月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14</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9" w:hRule="atLeast"/>
          <w:jc w:val="center"/>
        </w:trPr>
        <w:tc>
          <w:tcPr>
            <w:tcW w:w="1051" w:type="dxa"/>
            <w:vMerge w:val="restart"/>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w:t>
            </w:r>
          </w:p>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restart"/>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NH</w:t>
            </w:r>
            <w:r>
              <w:rPr>
                <w:rFonts w:hint="default" w:ascii="Times New Roman" w:hAnsi="Times New Roman" w:cs="Times New Roman"/>
                <w:color w:val="auto"/>
                <w:kern w:val="0"/>
                <w:sz w:val="21"/>
                <w:szCs w:val="21"/>
                <w:vertAlign w:val="subscript"/>
              </w:rPr>
              <w:t>3</w:t>
            </w:r>
            <w:r>
              <w:rPr>
                <w:rFonts w:hint="default" w:ascii="Times New Roman" w:hAnsi="Times New Roman" w:cs="Times New Roman"/>
                <w:color w:val="auto"/>
                <w:kern w:val="0"/>
                <w:sz w:val="21"/>
                <w:szCs w:val="21"/>
              </w:rPr>
              <w:t>-N</w:t>
            </w: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8</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6月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1.31</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2"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8</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7月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1.17</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5"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8</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8月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3.64</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2.43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9"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8</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9月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0.86</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7"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8</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10月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0.2</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6"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8</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11月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0.62</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4"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8</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12月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0.99</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0"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9</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1月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2.95</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1.97</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3"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9</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2月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0.22</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2"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9</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3月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0.16</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9</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4月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0.08</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9"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9</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5月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0.57</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2" w:hRule="atLeast"/>
          <w:jc w:val="center"/>
        </w:trPr>
        <w:tc>
          <w:tcPr>
            <w:tcW w:w="1051" w:type="dxa"/>
            <w:vMerge w:val="restart"/>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w:t>
            </w:r>
          </w:p>
        </w:tc>
        <w:tc>
          <w:tcPr>
            <w:tcW w:w="1512" w:type="dxa"/>
            <w:vMerge w:val="restart"/>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总磷</w:t>
            </w: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8</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6月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0.</w:t>
            </w:r>
            <w:r>
              <w:rPr>
                <w:rFonts w:hint="default" w:ascii="Times New Roman" w:hAnsi="Times New Roman" w:cs="Times New Roman"/>
                <w:color w:val="auto"/>
                <w:kern w:val="0"/>
                <w:sz w:val="21"/>
                <w:szCs w:val="21"/>
                <w:lang w:val="en-US" w:eastAsia="zh-CN"/>
              </w:rPr>
              <w:t>22</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0"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8</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7月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0.15</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9"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8</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8月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0.37</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1.23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2"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8</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9月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0.1</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1"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8</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10月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0.24</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9"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8</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11月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0.12</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3"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8</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12月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0.48</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1.63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1"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9</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1月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0.16</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9</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2月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0.08</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8"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9</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3月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0.12</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42"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9</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4月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0.12</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19" w:hRule="atLeast"/>
          <w:jc w:val="center"/>
        </w:trPr>
        <w:tc>
          <w:tcPr>
            <w:tcW w:w="1051"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1512" w:type="dxa"/>
            <w:vMerge w:val="continue"/>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cs="Times New Roman"/>
                <w:color w:val="auto"/>
                <w:kern w:val="0"/>
                <w:sz w:val="21"/>
                <w:szCs w:val="21"/>
              </w:rPr>
            </w:pPr>
          </w:p>
        </w:tc>
        <w:tc>
          <w:tcPr>
            <w:tcW w:w="3184"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rPr>
              <w:t>201</w:t>
            </w:r>
            <w:r>
              <w:rPr>
                <w:rFonts w:hint="default" w:ascii="Times New Roman" w:hAnsi="Times New Roman" w:cs="Times New Roman"/>
                <w:color w:val="auto"/>
                <w:kern w:val="0"/>
                <w:sz w:val="21"/>
                <w:szCs w:val="21"/>
                <w:lang w:val="en-US" w:eastAsia="zh-CN"/>
              </w:rPr>
              <w:t>9</w:t>
            </w:r>
            <w:r>
              <w:rPr>
                <w:rFonts w:hint="default" w:ascii="Times New Roman" w:hAnsi="Times New Roman" w:cs="Times New Roman"/>
                <w:color w:val="auto"/>
                <w:kern w:val="0"/>
                <w:sz w:val="21"/>
                <w:szCs w:val="21"/>
              </w:rPr>
              <w:t>年</w:t>
            </w:r>
            <w:r>
              <w:rPr>
                <w:rFonts w:hint="default" w:ascii="Times New Roman" w:hAnsi="Times New Roman" w:cs="Times New Roman"/>
                <w:color w:val="auto"/>
                <w:kern w:val="0"/>
                <w:sz w:val="21"/>
                <w:szCs w:val="21"/>
                <w:lang w:val="en-US" w:eastAsia="zh-CN"/>
              </w:rPr>
              <w:t>5月</w:t>
            </w:r>
          </w:p>
        </w:tc>
        <w:tc>
          <w:tcPr>
            <w:tcW w:w="1071"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0.15</w:t>
            </w:r>
          </w:p>
        </w:tc>
        <w:tc>
          <w:tcPr>
            <w:tcW w:w="2136" w:type="dxa"/>
            <w:tcBorders>
              <w:tl2br w:val="nil"/>
              <w:tr2bl w:val="nil"/>
            </w:tcBorders>
            <w:vAlign w:val="center"/>
          </w:tcPr>
          <w:p>
            <w:pPr>
              <w:widowControl/>
              <w:autoSpaceDE w:val="0"/>
              <w:autoSpaceDN w:val="0"/>
              <w:spacing w:line="240" w:lineRule="auto"/>
              <w:ind w:firstLine="0" w:firstLineChars="0"/>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0</w:t>
            </w:r>
          </w:p>
        </w:tc>
      </w:tr>
    </w:tbl>
    <w:p>
      <w:pPr>
        <w:ind w:firstLine="480"/>
        <w:jc w:val="left"/>
        <w:rPr>
          <w:rFonts w:hint="default" w:ascii="Times New Roman" w:hAnsi="Times New Roman" w:cs="Times New Roman"/>
          <w:b/>
          <w:bCs/>
          <w:color w:val="auto"/>
          <w:u w:val="single"/>
        </w:rPr>
      </w:pPr>
      <w:r>
        <w:rPr>
          <w:rFonts w:hint="default" w:ascii="Times New Roman" w:hAnsi="Times New Roman" w:cs="Times New Roman"/>
          <w:b/>
          <w:bCs/>
          <w:color w:val="auto"/>
          <w:u w:val="single"/>
        </w:rPr>
        <w:t>由表4.4-10可以看出，马郏河西吉七断面监测因子</w:t>
      </w:r>
      <w:r>
        <w:rPr>
          <w:rFonts w:hint="default" w:ascii="Times New Roman" w:hAnsi="Times New Roman" w:cs="Times New Roman"/>
          <w:b/>
          <w:bCs/>
          <w:color w:val="auto"/>
          <w:u w:val="single"/>
          <w:lang w:eastAsia="zh-CN"/>
        </w:rPr>
        <w:t>个别月份不能</w:t>
      </w:r>
      <w:r>
        <w:rPr>
          <w:rFonts w:hint="default" w:ascii="Times New Roman" w:hAnsi="Times New Roman" w:cs="Times New Roman"/>
          <w:b/>
          <w:bCs/>
          <w:color w:val="auto"/>
          <w:u w:val="single"/>
        </w:rPr>
        <w:t>满足《地表水环境质量标准》（GB3838-2002）</w:t>
      </w:r>
      <w:r>
        <w:rPr>
          <w:rFonts w:hint="default" w:ascii="Times New Roman" w:hAnsi="Times New Roman" w:cs="Times New Roman"/>
          <w:b/>
          <w:bCs/>
          <w:color w:val="auto"/>
          <w:highlight w:val="yellow"/>
          <w:u w:val="single"/>
        </w:rPr>
        <w:fldChar w:fldCharType="begin"/>
      </w:r>
      <w:r>
        <w:rPr>
          <w:rFonts w:hint="default" w:ascii="Times New Roman" w:hAnsi="Times New Roman" w:cs="Times New Roman"/>
          <w:b/>
          <w:bCs/>
          <w:color w:val="auto"/>
          <w:highlight w:val="yellow"/>
          <w:u w:val="single"/>
        </w:rPr>
        <w:instrText xml:space="preserve"> = 4 \* ROMAN \* MERGEFORMAT </w:instrText>
      </w:r>
      <w:r>
        <w:rPr>
          <w:rFonts w:hint="default" w:ascii="Times New Roman" w:hAnsi="Times New Roman" w:cs="Times New Roman"/>
          <w:b/>
          <w:bCs/>
          <w:color w:val="auto"/>
          <w:highlight w:val="yellow"/>
          <w:u w:val="single"/>
        </w:rPr>
        <w:fldChar w:fldCharType="separate"/>
      </w:r>
      <w:r>
        <w:rPr>
          <w:rFonts w:hint="default" w:ascii="Times New Roman" w:hAnsi="Times New Roman" w:cs="Times New Roman"/>
          <w:b/>
          <w:bCs/>
          <w:color w:val="auto"/>
          <w:u w:val="single"/>
        </w:rPr>
        <w:t>IV</w:t>
      </w:r>
      <w:r>
        <w:rPr>
          <w:rFonts w:hint="default" w:ascii="Times New Roman" w:hAnsi="Times New Roman" w:cs="Times New Roman"/>
          <w:b/>
          <w:bCs/>
          <w:color w:val="auto"/>
          <w:highlight w:val="yellow"/>
          <w:u w:val="single"/>
        </w:rPr>
        <w:fldChar w:fldCharType="end"/>
      </w:r>
      <w:r>
        <w:rPr>
          <w:rFonts w:hint="default" w:ascii="Times New Roman" w:hAnsi="Times New Roman" w:cs="Times New Roman"/>
          <w:b/>
          <w:bCs/>
          <w:color w:val="auto"/>
          <w:u w:val="single"/>
        </w:rPr>
        <w:t>类标准的要求，</w:t>
      </w:r>
      <w:r>
        <w:rPr>
          <w:rFonts w:hint="default" w:ascii="Times New Roman" w:hAnsi="Times New Roman" w:cs="Times New Roman"/>
          <w:b/>
          <w:bCs/>
          <w:color w:val="auto"/>
          <w:u w:val="single"/>
          <w:lang w:eastAsia="zh-CN"/>
        </w:rPr>
        <w:t>主要超标原因为农村面源污染</w:t>
      </w:r>
      <w:r>
        <w:rPr>
          <w:rFonts w:hint="default" w:ascii="Times New Roman" w:hAnsi="Times New Roman" w:cs="Times New Roman"/>
          <w:b/>
          <w:bCs/>
          <w:color w:val="auto"/>
          <w:u w:val="single"/>
        </w:rPr>
        <w:t>。</w:t>
      </w:r>
    </w:p>
    <w:p>
      <w:pPr>
        <w:pStyle w:val="5"/>
        <w:tabs>
          <w:tab w:val="left" w:pos="0"/>
        </w:tabs>
        <w:rPr>
          <w:rFonts w:hint="default" w:ascii="Times New Roman" w:hAnsi="Times New Roman" w:cs="Times New Roman"/>
          <w:color w:val="auto"/>
        </w:rPr>
      </w:pPr>
      <w:r>
        <w:rPr>
          <w:rFonts w:hint="default" w:ascii="Times New Roman" w:hAnsi="Times New Roman" w:cs="Times New Roman"/>
          <w:color w:val="auto"/>
        </w:rPr>
        <w:t>4.</w:t>
      </w:r>
      <w:r>
        <w:rPr>
          <w:rFonts w:hint="default" w:ascii="Times New Roman" w:hAnsi="Times New Roman" w:cs="Times New Roman"/>
          <w:color w:val="auto"/>
          <w:lang w:val="en-US"/>
        </w:rPr>
        <w:t>2</w:t>
      </w:r>
      <w:r>
        <w:rPr>
          <w:rFonts w:hint="default" w:ascii="Times New Roman" w:hAnsi="Times New Roman" w:cs="Times New Roman"/>
          <w:color w:val="auto"/>
        </w:rPr>
        <w:t>.3  地下水环境质量现状调查与评价</w:t>
      </w:r>
    </w:p>
    <w:p>
      <w:pPr>
        <w:autoSpaceDE w:val="0"/>
        <w:autoSpaceDN w:val="0"/>
        <w:ind w:firstLine="480"/>
        <w:rPr>
          <w:rFonts w:hint="default" w:ascii="Times New Roman" w:hAnsi="Times New Roman" w:cs="Times New Roman"/>
          <w:color w:val="auto"/>
        </w:rPr>
      </w:pPr>
      <w:r>
        <w:rPr>
          <w:rFonts w:hint="default" w:ascii="Times New Roman" w:hAnsi="Times New Roman" w:cs="Times New Roman"/>
          <w:color w:val="auto"/>
        </w:rPr>
        <w:t>4.2.3.1  监测点位及监测因子、时间、频率</w:t>
      </w:r>
    </w:p>
    <w:p>
      <w:pPr>
        <w:pStyle w:val="42"/>
        <w:numPr>
          <w:ilvl w:val="0"/>
          <w:numId w:val="0"/>
        </w:numPr>
        <w:ind w:firstLine="471"/>
        <w:jc w:val="left"/>
        <w:rPr>
          <w:rFonts w:hint="default" w:ascii="Times New Roman" w:hAnsi="Times New Roman" w:cs="Times New Roman"/>
          <w:b w:val="0"/>
          <w:color w:val="auto"/>
        </w:rPr>
      </w:pPr>
      <w:r>
        <w:rPr>
          <w:rFonts w:hint="default" w:ascii="Times New Roman" w:hAnsi="Times New Roman" w:cs="Times New Roman"/>
          <w:b w:val="0"/>
          <w:color w:val="auto"/>
        </w:rPr>
        <w:t>评价区内地下水主要为深层地下水，地下水流向西南向东北。依据工程污染特征、地下水走向及项目区周围敏感点分布情况，本次评价对地下水监测共布设6个监测点，地下水监测布点设置见表4.2-11。</w:t>
      </w:r>
    </w:p>
    <w:p>
      <w:pPr>
        <w:spacing w:afterLines="30" w:line="500" w:lineRule="exact"/>
        <w:ind w:left="852" w:leftChars="355" w:firstLine="1210" w:firstLineChars="550"/>
        <w:rPr>
          <w:rFonts w:hint="default" w:ascii="Times New Roman" w:hAnsi="Times New Roman" w:cs="Times New Roman"/>
          <w:b/>
          <w:color w:val="auto"/>
          <w:sz w:val="22"/>
          <w:szCs w:val="22"/>
        </w:rPr>
      </w:pPr>
      <w:r>
        <w:rPr>
          <w:rFonts w:hint="default" w:ascii="Times New Roman" w:hAnsi="Times New Roman" w:cs="Times New Roman"/>
          <w:b/>
          <w:color w:val="auto"/>
          <w:sz w:val="22"/>
          <w:szCs w:val="22"/>
        </w:rPr>
        <w:t>表4.2-11                地下水监测点位布设情况一览表</w:t>
      </w:r>
    </w:p>
    <w:tbl>
      <w:tblPr>
        <w:tblStyle w:val="25"/>
        <w:tblW w:w="8760"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38"/>
        <w:gridCol w:w="981"/>
        <w:gridCol w:w="806"/>
        <w:gridCol w:w="788"/>
        <w:gridCol w:w="3436"/>
        <w:gridCol w:w="1007"/>
        <w:gridCol w:w="1004"/>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5" w:hRule="exact"/>
          <w:jc w:val="center"/>
        </w:trPr>
        <w:tc>
          <w:tcPr>
            <w:tcW w:w="738"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编号</w:t>
            </w:r>
          </w:p>
        </w:tc>
        <w:tc>
          <w:tcPr>
            <w:tcW w:w="981"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监测点</w:t>
            </w:r>
          </w:p>
        </w:tc>
        <w:tc>
          <w:tcPr>
            <w:tcW w:w="806"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距离(m)</w:t>
            </w:r>
          </w:p>
        </w:tc>
        <w:tc>
          <w:tcPr>
            <w:tcW w:w="788"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color w:val="auto"/>
                <w:kern w:val="0"/>
                <w:sz w:val="21"/>
                <w:szCs w:val="21"/>
              </w:rPr>
              <w:t>方位</w:t>
            </w:r>
          </w:p>
        </w:tc>
        <w:tc>
          <w:tcPr>
            <w:tcW w:w="3436"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监测项目</w:t>
            </w:r>
          </w:p>
        </w:tc>
        <w:tc>
          <w:tcPr>
            <w:tcW w:w="1007"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监测频次</w:t>
            </w:r>
          </w:p>
        </w:tc>
        <w:tc>
          <w:tcPr>
            <w:tcW w:w="1004"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备注</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58" w:hRule="atLeast"/>
          <w:jc w:val="center"/>
        </w:trPr>
        <w:tc>
          <w:tcPr>
            <w:tcW w:w="738"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981"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贺庄村</w:t>
            </w:r>
          </w:p>
        </w:tc>
        <w:tc>
          <w:tcPr>
            <w:tcW w:w="806"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960</w:t>
            </w:r>
          </w:p>
        </w:tc>
        <w:tc>
          <w:tcPr>
            <w:tcW w:w="788"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NE</w:t>
            </w:r>
          </w:p>
        </w:tc>
        <w:tc>
          <w:tcPr>
            <w:tcW w:w="3436" w:type="dxa"/>
            <w:vMerge w:val="restart"/>
            <w:tcBorders>
              <w:tl2br w:val="nil"/>
              <w:tr2bl w:val="nil"/>
            </w:tcBorders>
            <w:vAlign w:val="center"/>
          </w:tcPr>
          <w:p>
            <w:pPr>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K</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、Ca</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、Mg</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-、Cl</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、pH、氨氮、硝酸盐、亚硝酸盐、挥发性酚类、氰化物、砷、汞、铬（六价）、总硬度、铅、氟、镉、铁、锰、溶解性总固体、硫酸盐、氯化物、总大肠菌群、细菌总数共29项，同时记录井深、水温、水位、功能</w:t>
            </w:r>
          </w:p>
        </w:tc>
        <w:tc>
          <w:tcPr>
            <w:tcW w:w="1007" w:type="dxa"/>
            <w:vMerge w:val="restart"/>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连续监测</w:t>
            </w:r>
          </w:p>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2天，每天</w:t>
            </w:r>
          </w:p>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采样1次</w:t>
            </w:r>
          </w:p>
        </w:tc>
        <w:tc>
          <w:tcPr>
            <w:tcW w:w="1004"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背景点</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738"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w:t>
            </w:r>
          </w:p>
        </w:tc>
        <w:tc>
          <w:tcPr>
            <w:tcW w:w="981"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杨韩村</w:t>
            </w:r>
          </w:p>
        </w:tc>
        <w:tc>
          <w:tcPr>
            <w:tcW w:w="806"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510</w:t>
            </w:r>
          </w:p>
        </w:tc>
        <w:tc>
          <w:tcPr>
            <w:tcW w:w="788"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S</w:t>
            </w:r>
          </w:p>
        </w:tc>
        <w:tc>
          <w:tcPr>
            <w:tcW w:w="3436" w:type="dxa"/>
            <w:vMerge w:val="continue"/>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pH</w:t>
            </w:r>
          </w:p>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      2+</w:t>
            </w:r>
          </w:p>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铅、铁、锰、砷、K+、Na+、Ca 、Mg 、</w:t>
            </w:r>
          </w:p>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CO32-、HCO3-、Cl 、SO42-共 21 项，同时记</w:t>
            </w:r>
          </w:p>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录井深和水位、水温、坐标</w:t>
            </w:r>
          </w:p>
        </w:tc>
        <w:tc>
          <w:tcPr>
            <w:tcW w:w="1007" w:type="dxa"/>
            <w:vMerge w:val="continue"/>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连续监测</w:t>
            </w:r>
          </w:p>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 天，每天</w:t>
            </w:r>
          </w:p>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采样 1 次</w:t>
            </w:r>
          </w:p>
        </w:tc>
        <w:tc>
          <w:tcPr>
            <w:tcW w:w="1004"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监测点</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58" w:hRule="atLeast"/>
          <w:jc w:val="center"/>
        </w:trPr>
        <w:tc>
          <w:tcPr>
            <w:tcW w:w="738"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w:t>
            </w:r>
          </w:p>
        </w:tc>
        <w:tc>
          <w:tcPr>
            <w:tcW w:w="981"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南召市村</w:t>
            </w:r>
          </w:p>
        </w:tc>
        <w:tc>
          <w:tcPr>
            <w:tcW w:w="806"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1200</w:t>
            </w:r>
          </w:p>
        </w:tc>
        <w:tc>
          <w:tcPr>
            <w:tcW w:w="788"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N</w:t>
            </w:r>
          </w:p>
        </w:tc>
        <w:tc>
          <w:tcPr>
            <w:tcW w:w="3436" w:type="dxa"/>
            <w:vMerge w:val="continue"/>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pH</w:t>
            </w:r>
          </w:p>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      2+</w:t>
            </w:r>
          </w:p>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铅、铁、锰、砷、K+、Na+、Ca 、Mg 、</w:t>
            </w:r>
          </w:p>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CO32-、HCO3-、Cl 、SO42-共 21 项，同时记</w:t>
            </w:r>
          </w:p>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录井深和水位、水温、坐标</w:t>
            </w:r>
          </w:p>
        </w:tc>
        <w:tc>
          <w:tcPr>
            <w:tcW w:w="1007" w:type="dxa"/>
            <w:vMerge w:val="continue"/>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连续监测</w:t>
            </w:r>
          </w:p>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 天，每天</w:t>
            </w:r>
          </w:p>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采样 1 次</w:t>
            </w:r>
          </w:p>
        </w:tc>
        <w:tc>
          <w:tcPr>
            <w:tcW w:w="1004"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监测点</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5" w:hRule="exact"/>
          <w:jc w:val="center"/>
        </w:trPr>
        <w:tc>
          <w:tcPr>
            <w:tcW w:w="738"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w:t>
            </w:r>
          </w:p>
        </w:tc>
        <w:tc>
          <w:tcPr>
            <w:tcW w:w="98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18"/>
                <w:szCs w:val="18"/>
              </w:rPr>
              <w:t>库韩村</w:t>
            </w:r>
          </w:p>
        </w:tc>
        <w:tc>
          <w:tcPr>
            <w:tcW w:w="806"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1320</w:t>
            </w:r>
          </w:p>
        </w:tc>
        <w:tc>
          <w:tcPr>
            <w:tcW w:w="788"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S</w:t>
            </w:r>
          </w:p>
        </w:tc>
        <w:tc>
          <w:tcPr>
            <w:tcW w:w="3436" w:type="dxa"/>
            <w:vMerge w:val="restart"/>
            <w:tcBorders>
              <w:tl2br w:val="nil"/>
              <w:tr2bl w:val="nil"/>
            </w:tcBorders>
            <w:vAlign w:val="center"/>
          </w:tcPr>
          <w:p>
            <w:pPr>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记录井深、水温、水位、功能</w:t>
            </w:r>
          </w:p>
        </w:tc>
        <w:tc>
          <w:tcPr>
            <w:tcW w:w="1007" w:type="dxa"/>
            <w:vMerge w:val="restart"/>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1004"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监测点</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738"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w:t>
            </w:r>
          </w:p>
        </w:tc>
        <w:tc>
          <w:tcPr>
            <w:tcW w:w="98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18"/>
                <w:szCs w:val="18"/>
              </w:rPr>
              <w:t>北召市村</w:t>
            </w:r>
          </w:p>
        </w:tc>
        <w:tc>
          <w:tcPr>
            <w:tcW w:w="806"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2400</w:t>
            </w:r>
          </w:p>
        </w:tc>
        <w:tc>
          <w:tcPr>
            <w:tcW w:w="788"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N</w:t>
            </w:r>
          </w:p>
        </w:tc>
        <w:tc>
          <w:tcPr>
            <w:tcW w:w="3436" w:type="dxa"/>
            <w:vMerge w:val="continue"/>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p>
        </w:tc>
        <w:tc>
          <w:tcPr>
            <w:tcW w:w="1007" w:type="dxa"/>
            <w:vMerge w:val="continue"/>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p>
        </w:tc>
        <w:tc>
          <w:tcPr>
            <w:tcW w:w="1004"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监测点</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5" w:hRule="exact"/>
          <w:jc w:val="center"/>
        </w:trPr>
        <w:tc>
          <w:tcPr>
            <w:tcW w:w="738"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w:t>
            </w:r>
          </w:p>
        </w:tc>
        <w:tc>
          <w:tcPr>
            <w:tcW w:w="98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18"/>
                <w:szCs w:val="18"/>
              </w:rPr>
              <w:t>西徐家村</w:t>
            </w:r>
          </w:p>
        </w:tc>
        <w:tc>
          <w:tcPr>
            <w:tcW w:w="806"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2880</w:t>
            </w:r>
          </w:p>
        </w:tc>
        <w:tc>
          <w:tcPr>
            <w:tcW w:w="788"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NE</w:t>
            </w:r>
          </w:p>
        </w:tc>
        <w:tc>
          <w:tcPr>
            <w:tcW w:w="3436" w:type="dxa"/>
            <w:vMerge w:val="continue"/>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p>
        </w:tc>
        <w:tc>
          <w:tcPr>
            <w:tcW w:w="1007" w:type="dxa"/>
            <w:vMerge w:val="continue"/>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p>
        </w:tc>
        <w:tc>
          <w:tcPr>
            <w:tcW w:w="1004"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监测点</w:t>
            </w:r>
          </w:p>
        </w:tc>
      </w:tr>
    </w:tbl>
    <w:p>
      <w:pPr>
        <w:autoSpaceDE w:val="0"/>
        <w:autoSpaceDN w:val="0"/>
        <w:ind w:firstLine="480"/>
        <w:rPr>
          <w:rFonts w:hint="default" w:ascii="Times New Roman" w:hAnsi="Times New Roman" w:cs="Times New Roman"/>
          <w:color w:val="auto"/>
        </w:rPr>
      </w:pPr>
      <w:r>
        <w:rPr>
          <w:rFonts w:hint="default" w:ascii="Times New Roman" w:hAnsi="Times New Roman" w:cs="Times New Roman"/>
          <w:color w:val="auto"/>
        </w:rPr>
        <w:t>4.2.3.2  监测因子分析方法</w:t>
      </w:r>
    </w:p>
    <w:p>
      <w:pPr>
        <w:pStyle w:val="42"/>
        <w:numPr>
          <w:ilvl w:val="0"/>
          <w:numId w:val="0"/>
        </w:numPr>
        <w:adjustRightInd/>
        <w:snapToGrid/>
        <w:spacing w:line="240" w:lineRule="auto"/>
        <w:ind w:firstLine="480"/>
        <w:jc w:val="left"/>
        <w:rPr>
          <w:rFonts w:hint="default" w:ascii="Times New Roman" w:hAnsi="Times New Roman" w:cs="Times New Roman"/>
          <w:b w:val="0"/>
          <w:color w:val="auto"/>
        </w:rPr>
      </w:pPr>
      <w:r>
        <w:rPr>
          <w:rFonts w:hint="default" w:ascii="Times New Roman" w:hAnsi="Times New Roman" w:cs="Times New Roman"/>
          <w:b w:val="0"/>
          <w:color w:val="auto"/>
        </w:rPr>
        <w:t>地下水各监测因子的分析方法见表4.2-12。</w:t>
      </w:r>
    </w:p>
    <w:p>
      <w:pPr>
        <w:adjustRightInd/>
        <w:snapToGrid/>
        <w:spacing w:line="240" w:lineRule="auto"/>
        <w:ind w:firstLine="1210" w:firstLineChars="550"/>
        <w:rPr>
          <w:rFonts w:hint="default" w:ascii="Times New Roman" w:hAnsi="Times New Roman" w:cs="Times New Roman"/>
          <w:b/>
          <w:color w:val="auto"/>
          <w:sz w:val="22"/>
          <w:szCs w:val="22"/>
        </w:rPr>
      </w:pPr>
      <w:r>
        <w:rPr>
          <w:rFonts w:hint="default" w:ascii="Times New Roman" w:hAnsi="Times New Roman" w:cs="Times New Roman"/>
          <w:b/>
          <w:color w:val="auto"/>
          <w:sz w:val="22"/>
          <w:szCs w:val="22"/>
        </w:rPr>
        <w:t>表4.2-12              地下水各监测因子分析方法一览表</w:t>
      </w:r>
    </w:p>
    <w:tbl>
      <w:tblPr>
        <w:tblStyle w:val="25"/>
        <w:tblW w:w="917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2972"/>
        <w:gridCol w:w="2983"/>
        <w:gridCol w:w="15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0"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监测因子</w:t>
            </w:r>
          </w:p>
        </w:tc>
        <w:tc>
          <w:tcPr>
            <w:tcW w:w="2972"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监测分析方法</w:t>
            </w:r>
          </w:p>
        </w:tc>
        <w:tc>
          <w:tcPr>
            <w:tcW w:w="2983"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方法来源</w:t>
            </w:r>
          </w:p>
        </w:tc>
        <w:tc>
          <w:tcPr>
            <w:tcW w:w="1549"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检出限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7" w:hRule="atLeast"/>
          <w:jc w:val="center"/>
        </w:trPr>
        <w:tc>
          <w:tcPr>
            <w:tcW w:w="1670"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pH值</w:t>
            </w:r>
          </w:p>
        </w:tc>
        <w:tc>
          <w:tcPr>
            <w:tcW w:w="2972"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玻璃电极法</w:t>
            </w:r>
          </w:p>
        </w:tc>
        <w:tc>
          <w:tcPr>
            <w:tcW w:w="2983"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GB/T5750.4-2006</w:t>
            </w:r>
          </w:p>
        </w:tc>
        <w:tc>
          <w:tcPr>
            <w:tcW w:w="1549"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0"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总硬度</w:t>
            </w:r>
          </w:p>
        </w:tc>
        <w:tc>
          <w:tcPr>
            <w:tcW w:w="2972"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乙二胺四乙酸二钠滴定法</w:t>
            </w:r>
          </w:p>
        </w:tc>
        <w:tc>
          <w:tcPr>
            <w:tcW w:w="2983"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GB/T5750.4-2006</w:t>
            </w:r>
          </w:p>
        </w:tc>
        <w:tc>
          <w:tcPr>
            <w:tcW w:w="1549"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0"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氨氮</w:t>
            </w:r>
          </w:p>
        </w:tc>
        <w:tc>
          <w:tcPr>
            <w:tcW w:w="2972"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纳氏试剂分光光度法</w:t>
            </w:r>
          </w:p>
        </w:tc>
        <w:tc>
          <w:tcPr>
            <w:tcW w:w="2983"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GB/T5750.5-2006</w:t>
            </w:r>
          </w:p>
        </w:tc>
        <w:tc>
          <w:tcPr>
            <w:tcW w:w="1549"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0.02mg/L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0"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硝酸盐</w:t>
            </w:r>
          </w:p>
        </w:tc>
        <w:tc>
          <w:tcPr>
            <w:tcW w:w="2972"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酚二磺酸分光光度法</w:t>
            </w:r>
          </w:p>
        </w:tc>
        <w:tc>
          <w:tcPr>
            <w:tcW w:w="2983"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GB/T7480-1987</w:t>
            </w:r>
          </w:p>
        </w:tc>
        <w:tc>
          <w:tcPr>
            <w:tcW w:w="1549"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0.02mg/L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0"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亚硝酸盐</w:t>
            </w:r>
          </w:p>
        </w:tc>
        <w:tc>
          <w:tcPr>
            <w:tcW w:w="2972"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分光光度法</w:t>
            </w:r>
          </w:p>
        </w:tc>
        <w:tc>
          <w:tcPr>
            <w:tcW w:w="2983"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GB/T7493-1987</w:t>
            </w:r>
          </w:p>
        </w:tc>
        <w:tc>
          <w:tcPr>
            <w:tcW w:w="1549"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0.003mg/L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0"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总大肠菌群</w:t>
            </w:r>
          </w:p>
        </w:tc>
        <w:tc>
          <w:tcPr>
            <w:tcW w:w="2972"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滤膜法</w:t>
            </w:r>
          </w:p>
        </w:tc>
        <w:tc>
          <w:tcPr>
            <w:tcW w:w="2983"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GB/T 5750.12-2006</w:t>
            </w:r>
          </w:p>
        </w:tc>
        <w:tc>
          <w:tcPr>
            <w:tcW w:w="1549"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0"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细菌总数</w:t>
            </w:r>
          </w:p>
        </w:tc>
        <w:tc>
          <w:tcPr>
            <w:tcW w:w="2972"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平皿计数法</w:t>
            </w:r>
          </w:p>
        </w:tc>
        <w:tc>
          <w:tcPr>
            <w:tcW w:w="2983"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GB/T 5750.12-2006</w:t>
            </w:r>
          </w:p>
        </w:tc>
        <w:tc>
          <w:tcPr>
            <w:tcW w:w="1549"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0"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氟</w:t>
            </w:r>
          </w:p>
        </w:tc>
        <w:tc>
          <w:tcPr>
            <w:tcW w:w="2972"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离子选择电极法</w:t>
            </w:r>
          </w:p>
        </w:tc>
        <w:tc>
          <w:tcPr>
            <w:tcW w:w="2983"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GB/T 5750.5-2006</w:t>
            </w:r>
          </w:p>
        </w:tc>
        <w:tc>
          <w:tcPr>
            <w:tcW w:w="1549"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0.2mg/L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0"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铅</w:t>
            </w:r>
          </w:p>
        </w:tc>
        <w:tc>
          <w:tcPr>
            <w:tcW w:w="2972"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无火焰原子吸收分光光度法</w:t>
            </w:r>
          </w:p>
        </w:tc>
        <w:tc>
          <w:tcPr>
            <w:tcW w:w="2983"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GB/T 5750.6-2006</w:t>
            </w:r>
          </w:p>
        </w:tc>
        <w:tc>
          <w:tcPr>
            <w:tcW w:w="1549"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2.5μg/L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0"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铁</w:t>
            </w:r>
          </w:p>
        </w:tc>
        <w:tc>
          <w:tcPr>
            <w:tcW w:w="2972"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原子吸收分光光度法</w:t>
            </w:r>
          </w:p>
        </w:tc>
        <w:tc>
          <w:tcPr>
            <w:tcW w:w="2983"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GB/T 5750.6-2006</w:t>
            </w:r>
          </w:p>
        </w:tc>
        <w:tc>
          <w:tcPr>
            <w:tcW w:w="1549"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0.03mg/L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0"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锰</w:t>
            </w:r>
          </w:p>
        </w:tc>
        <w:tc>
          <w:tcPr>
            <w:tcW w:w="2972"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原子吸收分光光度法</w:t>
            </w:r>
          </w:p>
        </w:tc>
        <w:tc>
          <w:tcPr>
            <w:tcW w:w="2983"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GB/T 5750.6-2006</w:t>
            </w:r>
          </w:p>
        </w:tc>
        <w:tc>
          <w:tcPr>
            <w:tcW w:w="1549"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0.01mg/L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0"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K</w:t>
            </w:r>
            <w:r>
              <w:rPr>
                <w:rFonts w:hint="default" w:ascii="Times New Roman" w:hAnsi="Times New Roman" w:cs="Times New Roman"/>
                <w:color w:val="auto"/>
                <w:kern w:val="0"/>
                <w:sz w:val="21"/>
                <w:szCs w:val="21"/>
                <w:vertAlign w:val="superscript"/>
              </w:rPr>
              <w:t>+</w:t>
            </w:r>
          </w:p>
        </w:tc>
        <w:tc>
          <w:tcPr>
            <w:tcW w:w="2972"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火焰原子吸收分光光度法</w:t>
            </w:r>
          </w:p>
        </w:tc>
        <w:tc>
          <w:tcPr>
            <w:tcW w:w="2983"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GB/T 11904-1989</w:t>
            </w:r>
          </w:p>
        </w:tc>
        <w:tc>
          <w:tcPr>
            <w:tcW w:w="1549"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0.05mg/L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0"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Na</w:t>
            </w:r>
            <w:r>
              <w:rPr>
                <w:rFonts w:hint="default" w:ascii="Times New Roman" w:hAnsi="Times New Roman" w:cs="Times New Roman"/>
                <w:color w:val="auto"/>
                <w:sz w:val="21"/>
                <w:szCs w:val="21"/>
                <w:vertAlign w:val="superscript"/>
              </w:rPr>
              <w:t>+</w:t>
            </w:r>
          </w:p>
        </w:tc>
        <w:tc>
          <w:tcPr>
            <w:tcW w:w="2972"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火焰原子吸收分光光度法</w:t>
            </w:r>
          </w:p>
        </w:tc>
        <w:tc>
          <w:tcPr>
            <w:tcW w:w="2983"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GB/T 5750.6-2006</w:t>
            </w:r>
          </w:p>
        </w:tc>
        <w:tc>
          <w:tcPr>
            <w:tcW w:w="1549"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0.01mg/L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0"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Ca</w:t>
            </w:r>
            <w:r>
              <w:rPr>
                <w:rFonts w:hint="default" w:ascii="Times New Roman" w:hAnsi="Times New Roman" w:cs="Times New Roman"/>
                <w:color w:val="auto"/>
                <w:kern w:val="0"/>
                <w:sz w:val="21"/>
                <w:szCs w:val="21"/>
                <w:vertAlign w:val="superscript"/>
              </w:rPr>
              <w:t>2+</w:t>
            </w:r>
          </w:p>
        </w:tc>
        <w:tc>
          <w:tcPr>
            <w:tcW w:w="2972"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EDTA滴定法</w:t>
            </w:r>
          </w:p>
        </w:tc>
        <w:tc>
          <w:tcPr>
            <w:tcW w:w="2983"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GB/T 7476-1987</w:t>
            </w:r>
          </w:p>
        </w:tc>
        <w:tc>
          <w:tcPr>
            <w:tcW w:w="1549"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0.1mg/L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0"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w:t>
            </w:r>
            <w:r>
              <w:rPr>
                <w:rFonts w:hint="default" w:ascii="Times New Roman" w:hAnsi="Times New Roman" w:cs="Times New Roman"/>
                <w:color w:val="auto"/>
                <w:sz w:val="21"/>
                <w:szCs w:val="21"/>
                <w:vertAlign w:val="superscript"/>
              </w:rPr>
              <w:t>2+</w:t>
            </w:r>
          </w:p>
        </w:tc>
        <w:tc>
          <w:tcPr>
            <w:tcW w:w="2972" w:type="dxa"/>
            <w:tcMar>
              <w:top w:w="85" w:type="dxa"/>
              <w:bottom w:w="85" w:type="dxa"/>
            </w:tcMar>
            <w:vAlign w:val="center"/>
          </w:tcPr>
          <w:p>
            <w:pPr>
              <w:pStyle w:val="7"/>
              <w:numPr>
                <w:ilvl w:val="0"/>
                <w:numId w:val="0"/>
              </w:numPr>
              <w:overflowPunct w:val="0"/>
              <w:topLinePunct/>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水质 钙和镁的测定 原子吸收分光光度法</w:t>
            </w:r>
          </w:p>
        </w:tc>
        <w:tc>
          <w:tcPr>
            <w:tcW w:w="2983"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GB/T 11905-1989</w:t>
            </w:r>
          </w:p>
        </w:tc>
        <w:tc>
          <w:tcPr>
            <w:tcW w:w="1549" w:type="dxa"/>
            <w:tcMar>
              <w:top w:w="85" w:type="dxa"/>
              <w:bottom w:w="85" w:type="dxa"/>
            </w:tcMar>
            <w:vAlign w:val="center"/>
          </w:tcPr>
          <w:p>
            <w:pPr>
              <w:pStyle w:val="7"/>
              <w:numPr>
                <w:ilvl w:val="0"/>
                <w:numId w:val="0"/>
              </w:numPr>
              <w:overflowPunct w:val="0"/>
              <w:topLinePunct/>
              <w:spacing w:line="240" w:lineRule="auto"/>
              <w:ind w:firstLine="210" w:firstLineChars="100"/>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0.002</w:t>
            </w:r>
            <w:r>
              <w:rPr>
                <w:rFonts w:hint="default" w:ascii="Times New Roman" w:hAnsi="Times New Roman" w:cs="Times New Roman"/>
                <w:color w:val="auto"/>
                <w:kern w:val="0"/>
                <w:sz w:val="21"/>
                <w:szCs w:val="21"/>
              </w:rPr>
              <w:t>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0"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CO</w:t>
            </w:r>
            <w:r>
              <w:rPr>
                <w:rFonts w:hint="default" w:ascii="Times New Roman" w:hAnsi="Times New Roman" w:cs="Times New Roman"/>
                <w:color w:val="auto"/>
                <w:kern w:val="0"/>
                <w:sz w:val="21"/>
                <w:szCs w:val="21"/>
                <w:vertAlign w:val="subscript"/>
              </w:rPr>
              <w:t>3</w:t>
            </w:r>
            <w:r>
              <w:rPr>
                <w:rFonts w:hint="default" w:ascii="Times New Roman" w:hAnsi="Times New Roman" w:cs="Times New Roman"/>
                <w:color w:val="auto"/>
                <w:kern w:val="0"/>
                <w:sz w:val="21"/>
                <w:szCs w:val="21"/>
                <w:vertAlign w:val="superscript"/>
              </w:rPr>
              <w:t>2-</w:t>
            </w:r>
          </w:p>
        </w:tc>
        <w:tc>
          <w:tcPr>
            <w:tcW w:w="2972"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酸碱指示剂滴定法</w:t>
            </w:r>
          </w:p>
        </w:tc>
        <w:tc>
          <w:tcPr>
            <w:tcW w:w="2983"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《水和废水监测分析方法》（第四版增补版）</w:t>
            </w:r>
          </w:p>
        </w:tc>
        <w:tc>
          <w:tcPr>
            <w:tcW w:w="1549"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1mmol/L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0"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HCO</w:t>
            </w:r>
            <w:r>
              <w:rPr>
                <w:rFonts w:hint="default" w:ascii="Times New Roman" w:hAnsi="Times New Roman" w:cs="Times New Roman"/>
                <w:color w:val="auto"/>
                <w:kern w:val="0"/>
                <w:sz w:val="21"/>
                <w:szCs w:val="21"/>
                <w:vertAlign w:val="subscript"/>
              </w:rPr>
              <w:t>3</w:t>
            </w:r>
            <w:r>
              <w:rPr>
                <w:rFonts w:hint="default" w:ascii="Times New Roman" w:hAnsi="Times New Roman" w:cs="Times New Roman"/>
                <w:color w:val="auto"/>
                <w:kern w:val="0"/>
                <w:sz w:val="21"/>
                <w:szCs w:val="21"/>
                <w:vertAlign w:val="superscript"/>
              </w:rPr>
              <w:t>-</w:t>
            </w:r>
          </w:p>
        </w:tc>
        <w:tc>
          <w:tcPr>
            <w:tcW w:w="2972"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酸碱指示剂滴定法</w:t>
            </w:r>
          </w:p>
        </w:tc>
        <w:tc>
          <w:tcPr>
            <w:tcW w:w="2983"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《水和废水监测分析方法》（第四版增补版）</w:t>
            </w:r>
          </w:p>
        </w:tc>
        <w:tc>
          <w:tcPr>
            <w:tcW w:w="1549"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1mmol/L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0"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Cl</w:t>
            </w:r>
            <w:r>
              <w:rPr>
                <w:rFonts w:hint="default" w:ascii="Times New Roman" w:hAnsi="Times New Roman" w:cs="Times New Roman"/>
                <w:color w:val="auto"/>
                <w:kern w:val="0"/>
                <w:sz w:val="21"/>
                <w:szCs w:val="21"/>
                <w:vertAlign w:val="superscript"/>
              </w:rPr>
              <w:t>-</w:t>
            </w:r>
          </w:p>
        </w:tc>
        <w:tc>
          <w:tcPr>
            <w:tcW w:w="2972"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离子色谱法</w:t>
            </w:r>
          </w:p>
        </w:tc>
        <w:tc>
          <w:tcPr>
            <w:tcW w:w="2983"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HJ 84-2016</w:t>
            </w:r>
          </w:p>
        </w:tc>
        <w:tc>
          <w:tcPr>
            <w:tcW w:w="1549"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0.007mg/L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0"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SO</w:t>
            </w:r>
            <w:r>
              <w:rPr>
                <w:rFonts w:hint="default" w:ascii="Times New Roman" w:hAnsi="Times New Roman" w:cs="Times New Roman"/>
                <w:color w:val="auto"/>
                <w:kern w:val="0"/>
                <w:sz w:val="21"/>
                <w:szCs w:val="21"/>
                <w:vertAlign w:val="subscript"/>
              </w:rPr>
              <w:t>4</w:t>
            </w:r>
            <w:r>
              <w:rPr>
                <w:rFonts w:hint="default" w:ascii="Times New Roman" w:hAnsi="Times New Roman" w:cs="Times New Roman"/>
                <w:color w:val="auto"/>
                <w:kern w:val="0"/>
                <w:sz w:val="21"/>
                <w:szCs w:val="21"/>
                <w:vertAlign w:val="superscript"/>
              </w:rPr>
              <w:t>2-</w:t>
            </w:r>
          </w:p>
        </w:tc>
        <w:tc>
          <w:tcPr>
            <w:tcW w:w="2972"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铬酸钡分光光度法(热法）</w:t>
            </w:r>
          </w:p>
        </w:tc>
        <w:tc>
          <w:tcPr>
            <w:tcW w:w="2983"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GB/T 5750.5-2006</w:t>
            </w:r>
          </w:p>
        </w:tc>
        <w:tc>
          <w:tcPr>
            <w:tcW w:w="1549"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5mg/L</w:t>
            </w:r>
          </w:p>
        </w:tc>
      </w:tr>
    </w:tbl>
    <w:p>
      <w:pPr>
        <w:autoSpaceDE w:val="0"/>
        <w:autoSpaceDN w:val="0"/>
        <w:ind w:firstLine="480"/>
        <w:rPr>
          <w:rFonts w:hint="default" w:ascii="Times New Roman" w:hAnsi="Times New Roman" w:cs="Times New Roman"/>
          <w:color w:val="auto"/>
        </w:rPr>
      </w:pPr>
      <w:r>
        <w:rPr>
          <w:rFonts w:hint="default" w:ascii="Times New Roman" w:hAnsi="Times New Roman" w:cs="Times New Roman"/>
          <w:color w:val="auto"/>
        </w:rPr>
        <w:t>4.2.3.3  评价方法</w:t>
      </w:r>
    </w:p>
    <w:p>
      <w:pPr>
        <w:ind w:firstLine="480"/>
        <w:rPr>
          <w:rFonts w:hint="default" w:ascii="Times New Roman" w:hAnsi="Times New Roman" w:cs="Times New Roman"/>
          <w:color w:val="auto"/>
        </w:rPr>
      </w:pPr>
      <w:r>
        <w:rPr>
          <w:rFonts w:hint="default" w:ascii="Times New Roman" w:hAnsi="Times New Roman" w:cs="Times New Roman"/>
          <w:color w:val="auto"/>
        </w:rPr>
        <w:t>根据监测结果，采用单因子污染指数法，对照评价标准对地下水环境质量现状进行评价，计算公式如下：</w:t>
      </w:r>
    </w:p>
    <w:p>
      <w:pPr>
        <w:ind w:firstLine="480"/>
        <w:rPr>
          <w:rFonts w:hint="default" w:ascii="Times New Roman" w:hAnsi="Times New Roman" w:cs="Times New Roman"/>
          <w:color w:val="auto"/>
        </w:rPr>
      </w:pPr>
      <w:r>
        <w:rPr>
          <w:rFonts w:hint="default" w:ascii="Times New Roman" w:hAnsi="Times New Roman" w:cs="Times New Roman"/>
          <w:color w:val="auto"/>
        </w:rPr>
        <w:t>常规污染物（PH值除外）：</w:t>
      </w:r>
    </w:p>
    <w:p>
      <w:pPr>
        <w:ind w:firstLine="480"/>
        <w:jc w:val="center"/>
        <w:rPr>
          <w:rFonts w:hint="default" w:ascii="Times New Roman" w:hAnsi="Times New Roman" w:cs="Times New Roman"/>
          <w:color w:val="auto"/>
        </w:rPr>
      </w:pPr>
      <w:r>
        <w:rPr>
          <w:rFonts w:hint="default" w:ascii="Times New Roman" w:hAnsi="Times New Roman" w:cs="Times New Roman"/>
          <w:color w:val="auto"/>
        </w:rPr>
        <w:t>P</w:t>
      </w:r>
      <w:r>
        <w:rPr>
          <w:rFonts w:hint="default" w:ascii="Times New Roman" w:hAnsi="Times New Roman" w:cs="Times New Roman"/>
          <w:color w:val="auto"/>
          <w:vertAlign w:val="subscript"/>
        </w:rPr>
        <w:t>i</w:t>
      </w:r>
      <w:r>
        <w:rPr>
          <w:rFonts w:hint="default" w:ascii="Times New Roman" w:hAnsi="Times New Roman" w:cs="Times New Roman"/>
          <w:color w:val="auto"/>
        </w:rPr>
        <w:t>=C</w:t>
      </w:r>
      <w:r>
        <w:rPr>
          <w:rFonts w:hint="default" w:ascii="Times New Roman" w:hAnsi="Times New Roman" w:cs="Times New Roman"/>
          <w:color w:val="auto"/>
          <w:vertAlign w:val="subscript"/>
        </w:rPr>
        <w:t>i</w:t>
      </w:r>
      <w:r>
        <w:rPr>
          <w:rFonts w:hint="default" w:ascii="Times New Roman" w:hAnsi="Times New Roman" w:cs="Times New Roman"/>
          <w:color w:val="auto"/>
        </w:rPr>
        <w:t>/C</w:t>
      </w:r>
      <w:r>
        <w:rPr>
          <w:rFonts w:hint="default" w:ascii="Times New Roman" w:hAnsi="Times New Roman" w:cs="Times New Roman"/>
          <w:color w:val="auto"/>
          <w:vertAlign w:val="subscript"/>
        </w:rPr>
        <w:t>si</w:t>
      </w:r>
    </w:p>
    <w:p>
      <w:pPr>
        <w:ind w:firstLine="480"/>
        <w:rPr>
          <w:rFonts w:hint="default" w:ascii="Times New Roman" w:hAnsi="Times New Roman" w:cs="Times New Roman"/>
          <w:color w:val="auto"/>
        </w:rPr>
      </w:pPr>
      <w:r>
        <w:rPr>
          <w:rFonts w:hint="default" w:ascii="Times New Roman" w:hAnsi="Times New Roman" w:cs="Times New Roman"/>
          <w:color w:val="auto"/>
        </w:rPr>
        <w:t>式中，P</w:t>
      </w:r>
      <w:r>
        <w:rPr>
          <w:rFonts w:hint="default" w:ascii="Times New Roman" w:hAnsi="Times New Roman" w:cs="Times New Roman"/>
          <w:color w:val="auto"/>
          <w:vertAlign w:val="subscript"/>
        </w:rPr>
        <w:t>i</w:t>
      </w:r>
      <w:r>
        <w:rPr>
          <w:rFonts w:hint="default" w:ascii="Times New Roman" w:hAnsi="Times New Roman" w:cs="Times New Roman"/>
          <w:color w:val="auto"/>
        </w:rPr>
        <w:t>——第i种污染物的单项水质指数，无量纲</w:t>
      </w:r>
    </w:p>
    <w:p>
      <w:pPr>
        <w:ind w:firstLine="480"/>
        <w:rPr>
          <w:rFonts w:hint="default" w:ascii="Times New Roman" w:hAnsi="Times New Roman" w:cs="Times New Roman"/>
          <w:color w:val="auto"/>
        </w:rPr>
      </w:pPr>
      <w:r>
        <w:rPr>
          <w:rFonts w:hint="default" w:ascii="Times New Roman" w:hAnsi="Times New Roman" w:cs="Times New Roman"/>
          <w:color w:val="auto"/>
        </w:rPr>
        <w:t xml:space="preserve">      C</w:t>
      </w:r>
      <w:r>
        <w:rPr>
          <w:rFonts w:hint="default" w:ascii="Times New Roman" w:hAnsi="Times New Roman" w:cs="Times New Roman"/>
          <w:color w:val="auto"/>
          <w:vertAlign w:val="subscript"/>
        </w:rPr>
        <w:t>i</w:t>
      </w:r>
      <w:r>
        <w:rPr>
          <w:rFonts w:hint="default" w:ascii="Times New Roman" w:hAnsi="Times New Roman" w:cs="Times New Roman"/>
          <w:color w:val="auto"/>
        </w:rPr>
        <w:t>——第i种水质因子的监测浓度值，单位：mg/L</w:t>
      </w:r>
    </w:p>
    <w:p>
      <w:pPr>
        <w:ind w:firstLine="480"/>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 xml:space="preserve">   C</w:t>
      </w:r>
      <w:r>
        <w:rPr>
          <w:rFonts w:hint="default" w:ascii="Times New Roman" w:hAnsi="Times New Roman" w:cs="Times New Roman"/>
          <w:color w:val="auto"/>
          <w:vertAlign w:val="subscript"/>
        </w:rPr>
        <w:t>si</w:t>
      </w:r>
      <w:r>
        <w:rPr>
          <w:rFonts w:hint="default" w:ascii="Times New Roman" w:hAnsi="Times New Roman" w:cs="Times New Roman"/>
          <w:color w:val="auto"/>
        </w:rPr>
        <w:t>——第i种水质因子的标准浓度值，单位：mg/L</w:t>
      </w:r>
    </w:p>
    <w:p>
      <w:pPr>
        <w:ind w:firstLine="480"/>
        <w:rPr>
          <w:rFonts w:hint="default" w:ascii="Times New Roman" w:hAnsi="Times New Roman" w:cs="Times New Roman"/>
          <w:color w:val="auto"/>
        </w:rPr>
      </w:pPr>
      <w:r>
        <w:rPr>
          <w:rFonts w:hint="default" w:ascii="Times New Roman" w:hAnsi="Times New Roman" w:cs="Times New Roman"/>
          <w:color w:val="auto"/>
        </w:rPr>
        <w:t>水质评价因子的标准指数大于1，表明该评价因子的水质超过了规定的水质标准，已经不能满足使用功能要求。</w:t>
      </w:r>
    </w:p>
    <w:p>
      <w:pPr>
        <w:autoSpaceDE w:val="0"/>
        <w:autoSpaceDN w:val="0"/>
        <w:ind w:firstLine="480"/>
        <w:rPr>
          <w:rFonts w:hint="default" w:ascii="Times New Roman" w:hAnsi="Times New Roman" w:cs="Times New Roman"/>
          <w:color w:val="auto"/>
        </w:rPr>
      </w:pPr>
      <w:r>
        <w:rPr>
          <w:rFonts w:hint="default" w:ascii="Times New Roman" w:hAnsi="Times New Roman" w:cs="Times New Roman"/>
          <w:color w:val="auto"/>
        </w:rPr>
        <w:t>4.2.3.4  评价标准</w:t>
      </w:r>
    </w:p>
    <w:p>
      <w:pPr>
        <w:autoSpaceDE w:val="0"/>
        <w:autoSpaceDN w:val="0"/>
        <w:ind w:firstLine="480"/>
        <w:rPr>
          <w:rFonts w:hint="default" w:ascii="Times New Roman" w:hAnsi="Times New Roman" w:cs="Times New Roman"/>
          <w:color w:val="auto"/>
        </w:rPr>
      </w:pPr>
      <w:r>
        <w:rPr>
          <w:rFonts w:hint="default" w:ascii="Times New Roman" w:hAnsi="Times New Roman" w:cs="Times New Roman"/>
          <w:color w:val="auto"/>
        </w:rPr>
        <w:t>地下水水质现状评价执行《地下水质量标准》（GB/T14848-2017）中的 III 类标准。</w:t>
      </w:r>
    </w:p>
    <w:p>
      <w:pPr>
        <w:autoSpaceDE w:val="0"/>
        <w:autoSpaceDN w:val="0"/>
        <w:ind w:firstLine="480"/>
        <w:rPr>
          <w:rFonts w:hint="default" w:ascii="Times New Roman" w:hAnsi="Times New Roman" w:cs="Times New Roman"/>
          <w:color w:val="auto"/>
        </w:rPr>
      </w:pPr>
      <w:r>
        <w:rPr>
          <w:rFonts w:hint="default" w:ascii="Times New Roman" w:hAnsi="Times New Roman" w:cs="Times New Roman"/>
          <w:color w:val="auto"/>
        </w:rPr>
        <w:t>4.2.3.6  监测结果统计及评价</w:t>
      </w:r>
    </w:p>
    <w:p>
      <w:pPr>
        <w:pStyle w:val="42"/>
        <w:numPr>
          <w:ilvl w:val="0"/>
          <w:numId w:val="0"/>
        </w:numPr>
        <w:spacing w:line="240" w:lineRule="auto"/>
        <w:ind w:left="420" w:hanging="420" w:hangingChars="175"/>
        <w:jc w:val="left"/>
        <w:rPr>
          <w:rFonts w:hint="default" w:ascii="Times New Roman" w:hAnsi="Times New Roman" w:cs="Times New Roman"/>
          <w:b w:val="0"/>
          <w:color w:val="auto"/>
        </w:rPr>
      </w:pPr>
      <w:r>
        <w:rPr>
          <w:rFonts w:hint="default" w:ascii="Times New Roman" w:hAnsi="Times New Roman" w:cs="Times New Roman"/>
          <w:b w:val="0"/>
          <w:color w:val="auto"/>
        </w:rPr>
        <w:t xml:space="preserve">    本次地下水环境质量现状监测数据统计分析结果见表4.2-13。</w:t>
      </w:r>
    </w:p>
    <w:p>
      <w:pPr>
        <w:autoSpaceDE w:val="0"/>
        <w:autoSpaceDN w:val="0"/>
        <w:ind w:firstLine="480"/>
        <w:rPr>
          <w:rFonts w:hint="default" w:ascii="Times New Roman" w:hAnsi="Times New Roman" w:cs="Times New Roman"/>
          <w:color w:val="auto"/>
        </w:rPr>
        <w:sectPr>
          <w:headerReference r:id="rId15" w:type="default"/>
          <w:pgSz w:w="11906" w:h="16838"/>
          <w:pgMar w:top="1701" w:right="1474" w:bottom="1701" w:left="1474" w:header="1134" w:footer="1247" w:gutter="0"/>
          <w:pgBorders>
            <w:top w:val="none" w:sz="0" w:space="0"/>
            <w:left w:val="none" w:sz="0" w:space="0"/>
            <w:bottom w:val="none" w:sz="0" w:space="0"/>
            <w:right w:val="none" w:sz="0" w:space="0"/>
          </w:pgBorders>
          <w:pgNumType w:chapStyle="1" w:chapSep="enDash"/>
          <w:cols w:space="720" w:num="1"/>
          <w:docGrid w:type="linesAndChars" w:linePitch="516" w:charSpace="-20"/>
        </w:sectPr>
      </w:pPr>
    </w:p>
    <w:p>
      <w:pPr>
        <w:spacing w:afterLines="30" w:line="500" w:lineRule="exact"/>
        <w:ind w:left="852" w:leftChars="355" w:firstLine="1320" w:firstLineChars="550"/>
        <w:rPr>
          <w:rFonts w:hint="default" w:ascii="Times New Roman" w:hAnsi="Times New Roman" w:cs="Times New Roman"/>
          <w:b/>
          <w:color w:val="auto"/>
        </w:rPr>
      </w:pPr>
      <w:r>
        <w:rPr>
          <w:rFonts w:hint="default" w:ascii="Times New Roman" w:hAnsi="Times New Roman" w:cs="Times New Roman"/>
          <w:b/>
          <w:color w:val="auto"/>
        </w:rPr>
        <w:t>表4.2-13                              地下水环境质量现状监测结果统计一览表</w:t>
      </w:r>
    </w:p>
    <w:tbl>
      <w:tblPr>
        <w:tblStyle w:val="25"/>
        <w:tblW w:w="1364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94"/>
        <w:gridCol w:w="1026"/>
        <w:gridCol w:w="689"/>
        <w:gridCol w:w="1026"/>
        <w:gridCol w:w="689"/>
        <w:gridCol w:w="910"/>
        <w:gridCol w:w="727"/>
        <w:gridCol w:w="1026"/>
        <w:gridCol w:w="689"/>
        <w:gridCol w:w="1026"/>
        <w:gridCol w:w="756"/>
        <w:gridCol w:w="917"/>
        <w:gridCol w:w="822"/>
        <w:gridCol w:w="17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4"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检测时间</w:t>
            </w:r>
          </w:p>
        </w:tc>
        <w:tc>
          <w:tcPr>
            <w:tcW w:w="5067" w:type="dxa"/>
            <w:gridSpan w:val="6"/>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2019.11.07</w:t>
            </w:r>
          </w:p>
        </w:tc>
        <w:tc>
          <w:tcPr>
            <w:tcW w:w="5236" w:type="dxa"/>
            <w:gridSpan w:val="6"/>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2019.11.08</w:t>
            </w:r>
          </w:p>
        </w:tc>
        <w:tc>
          <w:tcPr>
            <w:tcW w:w="1750"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594"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检测点位</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贺庄</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标准指数</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杨韩村</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标准指数</w:t>
            </w:r>
          </w:p>
        </w:tc>
        <w:tc>
          <w:tcPr>
            <w:tcW w:w="910"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南召市村</w:t>
            </w:r>
          </w:p>
        </w:tc>
        <w:tc>
          <w:tcPr>
            <w:tcW w:w="727"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标准指数</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贺庄</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标准指数</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杨韩村</w:t>
            </w:r>
          </w:p>
        </w:tc>
        <w:tc>
          <w:tcPr>
            <w:tcW w:w="756"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标准指数</w:t>
            </w:r>
          </w:p>
        </w:tc>
        <w:tc>
          <w:tcPr>
            <w:tcW w:w="917"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南召市村</w:t>
            </w:r>
          </w:p>
        </w:tc>
        <w:tc>
          <w:tcPr>
            <w:tcW w:w="822"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标准指数</w:t>
            </w:r>
          </w:p>
        </w:tc>
        <w:tc>
          <w:tcPr>
            <w:tcW w:w="1750"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标准值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2-</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52.4</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42.8</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43.6</w:t>
            </w:r>
          </w:p>
        </w:tc>
        <w:tc>
          <w:tcPr>
            <w:tcW w:w="72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51.1</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43.4</w:t>
            </w:r>
          </w:p>
        </w:tc>
        <w:tc>
          <w:tcPr>
            <w:tcW w:w="756" w:type="dxa"/>
            <w:tcBorders>
              <w:tl2br w:val="nil"/>
              <w:tr2bl w:val="nil"/>
            </w:tcBorders>
            <w:vAlign w:val="center"/>
          </w:tcPr>
          <w:p>
            <w:pPr>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44.1</w:t>
            </w:r>
          </w:p>
        </w:tc>
        <w:tc>
          <w:tcPr>
            <w:tcW w:w="82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75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72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756" w:type="dxa"/>
            <w:tcBorders>
              <w:tl2br w:val="nil"/>
              <w:tr2bl w:val="nil"/>
            </w:tcBorders>
            <w:vAlign w:val="center"/>
          </w:tcPr>
          <w:p>
            <w:pPr>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82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75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8.11</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7.80</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8.42</w:t>
            </w:r>
          </w:p>
        </w:tc>
        <w:tc>
          <w:tcPr>
            <w:tcW w:w="72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8.13</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7.82</w:t>
            </w:r>
          </w:p>
        </w:tc>
        <w:tc>
          <w:tcPr>
            <w:tcW w:w="756" w:type="dxa"/>
            <w:tcBorders>
              <w:tl2br w:val="nil"/>
              <w:tr2bl w:val="nil"/>
            </w:tcBorders>
            <w:vAlign w:val="center"/>
          </w:tcPr>
          <w:p>
            <w:pPr>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8.47</w:t>
            </w:r>
          </w:p>
        </w:tc>
        <w:tc>
          <w:tcPr>
            <w:tcW w:w="82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75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K</w:t>
            </w:r>
            <w:r>
              <w:rPr>
                <w:rFonts w:hint="default" w:ascii="Times New Roman" w:hAnsi="Times New Roman" w:cs="Times New Roman"/>
                <w:color w:val="auto"/>
                <w:sz w:val="21"/>
                <w:szCs w:val="21"/>
                <w:vertAlign w:val="superscript"/>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1.81</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1.84</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1.80</w:t>
            </w:r>
          </w:p>
        </w:tc>
        <w:tc>
          <w:tcPr>
            <w:tcW w:w="72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1.81</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1.82</w:t>
            </w:r>
          </w:p>
        </w:tc>
        <w:tc>
          <w:tcPr>
            <w:tcW w:w="756" w:type="dxa"/>
            <w:tcBorders>
              <w:tl2br w:val="nil"/>
              <w:tr2bl w:val="nil"/>
            </w:tcBorders>
            <w:vAlign w:val="center"/>
          </w:tcPr>
          <w:p>
            <w:pPr>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1.80</w:t>
            </w:r>
          </w:p>
        </w:tc>
        <w:tc>
          <w:tcPr>
            <w:tcW w:w="82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75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Na</w:t>
            </w:r>
            <w:r>
              <w:rPr>
                <w:rFonts w:hint="default" w:ascii="Times New Roman" w:hAnsi="Times New Roman" w:cs="Times New Roman"/>
                <w:color w:val="auto"/>
                <w:sz w:val="21"/>
                <w:szCs w:val="21"/>
                <w:vertAlign w:val="superscript"/>
              </w:rPr>
              <w:t>+</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4.20</w:t>
            </w:r>
          </w:p>
        </w:tc>
        <w:tc>
          <w:tcPr>
            <w:tcW w:w="68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4.18</w:t>
            </w:r>
          </w:p>
        </w:tc>
        <w:tc>
          <w:tcPr>
            <w:tcW w:w="68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4.19</w:t>
            </w:r>
          </w:p>
        </w:tc>
        <w:tc>
          <w:tcPr>
            <w:tcW w:w="727"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4.13</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4.24</w:t>
            </w:r>
          </w:p>
        </w:tc>
        <w:tc>
          <w:tcPr>
            <w:tcW w:w="756" w:type="dxa"/>
            <w:tcBorders>
              <w:tl2br w:val="nil"/>
              <w:tr2bl w:val="nil"/>
            </w:tcBorders>
            <w:vAlign w:val="center"/>
          </w:tcPr>
          <w:p>
            <w:pPr>
              <w:widowControl/>
              <w:spacing w:line="240" w:lineRule="auto"/>
              <w:ind w:firstLine="42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7"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4.16</w:t>
            </w:r>
          </w:p>
        </w:tc>
        <w:tc>
          <w:tcPr>
            <w:tcW w:w="822"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75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Ca</w:t>
            </w:r>
            <w:r>
              <w:rPr>
                <w:rFonts w:hint="default" w:ascii="Times New Roman" w:hAnsi="Times New Roman" w:cs="Times New Roman"/>
                <w:color w:val="auto"/>
                <w:sz w:val="21"/>
                <w:szCs w:val="21"/>
                <w:vertAlign w:val="superscript"/>
              </w:rPr>
              <w:t>2+</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50.5</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50.9</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49.6</w:t>
            </w:r>
          </w:p>
        </w:tc>
        <w:tc>
          <w:tcPr>
            <w:tcW w:w="72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49.5</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50.9</w:t>
            </w:r>
          </w:p>
        </w:tc>
        <w:tc>
          <w:tcPr>
            <w:tcW w:w="756" w:type="dxa"/>
            <w:tcBorders>
              <w:tl2br w:val="nil"/>
              <w:tr2bl w:val="nil"/>
            </w:tcBorders>
            <w:vAlign w:val="center"/>
          </w:tcPr>
          <w:p>
            <w:pPr>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49.0</w:t>
            </w:r>
          </w:p>
        </w:tc>
        <w:tc>
          <w:tcPr>
            <w:tcW w:w="82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75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Mg</w:t>
            </w:r>
            <w:r>
              <w:rPr>
                <w:rFonts w:hint="default" w:ascii="Times New Roman" w:hAnsi="Times New Roman" w:cs="Times New Roman"/>
                <w:color w:val="auto"/>
                <w:sz w:val="21"/>
                <w:szCs w:val="21"/>
                <w:vertAlign w:val="superscript"/>
              </w:rPr>
              <w:t>2+</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1.61</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1.61</w:t>
            </w:r>
          </w:p>
        </w:tc>
        <w:tc>
          <w:tcPr>
            <w:tcW w:w="72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1.61</w:t>
            </w:r>
          </w:p>
        </w:tc>
        <w:tc>
          <w:tcPr>
            <w:tcW w:w="756" w:type="dxa"/>
            <w:tcBorders>
              <w:tl2br w:val="nil"/>
              <w:tr2bl w:val="nil"/>
            </w:tcBorders>
            <w:vAlign w:val="center"/>
          </w:tcPr>
          <w:p>
            <w:pPr>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1.61</w:t>
            </w:r>
          </w:p>
        </w:tc>
        <w:tc>
          <w:tcPr>
            <w:tcW w:w="82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75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Cl</w:t>
            </w:r>
            <w:r>
              <w:rPr>
                <w:rFonts w:hint="default" w:ascii="Times New Roman" w:hAnsi="Times New Roman" w:cs="Times New Roman"/>
                <w:color w:val="auto"/>
                <w:sz w:val="21"/>
                <w:szCs w:val="21"/>
                <w:vertAlign w:val="superscript"/>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2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56" w:type="dxa"/>
            <w:tcBorders>
              <w:tl2br w:val="nil"/>
              <w:tr2bl w:val="nil"/>
            </w:tcBorders>
            <w:vAlign w:val="center"/>
          </w:tcPr>
          <w:p>
            <w:pPr>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82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75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亚硝酸盐</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27"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56"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w:t>
            </w:r>
          </w:p>
        </w:tc>
        <w:tc>
          <w:tcPr>
            <w:tcW w:w="91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822"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w:t>
            </w:r>
          </w:p>
        </w:tc>
        <w:tc>
          <w:tcPr>
            <w:tcW w:w="175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w:t>
            </w:r>
            <w:r>
              <w:rPr>
                <w:rFonts w:hint="default" w:ascii="Times New Roman" w:hAnsi="Times New Roman" w:cs="Times New Roman"/>
                <w:bCs/>
                <w:color w:val="auto"/>
                <w:sz w:val="21"/>
                <w:szCs w:val="21"/>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氨氮</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0.150</w:t>
            </w:r>
          </w:p>
        </w:tc>
        <w:tc>
          <w:tcPr>
            <w:tcW w:w="68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0.183</w:t>
            </w:r>
          </w:p>
        </w:tc>
        <w:tc>
          <w:tcPr>
            <w:tcW w:w="68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0.366</w:t>
            </w:r>
          </w:p>
        </w:tc>
        <w:tc>
          <w:tcPr>
            <w:tcW w:w="91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0.159</w:t>
            </w:r>
          </w:p>
        </w:tc>
        <w:tc>
          <w:tcPr>
            <w:tcW w:w="727"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0.318</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0.153</w:t>
            </w:r>
          </w:p>
        </w:tc>
        <w:tc>
          <w:tcPr>
            <w:tcW w:w="68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0.306</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0.180</w:t>
            </w:r>
          </w:p>
        </w:tc>
        <w:tc>
          <w:tcPr>
            <w:tcW w:w="75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0.36</w:t>
            </w:r>
          </w:p>
        </w:tc>
        <w:tc>
          <w:tcPr>
            <w:tcW w:w="917"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0.161</w:t>
            </w:r>
          </w:p>
        </w:tc>
        <w:tc>
          <w:tcPr>
            <w:tcW w:w="822"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0.322</w:t>
            </w:r>
          </w:p>
        </w:tc>
        <w:tc>
          <w:tcPr>
            <w:tcW w:w="175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5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总硬度</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423</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0.94</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433</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0.962</w:t>
            </w:r>
          </w:p>
        </w:tc>
        <w:tc>
          <w:tcPr>
            <w:tcW w:w="91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439</w:t>
            </w:r>
          </w:p>
        </w:tc>
        <w:tc>
          <w:tcPr>
            <w:tcW w:w="72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0.976</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425</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0.944</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437</w:t>
            </w:r>
          </w:p>
        </w:tc>
        <w:tc>
          <w:tcPr>
            <w:tcW w:w="75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0.971</w:t>
            </w:r>
          </w:p>
        </w:tc>
        <w:tc>
          <w:tcPr>
            <w:tcW w:w="91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441</w:t>
            </w:r>
          </w:p>
        </w:tc>
        <w:tc>
          <w:tcPr>
            <w:tcW w:w="82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0.98</w:t>
            </w:r>
          </w:p>
        </w:tc>
        <w:tc>
          <w:tcPr>
            <w:tcW w:w="175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溶解性总固体</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300</w:t>
            </w:r>
          </w:p>
        </w:tc>
        <w:tc>
          <w:tcPr>
            <w:tcW w:w="68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277</w:t>
            </w:r>
          </w:p>
        </w:tc>
        <w:tc>
          <w:tcPr>
            <w:tcW w:w="68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0.277</w:t>
            </w:r>
          </w:p>
        </w:tc>
        <w:tc>
          <w:tcPr>
            <w:tcW w:w="91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291</w:t>
            </w:r>
          </w:p>
        </w:tc>
        <w:tc>
          <w:tcPr>
            <w:tcW w:w="727"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0.291</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307</w:t>
            </w:r>
          </w:p>
        </w:tc>
        <w:tc>
          <w:tcPr>
            <w:tcW w:w="68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0.307</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282</w:t>
            </w:r>
          </w:p>
        </w:tc>
        <w:tc>
          <w:tcPr>
            <w:tcW w:w="75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0.282</w:t>
            </w:r>
          </w:p>
        </w:tc>
        <w:tc>
          <w:tcPr>
            <w:tcW w:w="917"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295</w:t>
            </w:r>
          </w:p>
        </w:tc>
        <w:tc>
          <w:tcPr>
            <w:tcW w:w="822"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0.295</w:t>
            </w:r>
          </w:p>
        </w:tc>
        <w:tc>
          <w:tcPr>
            <w:tcW w:w="175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0"/>
                <w:szCs w:val="20"/>
              </w:rPr>
            </w:pPr>
            <w:r>
              <w:rPr>
                <w:rFonts w:hint="default" w:ascii="Times New Roman" w:hAnsi="Times New Roman" w:cs="Times New Roman"/>
                <w:color w:val="auto"/>
                <w:sz w:val="22"/>
                <w:szCs w:val="22"/>
              </w:rPr>
              <w:t>≤1000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挥发酚</w:t>
            </w:r>
          </w:p>
        </w:tc>
        <w:tc>
          <w:tcPr>
            <w:tcW w:w="1026" w:type="dxa"/>
            <w:tcBorders>
              <w:tl2br w:val="nil"/>
              <w:tr2bl w:val="nil"/>
            </w:tcBorders>
            <w:vAlign w:val="center"/>
          </w:tcPr>
          <w:p>
            <w:pPr>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1.39</w:t>
            </w:r>
            <w:r>
              <w:rPr>
                <w:rFonts w:hint="default" w:ascii="Times New Roman" w:hAnsi="Times New Roman" w:cs="Times New Roman"/>
                <w:color w:val="auto"/>
                <w:kern w:val="1"/>
                <w:sz w:val="21"/>
                <w:szCs w:val="21"/>
              </w:rPr>
              <w:t>×10</w:t>
            </w:r>
            <w:r>
              <w:rPr>
                <w:rFonts w:hint="default" w:ascii="Times New Roman" w:hAnsi="Times New Roman" w:cs="Times New Roman"/>
                <w:color w:val="auto"/>
                <w:kern w:val="1"/>
                <w:sz w:val="21"/>
                <w:szCs w:val="21"/>
                <w:vertAlign w:val="superscript"/>
              </w:rPr>
              <w:t>-3</w:t>
            </w:r>
          </w:p>
        </w:tc>
        <w:tc>
          <w:tcPr>
            <w:tcW w:w="68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0.695</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1.58</w:t>
            </w:r>
            <w:r>
              <w:rPr>
                <w:rFonts w:hint="default" w:ascii="Times New Roman" w:hAnsi="Times New Roman" w:cs="Times New Roman"/>
                <w:color w:val="auto"/>
                <w:kern w:val="1"/>
                <w:sz w:val="21"/>
                <w:szCs w:val="21"/>
              </w:rPr>
              <w:t>×10</w:t>
            </w:r>
            <w:r>
              <w:rPr>
                <w:rFonts w:hint="default" w:ascii="Times New Roman" w:hAnsi="Times New Roman" w:cs="Times New Roman"/>
                <w:color w:val="auto"/>
                <w:kern w:val="1"/>
                <w:sz w:val="21"/>
                <w:szCs w:val="21"/>
                <w:vertAlign w:val="superscript"/>
              </w:rPr>
              <w:t>-3</w:t>
            </w:r>
          </w:p>
        </w:tc>
        <w:tc>
          <w:tcPr>
            <w:tcW w:w="68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0.79</w:t>
            </w:r>
          </w:p>
        </w:tc>
        <w:tc>
          <w:tcPr>
            <w:tcW w:w="91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27"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1.20</w:t>
            </w:r>
            <w:r>
              <w:rPr>
                <w:rFonts w:hint="default" w:ascii="Times New Roman" w:hAnsi="Times New Roman" w:cs="Times New Roman"/>
                <w:color w:val="auto"/>
                <w:kern w:val="1"/>
                <w:sz w:val="21"/>
                <w:szCs w:val="21"/>
              </w:rPr>
              <w:t>×10</w:t>
            </w:r>
            <w:r>
              <w:rPr>
                <w:rFonts w:hint="default" w:ascii="Times New Roman" w:hAnsi="Times New Roman" w:cs="Times New Roman"/>
                <w:color w:val="auto"/>
                <w:kern w:val="1"/>
                <w:sz w:val="21"/>
                <w:szCs w:val="21"/>
                <w:vertAlign w:val="superscript"/>
              </w:rPr>
              <w:t>-3</w:t>
            </w:r>
          </w:p>
        </w:tc>
        <w:tc>
          <w:tcPr>
            <w:tcW w:w="68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0.6</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1.64</w:t>
            </w:r>
            <w:r>
              <w:rPr>
                <w:rFonts w:hint="default" w:ascii="Times New Roman" w:hAnsi="Times New Roman" w:cs="Times New Roman"/>
                <w:color w:val="auto"/>
                <w:kern w:val="1"/>
                <w:sz w:val="21"/>
                <w:szCs w:val="21"/>
              </w:rPr>
              <w:t>×10</w:t>
            </w:r>
            <w:r>
              <w:rPr>
                <w:rFonts w:hint="default" w:ascii="Times New Roman" w:hAnsi="Times New Roman" w:cs="Times New Roman"/>
                <w:color w:val="auto"/>
                <w:kern w:val="1"/>
                <w:sz w:val="21"/>
                <w:szCs w:val="21"/>
                <w:vertAlign w:val="superscript"/>
              </w:rPr>
              <w:t>-3</w:t>
            </w:r>
          </w:p>
        </w:tc>
        <w:tc>
          <w:tcPr>
            <w:tcW w:w="75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0.82</w:t>
            </w:r>
          </w:p>
        </w:tc>
        <w:tc>
          <w:tcPr>
            <w:tcW w:w="917"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822"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w:t>
            </w:r>
          </w:p>
        </w:tc>
        <w:tc>
          <w:tcPr>
            <w:tcW w:w="175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≤0.002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总大肠菌群（个/L）</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8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8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27"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8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5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17"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822"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75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≤3.0MPNb/100ml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六价铬</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0.006</w:t>
            </w:r>
          </w:p>
        </w:tc>
        <w:tc>
          <w:tcPr>
            <w:tcW w:w="68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0.12</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0.014</w:t>
            </w:r>
          </w:p>
        </w:tc>
        <w:tc>
          <w:tcPr>
            <w:tcW w:w="68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0.28</w:t>
            </w:r>
          </w:p>
        </w:tc>
        <w:tc>
          <w:tcPr>
            <w:tcW w:w="91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0.010</w:t>
            </w:r>
          </w:p>
        </w:tc>
        <w:tc>
          <w:tcPr>
            <w:tcW w:w="727"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0.006</w:t>
            </w:r>
          </w:p>
        </w:tc>
        <w:tc>
          <w:tcPr>
            <w:tcW w:w="68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0.12</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0.014</w:t>
            </w:r>
          </w:p>
        </w:tc>
        <w:tc>
          <w:tcPr>
            <w:tcW w:w="75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0.28</w:t>
            </w:r>
          </w:p>
        </w:tc>
        <w:tc>
          <w:tcPr>
            <w:tcW w:w="917"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0.010</w:t>
            </w:r>
          </w:p>
        </w:tc>
        <w:tc>
          <w:tcPr>
            <w:tcW w:w="822"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w:t>
            </w:r>
          </w:p>
        </w:tc>
        <w:tc>
          <w:tcPr>
            <w:tcW w:w="175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锰</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0.015</w:t>
            </w:r>
          </w:p>
        </w:tc>
        <w:tc>
          <w:tcPr>
            <w:tcW w:w="68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0.15</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0.025</w:t>
            </w:r>
          </w:p>
        </w:tc>
        <w:tc>
          <w:tcPr>
            <w:tcW w:w="68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0.25</w:t>
            </w:r>
          </w:p>
        </w:tc>
        <w:tc>
          <w:tcPr>
            <w:tcW w:w="91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27"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0.016</w:t>
            </w:r>
          </w:p>
        </w:tc>
        <w:tc>
          <w:tcPr>
            <w:tcW w:w="68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0.16</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0.023</w:t>
            </w:r>
          </w:p>
        </w:tc>
        <w:tc>
          <w:tcPr>
            <w:tcW w:w="75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0.23</w:t>
            </w:r>
          </w:p>
        </w:tc>
        <w:tc>
          <w:tcPr>
            <w:tcW w:w="917"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822"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175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铁</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8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8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91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27"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8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5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917"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822"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175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砷</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1"/>
                <w:sz w:val="18"/>
                <w:szCs w:val="18"/>
              </w:rPr>
              <w:t>1.72×10</w:t>
            </w:r>
            <w:r>
              <w:rPr>
                <w:rFonts w:hint="default" w:ascii="Times New Roman" w:hAnsi="Times New Roman" w:cs="Times New Roman"/>
                <w:color w:val="auto"/>
                <w:kern w:val="1"/>
                <w:sz w:val="18"/>
                <w:szCs w:val="18"/>
                <w:vertAlign w:val="superscript"/>
              </w:rPr>
              <w:t>-3</w:t>
            </w:r>
          </w:p>
        </w:tc>
        <w:tc>
          <w:tcPr>
            <w:tcW w:w="68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0.172</w:t>
            </w:r>
          </w:p>
        </w:tc>
        <w:tc>
          <w:tcPr>
            <w:tcW w:w="1026" w:type="dxa"/>
            <w:tcBorders>
              <w:tl2br w:val="nil"/>
              <w:tr2bl w:val="nil"/>
            </w:tcBorders>
            <w:vAlign w:val="center"/>
          </w:tcPr>
          <w:p>
            <w:pPr>
              <w:widowControl/>
              <w:spacing w:line="240" w:lineRule="auto"/>
              <w:ind w:firstLine="0" w:firstLineChars="0"/>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1"/>
                <w:sz w:val="18"/>
                <w:szCs w:val="18"/>
              </w:rPr>
              <w:t>1.77×10</w:t>
            </w:r>
            <w:r>
              <w:rPr>
                <w:rFonts w:hint="default" w:ascii="Times New Roman" w:hAnsi="Times New Roman" w:cs="Times New Roman"/>
                <w:color w:val="auto"/>
                <w:kern w:val="1"/>
                <w:sz w:val="18"/>
                <w:szCs w:val="18"/>
                <w:vertAlign w:val="superscript"/>
              </w:rPr>
              <w:t>-3</w:t>
            </w:r>
          </w:p>
        </w:tc>
        <w:tc>
          <w:tcPr>
            <w:tcW w:w="689" w:type="dxa"/>
            <w:tcBorders>
              <w:tl2br w:val="nil"/>
              <w:tr2bl w:val="nil"/>
            </w:tcBorders>
            <w:vAlign w:val="center"/>
          </w:tcPr>
          <w:p>
            <w:pPr>
              <w:widowControl/>
              <w:spacing w:line="240" w:lineRule="auto"/>
              <w:ind w:firstLine="0" w:firstLineChars="0"/>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0.177</w:t>
            </w:r>
          </w:p>
        </w:tc>
        <w:tc>
          <w:tcPr>
            <w:tcW w:w="910" w:type="dxa"/>
            <w:tcBorders>
              <w:tl2br w:val="nil"/>
              <w:tr2bl w:val="nil"/>
            </w:tcBorders>
            <w:vAlign w:val="center"/>
          </w:tcPr>
          <w:p>
            <w:pPr>
              <w:widowControl/>
              <w:spacing w:line="240" w:lineRule="auto"/>
              <w:ind w:firstLine="0" w:firstLineChars="0"/>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1"/>
                <w:sz w:val="18"/>
                <w:szCs w:val="18"/>
              </w:rPr>
              <w:t>1.44×10</w:t>
            </w:r>
            <w:r>
              <w:rPr>
                <w:rFonts w:hint="default" w:ascii="Times New Roman" w:hAnsi="Times New Roman" w:cs="Times New Roman"/>
                <w:color w:val="auto"/>
                <w:kern w:val="1"/>
                <w:sz w:val="18"/>
                <w:szCs w:val="18"/>
                <w:vertAlign w:val="superscript"/>
              </w:rPr>
              <w:t>-3</w:t>
            </w:r>
          </w:p>
        </w:tc>
        <w:tc>
          <w:tcPr>
            <w:tcW w:w="727" w:type="dxa"/>
            <w:tcBorders>
              <w:tl2br w:val="nil"/>
              <w:tr2bl w:val="nil"/>
            </w:tcBorders>
            <w:vAlign w:val="center"/>
          </w:tcPr>
          <w:p>
            <w:pPr>
              <w:widowControl/>
              <w:spacing w:line="240" w:lineRule="auto"/>
              <w:ind w:firstLine="0" w:firstLineChars="0"/>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0.144</w:t>
            </w:r>
          </w:p>
        </w:tc>
        <w:tc>
          <w:tcPr>
            <w:tcW w:w="1026" w:type="dxa"/>
            <w:tcBorders>
              <w:tl2br w:val="nil"/>
              <w:tr2bl w:val="nil"/>
            </w:tcBorders>
            <w:vAlign w:val="center"/>
          </w:tcPr>
          <w:p>
            <w:pPr>
              <w:widowControl/>
              <w:spacing w:line="240" w:lineRule="auto"/>
              <w:ind w:firstLine="0" w:firstLineChars="0"/>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1"/>
                <w:sz w:val="18"/>
                <w:szCs w:val="18"/>
              </w:rPr>
              <w:t>1.55×10</w:t>
            </w:r>
            <w:r>
              <w:rPr>
                <w:rFonts w:hint="default" w:ascii="Times New Roman" w:hAnsi="Times New Roman" w:cs="Times New Roman"/>
                <w:color w:val="auto"/>
                <w:kern w:val="1"/>
                <w:sz w:val="18"/>
                <w:szCs w:val="18"/>
                <w:vertAlign w:val="superscript"/>
              </w:rPr>
              <w:t xml:space="preserve">-3 </w:t>
            </w:r>
          </w:p>
        </w:tc>
        <w:tc>
          <w:tcPr>
            <w:tcW w:w="689" w:type="dxa"/>
            <w:tcBorders>
              <w:tl2br w:val="nil"/>
              <w:tr2bl w:val="nil"/>
            </w:tcBorders>
            <w:vAlign w:val="center"/>
          </w:tcPr>
          <w:p>
            <w:pPr>
              <w:widowControl/>
              <w:spacing w:line="240" w:lineRule="auto"/>
              <w:ind w:firstLine="0" w:firstLineChars="0"/>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0.155</w:t>
            </w:r>
          </w:p>
        </w:tc>
        <w:tc>
          <w:tcPr>
            <w:tcW w:w="1026" w:type="dxa"/>
            <w:tcBorders>
              <w:tl2br w:val="nil"/>
              <w:tr2bl w:val="nil"/>
            </w:tcBorders>
            <w:vAlign w:val="center"/>
          </w:tcPr>
          <w:p>
            <w:pPr>
              <w:widowControl/>
              <w:spacing w:line="240" w:lineRule="auto"/>
              <w:ind w:firstLine="0" w:firstLineChars="0"/>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1"/>
                <w:sz w:val="18"/>
                <w:szCs w:val="18"/>
              </w:rPr>
              <w:t>1.66×10</w:t>
            </w:r>
            <w:r>
              <w:rPr>
                <w:rFonts w:hint="default" w:ascii="Times New Roman" w:hAnsi="Times New Roman" w:cs="Times New Roman"/>
                <w:color w:val="auto"/>
                <w:kern w:val="1"/>
                <w:sz w:val="18"/>
                <w:szCs w:val="18"/>
                <w:vertAlign w:val="superscript"/>
              </w:rPr>
              <w:t xml:space="preserve">-3 </w:t>
            </w:r>
          </w:p>
        </w:tc>
        <w:tc>
          <w:tcPr>
            <w:tcW w:w="756" w:type="dxa"/>
            <w:tcBorders>
              <w:tl2br w:val="nil"/>
              <w:tr2bl w:val="nil"/>
            </w:tcBorders>
            <w:vAlign w:val="center"/>
          </w:tcPr>
          <w:p>
            <w:pPr>
              <w:widowControl/>
              <w:spacing w:line="240" w:lineRule="auto"/>
              <w:ind w:firstLine="0" w:firstLineChars="0"/>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0.166</w:t>
            </w:r>
          </w:p>
        </w:tc>
        <w:tc>
          <w:tcPr>
            <w:tcW w:w="917" w:type="dxa"/>
            <w:tcBorders>
              <w:tl2br w:val="nil"/>
              <w:tr2bl w:val="nil"/>
            </w:tcBorders>
            <w:vAlign w:val="center"/>
          </w:tcPr>
          <w:p>
            <w:pPr>
              <w:widowControl/>
              <w:spacing w:line="240" w:lineRule="auto"/>
              <w:ind w:firstLine="0" w:firstLineChars="0"/>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1"/>
                <w:sz w:val="18"/>
                <w:szCs w:val="18"/>
              </w:rPr>
              <w:t>1.65×10</w:t>
            </w:r>
            <w:r>
              <w:rPr>
                <w:rFonts w:hint="default" w:ascii="Times New Roman" w:hAnsi="Times New Roman" w:cs="Times New Roman"/>
                <w:color w:val="auto"/>
                <w:kern w:val="1"/>
                <w:sz w:val="18"/>
                <w:szCs w:val="18"/>
                <w:vertAlign w:val="superscript"/>
              </w:rPr>
              <w:t>-3</w:t>
            </w:r>
          </w:p>
        </w:tc>
        <w:tc>
          <w:tcPr>
            <w:tcW w:w="822" w:type="dxa"/>
            <w:tcBorders>
              <w:tl2br w:val="nil"/>
              <w:tr2bl w:val="nil"/>
            </w:tcBorders>
            <w:vAlign w:val="center"/>
          </w:tcPr>
          <w:p>
            <w:pPr>
              <w:widowControl/>
              <w:spacing w:line="240" w:lineRule="auto"/>
              <w:ind w:firstLine="0" w:firstLineChars="0"/>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0.165</w:t>
            </w:r>
          </w:p>
        </w:tc>
        <w:tc>
          <w:tcPr>
            <w:tcW w:w="175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汞</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1"/>
                <w:sz w:val="18"/>
                <w:szCs w:val="18"/>
              </w:rPr>
              <w:t>3.74×10</w:t>
            </w:r>
            <w:r>
              <w:rPr>
                <w:rFonts w:hint="default" w:ascii="Times New Roman" w:hAnsi="Times New Roman" w:cs="Times New Roman"/>
                <w:color w:val="auto"/>
                <w:kern w:val="1"/>
                <w:sz w:val="18"/>
                <w:szCs w:val="18"/>
                <w:vertAlign w:val="superscript"/>
              </w:rPr>
              <w:t>-4</w:t>
            </w:r>
          </w:p>
        </w:tc>
        <w:tc>
          <w:tcPr>
            <w:tcW w:w="68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0.374</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1"/>
                <w:sz w:val="18"/>
                <w:szCs w:val="18"/>
              </w:rPr>
              <w:t>3.61×10</w:t>
            </w:r>
            <w:r>
              <w:rPr>
                <w:rFonts w:hint="default" w:ascii="Times New Roman" w:hAnsi="Times New Roman" w:cs="Times New Roman"/>
                <w:color w:val="auto"/>
                <w:kern w:val="1"/>
                <w:sz w:val="18"/>
                <w:szCs w:val="18"/>
                <w:vertAlign w:val="superscript"/>
              </w:rPr>
              <w:t>-4</w:t>
            </w:r>
          </w:p>
        </w:tc>
        <w:tc>
          <w:tcPr>
            <w:tcW w:w="68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0.361</w:t>
            </w:r>
          </w:p>
        </w:tc>
        <w:tc>
          <w:tcPr>
            <w:tcW w:w="91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1"/>
                <w:sz w:val="18"/>
                <w:szCs w:val="18"/>
              </w:rPr>
              <w:t>2.54×10</w:t>
            </w:r>
            <w:r>
              <w:rPr>
                <w:rFonts w:hint="default" w:ascii="Times New Roman" w:hAnsi="Times New Roman" w:cs="Times New Roman"/>
                <w:color w:val="auto"/>
                <w:kern w:val="1"/>
                <w:sz w:val="18"/>
                <w:szCs w:val="18"/>
                <w:vertAlign w:val="superscript"/>
              </w:rPr>
              <w:t>-4</w:t>
            </w:r>
          </w:p>
        </w:tc>
        <w:tc>
          <w:tcPr>
            <w:tcW w:w="727"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0.254</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1"/>
                <w:sz w:val="18"/>
                <w:szCs w:val="18"/>
              </w:rPr>
              <w:t>3.80×10</w:t>
            </w:r>
            <w:r>
              <w:rPr>
                <w:rFonts w:hint="default" w:ascii="Times New Roman" w:hAnsi="Times New Roman" w:cs="Times New Roman"/>
                <w:color w:val="auto"/>
                <w:kern w:val="1"/>
                <w:sz w:val="18"/>
                <w:szCs w:val="18"/>
                <w:vertAlign w:val="superscript"/>
              </w:rPr>
              <w:t>-4</w:t>
            </w:r>
          </w:p>
        </w:tc>
        <w:tc>
          <w:tcPr>
            <w:tcW w:w="68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0.38</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1"/>
                <w:sz w:val="18"/>
                <w:szCs w:val="18"/>
              </w:rPr>
              <w:t>3.72×10</w:t>
            </w:r>
            <w:r>
              <w:rPr>
                <w:rFonts w:hint="default" w:ascii="Times New Roman" w:hAnsi="Times New Roman" w:cs="Times New Roman"/>
                <w:color w:val="auto"/>
                <w:kern w:val="1"/>
                <w:sz w:val="18"/>
                <w:szCs w:val="18"/>
                <w:vertAlign w:val="superscript"/>
              </w:rPr>
              <w:t>-4</w:t>
            </w:r>
          </w:p>
        </w:tc>
        <w:tc>
          <w:tcPr>
            <w:tcW w:w="75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0.372</w:t>
            </w:r>
          </w:p>
        </w:tc>
        <w:tc>
          <w:tcPr>
            <w:tcW w:w="917"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1"/>
                <w:sz w:val="18"/>
                <w:szCs w:val="18"/>
              </w:rPr>
              <w:t>2.70×10</w:t>
            </w:r>
            <w:r>
              <w:rPr>
                <w:rFonts w:hint="default" w:ascii="Times New Roman" w:hAnsi="Times New Roman" w:cs="Times New Roman"/>
                <w:color w:val="auto"/>
                <w:kern w:val="1"/>
                <w:sz w:val="18"/>
                <w:szCs w:val="18"/>
                <w:vertAlign w:val="superscript"/>
              </w:rPr>
              <w:t>-4</w:t>
            </w:r>
          </w:p>
        </w:tc>
        <w:tc>
          <w:tcPr>
            <w:tcW w:w="822"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0.27</w:t>
            </w:r>
          </w:p>
        </w:tc>
        <w:tc>
          <w:tcPr>
            <w:tcW w:w="175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氰化物</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8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8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91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27"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89"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10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5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917"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822"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175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PH</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7.43</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0.215</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7.49</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0.245</w:t>
            </w:r>
          </w:p>
        </w:tc>
        <w:tc>
          <w:tcPr>
            <w:tcW w:w="91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7.47</w:t>
            </w:r>
          </w:p>
        </w:tc>
        <w:tc>
          <w:tcPr>
            <w:tcW w:w="72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0.235</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7.48</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0.24</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7.50</w:t>
            </w:r>
          </w:p>
        </w:tc>
        <w:tc>
          <w:tcPr>
            <w:tcW w:w="75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0.25</w:t>
            </w:r>
          </w:p>
        </w:tc>
        <w:tc>
          <w:tcPr>
            <w:tcW w:w="91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7.45</w:t>
            </w:r>
          </w:p>
        </w:tc>
        <w:tc>
          <w:tcPr>
            <w:tcW w:w="82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0.23</w:t>
            </w:r>
          </w:p>
        </w:tc>
        <w:tc>
          <w:tcPr>
            <w:tcW w:w="175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5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硝酸盐</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w:t>
            </w:r>
          </w:p>
        </w:tc>
        <w:tc>
          <w:tcPr>
            <w:tcW w:w="91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2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5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w:t>
            </w:r>
          </w:p>
        </w:tc>
        <w:tc>
          <w:tcPr>
            <w:tcW w:w="91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82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w:t>
            </w:r>
          </w:p>
        </w:tc>
        <w:tc>
          <w:tcPr>
            <w:tcW w:w="175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镉</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91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2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68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w:t>
            </w:r>
          </w:p>
        </w:tc>
        <w:tc>
          <w:tcPr>
            <w:tcW w:w="102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75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w:t>
            </w:r>
          </w:p>
        </w:tc>
        <w:tc>
          <w:tcPr>
            <w:tcW w:w="91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未检出</w:t>
            </w:r>
          </w:p>
        </w:tc>
        <w:tc>
          <w:tcPr>
            <w:tcW w:w="82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75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井深（m）</w:t>
            </w:r>
          </w:p>
        </w:tc>
        <w:tc>
          <w:tcPr>
            <w:tcW w:w="1715"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w:t>
            </w:r>
          </w:p>
        </w:tc>
        <w:tc>
          <w:tcPr>
            <w:tcW w:w="1715"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w:t>
            </w:r>
          </w:p>
        </w:tc>
        <w:tc>
          <w:tcPr>
            <w:tcW w:w="1637"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1715"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w:t>
            </w:r>
          </w:p>
        </w:tc>
        <w:tc>
          <w:tcPr>
            <w:tcW w:w="1782"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w:t>
            </w:r>
          </w:p>
        </w:tc>
        <w:tc>
          <w:tcPr>
            <w:tcW w:w="1739"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175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水位（m）</w:t>
            </w:r>
          </w:p>
        </w:tc>
        <w:tc>
          <w:tcPr>
            <w:tcW w:w="1715"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1715"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1637"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1715"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1782"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1739"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175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水温（℃）</w:t>
            </w:r>
          </w:p>
        </w:tc>
        <w:tc>
          <w:tcPr>
            <w:tcW w:w="1715"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1715"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1637"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1715"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1782"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1739"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175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59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功能</w:t>
            </w:r>
          </w:p>
        </w:tc>
        <w:tc>
          <w:tcPr>
            <w:tcW w:w="1715" w:type="dxa"/>
            <w:gridSpan w:val="2"/>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灌溉井</w:t>
            </w:r>
          </w:p>
        </w:tc>
        <w:tc>
          <w:tcPr>
            <w:tcW w:w="1715" w:type="dxa"/>
            <w:gridSpan w:val="2"/>
            <w:tcBorders>
              <w:tl2br w:val="nil"/>
              <w:tr2bl w:val="nil"/>
            </w:tcBorders>
            <w:vAlign w:val="center"/>
          </w:tcPr>
          <w:p>
            <w:pPr>
              <w:adjustRightInd/>
              <w:snapToGrid/>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灌溉井</w:t>
            </w:r>
          </w:p>
        </w:tc>
        <w:tc>
          <w:tcPr>
            <w:tcW w:w="1637" w:type="dxa"/>
            <w:gridSpan w:val="2"/>
            <w:tcBorders>
              <w:tl2br w:val="nil"/>
              <w:tr2bl w:val="nil"/>
            </w:tcBorders>
            <w:vAlign w:val="center"/>
          </w:tcPr>
          <w:p>
            <w:pPr>
              <w:adjustRightInd/>
              <w:snapToGrid/>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灌溉井</w:t>
            </w:r>
          </w:p>
        </w:tc>
        <w:tc>
          <w:tcPr>
            <w:tcW w:w="1715" w:type="dxa"/>
            <w:gridSpan w:val="2"/>
            <w:tcBorders>
              <w:tl2br w:val="nil"/>
              <w:tr2bl w:val="nil"/>
            </w:tcBorders>
            <w:vAlign w:val="center"/>
          </w:tcPr>
          <w:p>
            <w:pPr>
              <w:adjustRightInd/>
              <w:snapToGrid/>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灌溉井</w:t>
            </w:r>
          </w:p>
        </w:tc>
        <w:tc>
          <w:tcPr>
            <w:tcW w:w="1782" w:type="dxa"/>
            <w:gridSpan w:val="2"/>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灌溉井</w:t>
            </w:r>
          </w:p>
        </w:tc>
        <w:tc>
          <w:tcPr>
            <w:tcW w:w="1739" w:type="dxa"/>
            <w:gridSpan w:val="2"/>
            <w:tcBorders>
              <w:tl2br w:val="nil"/>
              <w:tr2bl w:val="nil"/>
            </w:tcBorders>
            <w:vAlign w:val="center"/>
          </w:tcPr>
          <w:p>
            <w:pPr>
              <w:adjustRightInd/>
              <w:snapToGrid/>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灌溉井</w:t>
            </w:r>
          </w:p>
        </w:tc>
        <w:tc>
          <w:tcPr>
            <w:tcW w:w="1750"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w:t>
            </w:r>
          </w:p>
        </w:tc>
      </w:tr>
    </w:tbl>
    <w:p>
      <w:pPr>
        <w:spacing w:afterLines="30" w:line="500" w:lineRule="exact"/>
        <w:ind w:left="852" w:leftChars="355" w:firstLine="1320" w:firstLineChars="550"/>
        <w:rPr>
          <w:rFonts w:hint="default" w:ascii="Times New Roman" w:hAnsi="Times New Roman" w:cs="Times New Roman"/>
          <w:b/>
          <w:color w:val="auto"/>
        </w:rPr>
      </w:pPr>
      <w:r>
        <w:rPr>
          <w:rFonts w:hint="default" w:ascii="Times New Roman" w:hAnsi="Times New Roman" w:cs="Times New Roman"/>
          <w:b/>
          <w:color w:val="auto"/>
        </w:rPr>
        <w:t>表4.2-14                       地下水环境质量现状监测结果统计一览表</w:t>
      </w:r>
    </w:p>
    <w:tbl>
      <w:tblPr>
        <w:tblStyle w:val="25"/>
        <w:tblW w:w="1364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893"/>
        <w:gridCol w:w="1325"/>
        <w:gridCol w:w="1562"/>
        <w:gridCol w:w="1961"/>
        <w:gridCol w:w="2327"/>
        <w:gridCol w:w="24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检测点位</w:t>
            </w:r>
          </w:p>
        </w:tc>
        <w:tc>
          <w:tcPr>
            <w:tcW w:w="189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库韩村</w:t>
            </w:r>
          </w:p>
        </w:tc>
        <w:tc>
          <w:tcPr>
            <w:tcW w:w="132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北召市村</w:t>
            </w:r>
          </w:p>
        </w:tc>
        <w:tc>
          <w:tcPr>
            <w:tcW w:w="156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西徐家村</w:t>
            </w:r>
          </w:p>
        </w:tc>
        <w:tc>
          <w:tcPr>
            <w:tcW w:w="196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库韩村</w:t>
            </w:r>
          </w:p>
        </w:tc>
        <w:tc>
          <w:tcPr>
            <w:tcW w:w="232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北召市村</w:t>
            </w:r>
          </w:p>
        </w:tc>
        <w:tc>
          <w:tcPr>
            <w:tcW w:w="246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西徐家村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21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井深</w:t>
            </w:r>
          </w:p>
        </w:tc>
        <w:tc>
          <w:tcPr>
            <w:tcW w:w="189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w:t>
            </w:r>
          </w:p>
        </w:tc>
        <w:tc>
          <w:tcPr>
            <w:tcW w:w="132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w:t>
            </w:r>
          </w:p>
        </w:tc>
        <w:tc>
          <w:tcPr>
            <w:tcW w:w="156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196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w:t>
            </w:r>
          </w:p>
        </w:tc>
        <w:tc>
          <w:tcPr>
            <w:tcW w:w="232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w:t>
            </w:r>
          </w:p>
        </w:tc>
        <w:tc>
          <w:tcPr>
            <w:tcW w:w="246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21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水位</w:t>
            </w:r>
          </w:p>
        </w:tc>
        <w:tc>
          <w:tcPr>
            <w:tcW w:w="189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132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156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196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232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246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21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水温（℃）</w:t>
            </w:r>
          </w:p>
        </w:tc>
        <w:tc>
          <w:tcPr>
            <w:tcW w:w="189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132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156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196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232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246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21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功能</w:t>
            </w:r>
          </w:p>
        </w:tc>
        <w:tc>
          <w:tcPr>
            <w:tcW w:w="189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灌溉井</w:t>
            </w:r>
          </w:p>
        </w:tc>
        <w:tc>
          <w:tcPr>
            <w:tcW w:w="132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灌溉井</w:t>
            </w:r>
          </w:p>
        </w:tc>
        <w:tc>
          <w:tcPr>
            <w:tcW w:w="156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灌溉井</w:t>
            </w:r>
          </w:p>
        </w:tc>
        <w:tc>
          <w:tcPr>
            <w:tcW w:w="196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灌溉井</w:t>
            </w:r>
          </w:p>
        </w:tc>
        <w:tc>
          <w:tcPr>
            <w:tcW w:w="232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灌溉井</w:t>
            </w:r>
          </w:p>
        </w:tc>
        <w:tc>
          <w:tcPr>
            <w:tcW w:w="246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灌溉井</w:t>
            </w:r>
          </w:p>
        </w:tc>
      </w:tr>
    </w:tbl>
    <w:p>
      <w:pPr>
        <w:pStyle w:val="42"/>
        <w:numPr>
          <w:ilvl w:val="0"/>
          <w:numId w:val="0"/>
        </w:numPr>
        <w:ind w:firstLine="480"/>
        <w:jc w:val="left"/>
        <w:rPr>
          <w:rFonts w:hint="default" w:ascii="Times New Roman" w:hAnsi="Times New Roman" w:cs="Times New Roman"/>
          <w:b w:val="0"/>
          <w:color w:val="auto"/>
        </w:rPr>
      </w:pPr>
      <w:r>
        <w:rPr>
          <w:rFonts w:hint="default" w:ascii="Times New Roman" w:hAnsi="Times New Roman" w:cs="Times New Roman"/>
          <w:b w:val="0"/>
          <w:color w:val="auto"/>
        </w:rPr>
        <w:t>由表4.2-13~4.2-14的监测结果可知，各监测点位的各监测因子均满足《地下水质量标准》（GB/T 14848-2017）中的</w:t>
      </w:r>
      <w:r>
        <w:rPr>
          <w:rFonts w:hint="default" w:ascii="Times New Roman" w:hAnsi="Times New Roman" w:cs="Times New Roman"/>
          <w:b w:val="0"/>
          <w:color w:val="auto"/>
        </w:rPr>
        <w:fldChar w:fldCharType="begin"/>
      </w:r>
      <w:r>
        <w:rPr>
          <w:rFonts w:hint="default" w:ascii="Times New Roman" w:hAnsi="Times New Roman" w:cs="Times New Roman"/>
          <w:b w:val="0"/>
          <w:color w:val="auto"/>
        </w:rPr>
        <w:instrText xml:space="preserve"> = 3 \* ROMAN </w:instrText>
      </w:r>
      <w:r>
        <w:rPr>
          <w:rFonts w:hint="default" w:ascii="Times New Roman" w:hAnsi="Times New Roman" w:cs="Times New Roman"/>
          <w:b w:val="0"/>
          <w:color w:val="auto"/>
        </w:rPr>
        <w:fldChar w:fldCharType="separate"/>
      </w:r>
      <w:r>
        <w:rPr>
          <w:rFonts w:hint="default" w:ascii="Times New Roman" w:hAnsi="Times New Roman" w:cs="Times New Roman"/>
          <w:b w:val="0"/>
          <w:color w:val="auto"/>
        </w:rPr>
        <w:t>III</w:t>
      </w:r>
      <w:r>
        <w:rPr>
          <w:rFonts w:hint="default" w:ascii="Times New Roman" w:hAnsi="Times New Roman" w:cs="Times New Roman"/>
          <w:b w:val="0"/>
          <w:color w:val="auto"/>
        </w:rPr>
        <w:fldChar w:fldCharType="end"/>
      </w:r>
      <w:r>
        <w:rPr>
          <w:rFonts w:hint="default" w:ascii="Times New Roman" w:hAnsi="Times New Roman" w:cs="Times New Roman"/>
          <w:b w:val="0"/>
          <w:color w:val="auto"/>
        </w:rPr>
        <w:t>类标准及《畜禽养殖产地环境评价规范》（HJ568-2011）中相关要求。</w:t>
      </w:r>
    </w:p>
    <w:p>
      <w:pPr>
        <w:pStyle w:val="42"/>
        <w:numPr>
          <w:ilvl w:val="0"/>
          <w:numId w:val="0"/>
        </w:numPr>
        <w:spacing w:line="240" w:lineRule="auto"/>
        <w:ind w:firstLine="480"/>
        <w:jc w:val="left"/>
        <w:rPr>
          <w:rFonts w:hint="default" w:ascii="Times New Roman" w:hAnsi="Times New Roman" w:cs="Times New Roman"/>
          <w:b w:val="0"/>
          <w:color w:val="auto"/>
        </w:rPr>
      </w:pPr>
    </w:p>
    <w:p>
      <w:pPr>
        <w:pStyle w:val="42"/>
        <w:numPr>
          <w:ilvl w:val="0"/>
          <w:numId w:val="0"/>
        </w:numPr>
        <w:spacing w:line="240" w:lineRule="auto"/>
        <w:ind w:left="420" w:hanging="420" w:hangingChars="175"/>
        <w:jc w:val="left"/>
        <w:rPr>
          <w:rFonts w:hint="default" w:ascii="Times New Roman" w:hAnsi="Times New Roman" w:cs="Times New Roman"/>
          <w:b w:val="0"/>
          <w:color w:val="auto"/>
        </w:rPr>
        <w:sectPr>
          <w:pgSz w:w="16838" w:h="11906" w:orient="landscape"/>
          <w:pgMar w:top="1474" w:right="1701" w:bottom="1474" w:left="1701" w:header="1134" w:footer="1247" w:gutter="0"/>
          <w:pgBorders>
            <w:top w:val="none" w:sz="0" w:space="0"/>
            <w:left w:val="none" w:sz="0" w:space="0"/>
            <w:bottom w:val="none" w:sz="0" w:space="0"/>
            <w:right w:val="none" w:sz="0" w:space="0"/>
          </w:pgBorders>
          <w:pgNumType w:chapStyle="1" w:chapSep="enDash"/>
          <w:cols w:space="720" w:num="1"/>
          <w:docGrid w:type="linesAndChars" w:linePitch="516" w:charSpace="-20"/>
        </w:sectPr>
      </w:pPr>
    </w:p>
    <w:p>
      <w:pPr>
        <w:pStyle w:val="5"/>
        <w:tabs>
          <w:tab w:val="left" w:pos="0"/>
        </w:tabs>
        <w:spacing w:before="120"/>
        <w:rPr>
          <w:rFonts w:hint="default" w:ascii="Times New Roman" w:hAnsi="Times New Roman" w:cs="Times New Roman"/>
          <w:color w:val="auto"/>
        </w:rPr>
      </w:pPr>
      <w:r>
        <w:rPr>
          <w:rFonts w:hint="default" w:ascii="Times New Roman" w:hAnsi="Times New Roman" w:cs="Times New Roman"/>
          <w:color w:val="auto"/>
        </w:rPr>
        <w:t>4.</w:t>
      </w:r>
      <w:r>
        <w:rPr>
          <w:rFonts w:hint="default" w:ascii="Times New Roman" w:hAnsi="Times New Roman" w:cs="Times New Roman"/>
          <w:color w:val="auto"/>
          <w:lang w:val="en-US"/>
        </w:rPr>
        <w:t>2</w:t>
      </w:r>
      <w:r>
        <w:rPr>
          <w:rFonts w:hint="default" w:ascii="Times New Roman" w:hAnsi="Times New Roman" w:cs="Times New Roman"/>
          <w:color w:val="auto"/>
        </w:rPr>
        <w:t>.4  声环境质量现状监测与评价</w:t>
      </w:r>
    </w:p>
    <w:p>
      <w:pPr>
        <w:autoSpaceDE w:val="0"/>
        <w:autoSpaceDN w:val="0"/>
        <w:ind w:firstLine="480"/>
        <w:rPr>
          <w:rFonts w:hint="default" w:ascii="Times New Roman" w:hAnsi="Times New Roman" w:cs="Times New Roman"/>
          <w:color w:val="auto"/>
        </w:rPr>
      </w:pPr>
      <w:r>
        <w:rPr>
          <w:rFonts w:hint="default" w:ascii="Times New Roman" w:hAnsi="Times New Roman" w:cs="Times New Roman"/>
          <w:color w:val="auto"/>
        </w:rPr>
        <w:t>4.2.4.1  监测点位布设</w:t>
      </w:r>
    </w:p>
    <w:p>
      <w:pPr>
        <w:pStyle w:val="42"/>
        <w:numPr>
          <w:ilvl w:val="0"/>
          <w:numId w:val="0"/>
        </w:numPr>
        <w:ind w:firstLine="480"/>
        <w:jc w:val="left"/>
        <w:rPr>
          <w:rFonts w:hint="default" w:ascii="Times New Roman" w:hAnsi="Times New Roman" w:cs="Times New Roman"/>
          <w:b w:val="0"/>
          <w:color w:val="auto"/>
        </w:rPr>
      </w:pPr>
      <w:r>
        <w:rPr>
          <w:rFonts w:hint="default" w:ascii="Times New Roman" w:hAnsi="Times New Roman" w:cs="Times New Roman"/>
          <w:b w:val="0"/>
          <w:color w:val="auto"/>
        </w:rPr>
        <w:t>根据项目厂址周围环境实况，本次评价声环境监测点在厂界四周各设置一个监测点（共4个监测点）。</w:t>
      </w:r>
    </w:p>
    <w:p>
      <w:pPr>
        <w:autoSpaceDE w:val="0"/>
        <w:autoSpaceDN w:val="0"/>
        <w:ind w:firstLine="480"/>
        <w:rPr>
          <w:rFonts w:hint="default" w:ascii="Times New Roman" w:hAnsi="Times New Roman" w:cs="Times New Roman"/>
          <w:color w:val="auto"/>
        </w:rPr>
      </w:pPr>
      <w:r>
        <w:rPr>
          <w:rFonts w:hint="default" w:ascii="Times New Roman" w:hAnsi="Times New Roman" w:cs="Times New Roman"/>
          <w:color w:val="auto"/>
        </w:rPr>
        <w:t>4.2.4.2  监测时间及监测频率</w:t>
      </w:r>
    </w:p>
    <w:p>
      <w:pPr>
        <w:pStyle w:val="42"/>
        <w:numPr>
          <w:ilvl w:val="0"/>
          <w:numId w:val="0"/>
        </w:numPr>
        <w:ind w:firstLine="480"/>
        <w:jc w:val="left"/>
        <w:rPr>
          <w:rFonts w:hint="default" w:ascii="Times New Roman" w:hAnsi="Times New Roman" w:cs="Times New Roman"/>
          <w:b w:val="0"/>
          <w:color w:val="auto"/>
        </w:rPr>
      </w:pPr>
      <w:r>
        <w:rPr>
          <w:rFonts w:hint="default" w:ascii="Times New Roman" w:hAnsi="Times New Roman" w:cs="Times New Roman"/>
          <w:b w:val="0"/>
          <w:color w:val="auto"/>
        </w:rPr>
        <w:t>连续监测2天，每天昼、夜各监测一次。河南中弘检测中心于2019年11月7日～2019年11月8日对布设点位进行监测。</w:t>
      </w:r>
    </w:p>
    <w:p>
      <w:pPr>
        <w:autoSpaceDE w:val="0"/>
        <w:autoSpaceDN w:val="0"/>
        <w:ind w:firstLine="480"/>
        <w:rPr>
          <w:rFonts w:hint="default" w:ascii="Times New Roman" w:hAnsi="Times New Roman" w:cs="Times New Roman"/>
          <w:color w:val="auto"/>
        </w:rPr>
      </w:pPr>
      <w:r>
        <w:rPr>
          <w:rFonts w:hint="default" w:ascii="Times New Roman" w:hAnsi="Times New Roman" w:cs="Times New Roman"/>
          <w:color w:val="auto"/>
        </w:rPr>
        <w:t>4.2.4.3  评价方法</w:t>
      </w:r>
    </w:p>
    <w:p>
      <w:pPr>
        <w:pStyle w:val="42"/>
        <w:numPr>
          <w:ilvl w:val="0"/>
          <w:numId w:val="0"/>
        </w:numPr>
        <w:ind w:firstLine="480"/>
        <w:jc w:val="left"/>
        <w:rPr>
          <w:rFonts w:hint="default" w:ascii="Times New Roman" w:hAnsi="Times New Roman" w:cs="Times New Roman"/>
          <w:b w:val="0"/>
          <w:color w:val="auto"/>
        </w:rPr>
      </w:pPr>
      <w:r>
        <w:rPr>
          <w:rFonts w:hint="default" w:ascii="Times New Roman" w:hAnsi="Times New Roman" w:cs="Times New Roman"/>
          <w:b w:val="0"/>
          <w:color w:val="auto"/>
        </w:rPr>
        <w:t>根据声环境现状监测结果，采用等效声级法，结合噪声评价标准，对厂址声环境质量现状进行评价。</w:t>
      </w:r>
    </w:p>
    <w:p>
      <w:pPr>
        <w:autoSpaceDE w:val="0"/>
        <w:autoSpaceDN w:val="0"/>
        <w:ind w:firstLine="480"/>
        <w:rPr>
          <w:rFonts w:hint="default" w:ascii="Times New Roman" w:hAnsi="Times New Roman" w:cs="Times New Roman"/>
          <w:color w:val="auto"/>
        </w:rPr>
      </w:pPr>
      <w:r>
        <w:rPr>
          <w:rFonts w:hint="default" w:ascii="Times New Roman" w:hAnsi="Times New Roman" w:cs="Times New Roman"/>
          <w:color w:val="auto"/>
        </w:rPr>
        <w:t>4.2.4.4  评价标准</w:t>
      </w:r>
    </w:p>
    <w:p>
      <w:pPr>
        <w:pStyle w:val="42"/>
        <w:numPr>
          <w:ilvl w:val="0"/>
          <w:numId w:val="0"/>
        </w:numPr>
        <w:ind w:firstLine="480"/>
        <w:jc w:val="left"/>
        <w:rPr>
          <w:rFonts w:hint="default" w:ascii="Times New Roman" w:hAnsi="Times New Roman" w:cs="Times New Roman"/>
          <w:b w:val="0"/>
          <w:color w:val="auto"/>
        </w:rPr>
      </w:pPr>
      <w:r>
        <w:rPr>
          <w:rFonts w:hint="default" w:ascii="Times New Roman" w:hAnsi="Times New Roman" w:cs="Times New Roman"/>
          <w:b w:val="0"/>
          <w:color w:val="auto"/>
        </w:rPr>
        <w:t>本次声环境质量现状评价执行《声环境质量标准》（GB3096-2008）2类标准要求，本次声环境质量评价标准见表4.2-15。</w:t>
      </w:r>
    </w:p>
    <w:p>
      <w:pPr>
        <w:pStyle w:val="42"/>
        <w:numPr>
          <w:ilvl w:val="0"/>
          <w:numId w:val="0"/>
        </w:numPr>
        <w:rPr>
          <w:rFonts w:hint="default" w:ascii="Times New Roman" w:hAnsi="Times New Roman" w:cs="Times New Roman"/>
          <w:color w:val="auto"/>
        </w:rPr>
      </w:pPr>
      <w:r>
        <w:rPr>
          <w:rFonts w:hint="default" w:ascii="Times New Roman" w:hAnsi="Times New Roman" w:cs="Times New Roman"/>
          <w:color w:val="auto"/>
        </w:rPr>
        <w:t>表4.2-15                      声环境质量评价标准</w:t>
      </w:r>
    </w:p>
    <w:tbl>
      <w:tblPr>
        <w:tblStyle w:val="25"/>
        <w:tblW w:w="901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97"/>
        <w:gridCol w:w="3058"/>
        <w:gridCol w:w="30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97" w:type="dxa"/>
            <w:tcMar>
              <w:top w:w="85" w:type="dxa"/>
              <w:bottom w:w="85" w:type="dxa"/>
            </w:tcMar>
            <w:vAlign w:val="center"/>
          </w:tcPr>
          <w:p>
            <w:pPr>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声环境功能区类别</w:t>
            </w:r>
          </w:p>
        </w:tc>
        <w:tc>
          <w:tcPr>
            <w:tcW w:w="3058" w:type="dxa"/>
            <w:tcMar>
              <w:top w:w="85" w:type="dxa"/>
              <w:bottom w:w="85" w:type="dxa"/>
            </w:tcMar>
            <w:vAlign w:val="center"/>
          </w:tcPr>
          <w:p>
            <w:pPr>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昼间[dB(A)]</w:t>
            </w:r>
          </w:p>
        </w:tc>
        <w:tc>
          <w:tcPr>
            <w:tcW w:w="3059" w:type="dxa"/>
            <w:tcMar>
              <w:top w:w="85" w:type="dxa"/>
              <w:bottom w:w="85" w:type="dxa"/>
            </w:tcMar>
            <w:vAlign w:val="center"/>
          </w:tcPr>
          <w:p>
            <w:pPr>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897" w:type="dxa"/>
            <w:tcMar>
              <w:top w:w="85" w:type="dxa"/>
              <w:bottom w:w="85" w:type="dxa"/>
            </w:tcMar>
            <w:vAlign w:val="center"/>
          </w:tcPr>
          <w:p>
            <w:pPr>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2类</w:t>
            </w:r>
          </w:p>
        </w:tc>
        <w:tc>
          <w:tcPr>
            <w:tcW w:w="3058" w:type="dxa"/>
            <w:tcMar>
              <w:top w:w="85" w:type="dxa"/>
              <w:bottom w:w="85" w:type="dxa"/>
            </w:tcMar>
            <w:vAlign w:val="center"/>
          </w:tcPr>
          <w:p>
            <w:pPr>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3059" w:type="dxa"/>
            <w:tcMar>
              <w:top w:w="85" w:type="dxa"/>
              <w:bottom w:w="85" w:type="dxa"/>
            </w:tcMar>
            <w:vAlign w:val="center"/>
          </w:tcPr>
          <w:p>
            <w:pPr>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r>
    </w:tbl>
    <w:p>
      <w:pPr>
        <w:autoSpaceDE w:val="0"/>
        <w:autoSpaceDN w:val="0"/>
        <w:ind w:firstLine="480"/>
        <w:rPr>
          <w:rFonts w:hint="default" w:ascii="Times New Roman" w:hAnsi="Times New Roman" w:cs="Times New Roman"/>
          <w:color w:val="auto"/>
        </w:rPr>
      </w:pPr>
      <w:r>
        <w:rPr>
          <w:rFonts w:hint="default" w:ascii="Times New Roman" w:hAnsi="Times New Roman" w:cs="Times New Roman"/>
          <w:color w:val="auto"/>
        </w:rPr>
        <w:t>4.2.4.5  监测结果统计及评价</w:t>
      </w:r>
    </w:p>
    <w:p>
      <w:pPr>
        <w:pStyle w:val="42"/>
        <w:numPr>
          <w:ilvl w:val="0"/>
          <w:numId w:val="0"/>
        </w:numPr>
        <w:spacing w:line="240" w:lineRule="auto"/>
        <w:ind w:left="420" w:hanging="420"/>
        <w:jc w:val="left"/>
        <w:rPr>
          <w:rFonts w:hint="default" w:ascii="Times New Roman" w:hAnsi="Times New Roman" w:cs="Times New Roman"/>
          <w:b w:val="0"/>
          <w:color w:val="auto"/>
        </w:rPr>
      </w:pPr>
      <w:r>
        <w:rPr>
          <w:rFonts w:hint="default" w:ascii="Times New Roman" w:hAnsi="Times New Roman" w:cs="Times New Roman"/>
          <w:b w:val="0"/>
          <w:color w:val="auto"/>
        </w:rPr>
        <w:t xml:space="preserve">    本次声环境质量现状监测数据统计分析结果见表4.2-16。</w:t>
      </w:r>
    </w:p>
    <w:p>
      <w:pPr>
        <w:spacing w:afterLines="30" w:line="500" w:lineRule="exact"/>
        <w:ind w:firstLine="0" w:firstLineChars="0"/>
        <w:jc w:val="center"/>
        <w:rPr>
          <w:rFonts w:hint="default" w:ascii="Times New Roman" w:hAnsi="Times New Roman" w:eastAsia="宋体" w:cs="Times New Roman"/>
          <w:b/>
          <w:color w:val="auto"/>
          <w:lang w:val="en-US" w:eastAsia="zh-CN"/>
        </w:rPr>
      </w:pPr>
      <w:r>
        <w:rPr>
          <w:rFonts w:hint="default" w:ascii="Times New Roman" w:hAnsi="Times New Roman" w:cs="Times New Roman"/>
          <w:b/>
          <w:color w:val="auto"/>
        </w:rPr>
        <w:t>表4.2-16        声环境质量现状监测结果统计一览表</w:t>
      </w:r>
      <w:r>
        <w:rPr>
          <w:rStyle w:val="29"/>
          <w:rFonts w:hint="default" w:ascii="Times New Roman" w:hAnsi="Times New Roman" w:cs="Times New Roman"/>
          <w:color w:val="auto"/>
          <w:lang w:val="en-US" w:eastAsia="zh-CN"/>
        </w:rPr>
        <w:t xml:space="preserve"> 单位：</w:t>
      </w:r>
      <w:r>
        <w:rPr>
          <w:rFonts w:hint="default" w:ascii="Times New Roman" w:hAnsi="Times New Roman" w:cs="Times New Roman"/>
          <w:color w:val="auto"/>
          <w:sz w:val="21"/>
          <w:szCs w:val="21"/>
        </w:rPr>
        <w:t>dB(A)</w:t>
      </w:r>
    </w:p>
    <w:tbl>
      <w:tblPr>
        <w:tblStyle w:val="25"/>
        <w:tblW w:w="8728"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427"/>
        <w:gridCol w:w="1575"/>
        <w:gridCol w:w="1362"/>
        <w:gridCol w:w="1090"/>
        <w:gridCol w:w="1226"/>
        <w:gridCol w:w="2048"/>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exact"/>
          <w:jc w:val="center"/>
        </w:trPr>
        <w:tc>
          <w:tcPr>
            <w:tcW w:w="3002" w:type="dxa"/>
            <w:gridSpan w:val="2"/>
            <w:vMerge w:val="restart"/>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监测时间</w:t>
            </w:r>
          </w:p>
        </w:tc>
        <w:tc>
          <w:tcPr>
            <w:tcW w:w="5726" w:type="dxa"/>
            <w:gridSpan w:val="4"/>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color w:val="auto"/>
                <w:kern w:val="0"/>
                <w:sz w:val="21"/>
                <w:szCs w:val="21"/>
              </w:rPr>
              <w:t>监测点位</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exact"/>
          <w:jc w:val="center"/>
        </w:trPr>
        <w:tc>
          <w:tcPr>
            <w:tcW w:w="3002" w:type="dxa"/>
            <w:gridSpan w:val="2"/>
            <w:vMerge w:val="continue"/>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监测点位</w:t>
            </w:r>
          </w:p>
        </w:tc>
        <w:tc>
          <w:tcPr>
            <w:tcW w:w="1362"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18"/>
                <w:szCs w:val="18"/>
              </w:rPr>
              <w:t>东厂界</w:t>
            </w:r>
          </w:p>
        </w:tc>
        <w:tc>
          <w:tcPr>
            <w:tcW w:w="1090"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18"/>
                <w:szCs w:val="18"/>
              </w:rPr>
              <w:t>西厂界</w:t>
            </w:r>
          </w:p>
        </w:tc>
        <w:tc>
          <w:tcPr>
            <w:tcW w:w="1226"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18"/>
                <w:szCs w:val="18"/>
              </w:rPr>
              <w:t>南厂界</w:t>
            </w:r>
          </w:p>
        </w:tc>
        <w:tc>
          <w:tcPr>
            <w:tcW w:w="2048"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18"/>
                <w:szCs w:val="18"/>
              </w:rPr>
              <w:t>北厂界</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exact"/>
          <w:jc w:val="center"/>
        </w:trPr>
        <w:tc>
          <w:tcPr>
            <w:tcW w:w="1427" w:type="dxa"/>
            <w:vMerge w:val="restart"/>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2019.11.07</w:t>
            </w:r>
          </w:p>
        </w:tc>
        <w:tc>
          <w:tcPr>
            <w:tcW w:w="1575"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昼间</w:t>
            </w:r>
          </w:p>
        </w:tc>
        <w:tc>
          <w:tcPr>
            <w:tcW w:w="1362"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sz w:val="18"/>
                <w:szCs w:val="18"/>
              </w:rPr>
              <w:t>51.6</w:t>
            </w:r>
          </w:p>
        </w:tc>
        <w:tc>
          <w:tcPr>
            <w:tcW w:w="109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sz w:val="18"/>
                <w:szCs w:val="18"/>
              </w:rPr>
              <w:t>52.1</w:t>
            </w:r>
          </w:p>
        </w:tc>
        <w:tc>
          <w:tcPr>
            <w:tcW w:w="12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sz w:val="18"/>
                <w:szCs w:val="18"/>
              </w:rPr>
              <w:t>52.8</w:t>
            </w:r>
          </w:p>
        </w:tc>
        <w:tc>
          <w:tcPr>
            <w:tcW w:w="2048"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sz w:val="18"/>
                <w:szCs w:val="18"/>
              </w:rPr>
              <w:t>51.4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2" w:hRule="exact"/>
          <w:jc w:val="center"/>
        </w:trPr>
        <w:tc>
          <w:tcPr>
            <w:tcW w:w="1427" w:type="dxa"/>
            <w:vMerge w:val="continue"/>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p>
        </w:tc>
        <w:tc>
          <w:tcPr>
            <w:tcW w:w="1575"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夜间</w:t>
            </w:r>
          </w:p>
        </w:tc>
        <w:tc>
          <w:tcPr>
            <w:tcW w:w="1362"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sz w:val="18"/>
                <w:szCs w:val="18"/>
              </w:rPr>
              <w:t>41.4</w:t>
            </w:r>
          </w:p>
        </w:tc>
        <w:tc>
          <w:tcPr>
            <w:tcW w:w="109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sz w:val="18"/>
                <w:szCs w:val="18"/>
              </w:rPr>
              <w:t>41.1</w:t>
            </w:r>
          </w:p>
        </w:tc>
        <w:tc>
          <w:tcPr>
            <w:tcW w:w="12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sz w:val="18"/>
                <w:szCs w:val="18"/>
              </w:rPr>
              <w:t>41.4</w:t>
            </w:r>
          </w:p>
        </w:tc>
        <w:tc>
          <w:tcPr>
            <w:tcW w:w="2048"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sz w:val="18"/>
                <w:szCs w:val="18"/>
              </w:rPr>
              <w:t>40.8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exact"/>
          <w:jc w:val="center"/>
        </w:trPr>
        <w:tc>
          <w:tcPr>
            <w:tcW w:w="1427" w:type="dxa"/>
            <w:vMerge w:val="restart"/>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2019.11.08</w:t>
            </w:r>
          </w:p>
        </w:tc>
        <w:tc>
          <w:tcPr>
            <w:tcW w:w="1575"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昼间</w:t>
            </w:r>
          </w:p>
        </w:tc>
        <w:tc>
          <w:tcPr>
            <w:tcW w:w="1362"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sz w:val="18"/>
                <w:szCs w:val="18"/>
              </w:rPr>
              <w:t>51.2</w:t>
            </w:r>
          </w:p>
        </w:tc>
        <w:tc>
          <w:tcPr>
            <w:tcW w:w="109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sz w:val="18"/>
                <w:szCs w:val="18"/>
              </w:rPr>
              <w:t>51.8</w:t>
            </w:r>
          </w:p>
        </w:tc>
        <w:tc>
          <w:tcPr>
            <w:tcW w:w="12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sz w:val="18"/>
                <w:szCs w:val="18"/>
              </w:rPr>
              <w:t>52.9</w:t>
            </w:r>
          </w:p>
        </w:tc>
        <w:tc>
          <w:tcPr>
            <w:tcW w:w="2048"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sz w:val="18"/>
                <w:szCs w:val="18"/>
              </w:rPr>
              <w:t>52.2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1" w:hRule="exact"/>
          <w:jc w:val="center"/>
        </w:trPr>
        <w:tc>
          <w:tcPr>
            <w:tcW w:w="1427" w:type="dxa"/>
            <w:vMerge w:val="continue"/>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p>
        </w:tc>
        <w:tc>
          <w:tcPr>
            <w:tcW w:w="1575" w:type="dxa"/>
            <w:tcBorders>
              <w:tl2br w:val="nil"/>
              <w:tr2bl w:val="nil"/>
            </w:tcBorders>
            <w:vAlign w:val="center"/>
          </w:tcPr>
          <w:p>
            <w:pPr>
              <w:autoSpaceDE w:val="0"/>
              <w:autoSpaceDN w:val="0"/>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夜间</w:t>
            </w:r>
          </w:p>
        </w:tc>
        <w:tc>
          <w:tcPr>
            <w:tcW w:w="1362"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sz w:val="18"/>
                <w:szCs w:val="18"/>
              </w:rPr>
              <w:t>41.2</w:t>
            </w:r>
          </w:p>
        </w:tc>
        <w:tc>
          <w:tcPr>
            <w:tcW w:w="1090"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sz w:val="18"/>
                <w:szCs w:val="18"/>
              </w:rPr>
              <w:t>40.6</w:t>
            </w:r>
          </w:p>
        </w:tc>
        <w:tc>
          <w:tcPr>
            <w:tcW w:w="1226"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sz w:val="18"/>
                <w:szCs w:val="18"/>
              </w:rPr>
              <w:t>42.1</w:t>
            </w:r>
          </w:p>
        </w:tc>
        <w:tc>
          <w:tcPr>
            <w:tcW w:w="2048" w:type="dxa"/>
            <w:tcBorders>
              <w:tl2br w:val="nil"/>
              <w:tr2bl w:val="nil"/>
            </w:tcBorders>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sz w:val="18"/>
                <w:szCs w:val="18"/>
              </w:rPr>
              <w:t>41.4</w:t>
            </w:r>
          </w:p>
        </w:tc>
      </w:tr>
    </w:tbl>
    <w:p>
      <w:pPr>
        <w:pStyle w:val="42"/>
        <w:numPr>
          <w:ilvl w:val="0"/>
          <w:numId w:val="0"/>
        </w:numPr>
        <w:ind w:firstLine="480" w:firstLineChars="200"/>
        <w:jc w:val="left"/>
        <w:rPr>
          <w:rFonts w:hint="default" w:ascii="Times New Roman" w:hAnsi="Times New Roman" w:cs="Times New Roman"/>
          <w:b w:val="0"/>
          <w:color w:val="auto"/>
        </w:rPr>
      </w:pPr>
      <w:r>
        <w:rPr>
          <w:rFonts w:hint="default" w:ascii="Times New Roman" w:hAnsi="Times New Roman" w:cs="Times New Roman"/>
          <w:b w:val="0"/>
          <w:color w:val="auto"/>
        </w:rPr>
        <w:t>由表4.2-16可以看出：项目厂址四周声环境质量现状昼、夜监测结果均能满足《声环境质量标准》（GB3096-2008）2类标准要求，说明项目厂址所在区域声环境质量现状良好。</w:t>
      </w:r>
    </w:p>
    <w:p>
      <w:pPr>
        <w:pStyle w:val="5"/>
        <w:tabs>
          <w:tab w:val="left" w:pos="0"/>
        </w:tabs>
        <w:rPr>
          <w:rFonts w:hint="default" w:ascii="Times New Roman" w:hAnsi="Times New Roman" w:cs="Times New Roman"/>
          <w:color w:val="auto"/>
        </w:rPr>
      </w:pPr>
      <w:r>
        <w:rPr>
          <w:rFonts w:hint="default" w:ascii="Times New Roman" w:hAnsi="Times New Roman" w:cs="Times New Roman"/>
          <w:color w:val="auto"/>
        </w:rPr>
        <w:t>4.</w:t>
      </w:r>
      <w:r>
        <w:rPr>
          <w:rFonts w:hint="default" w:ascii="Times New Roman" w:hAnsi="Times New Roman" w:cs="Times New Roman"/>
          <w:color w:val="auto"/>
          <w:lang w:val="en-US"/>
        </w:rPr>
        <w:t>2</w:t>
      </w:r>
      <w:r>
        <w:rPr>
          <w:rFonts w:hint="default" w:ascii="Times New Roman" w:hAnsi="Times New Roman" w:cs="Times New Roman"/>
          <w:color w:val="auto"/>
        </w:rPr>
        <w:t>.5  土壤环境质量现状监测与评价</w:t>
      </w:r>
    </w:p>
    <w:p>
      <w:pPr>
        <w:autoSpaceDE w:val="0"/>
        <w:autoSpaceDN w:val="0"/>
        <w:ind w:firstLine="480"/>
        <w:rPr>
          <w:rFonts w:hint="default" w:ascii="Times New Roman" w:hAnsi="Times New Roman" w:cs="Times New Roman"/>
          <w:color w:val="auto"/>
        </w:rPr>
      </w:pPr>
      <w:r>
        <w:rPr>
          <w:rFonts w:hint="default" w:ascii="Times New Roman" w:hAnsi="Times New Roman" w:cs="Times New Roman"/>
          <w:color w:val="auto"/>
        </w:rPr>
        <w:t>4.2.5.1  监测点位及监测因子、时间、频率</w:t>
      </w:r>
    </w:p>
    <w:p>
      <w:pPr>
        <w:adjustRightInd/>
        <w:snapToGrid/>
        <w:ind w:firstLine="480"/>
        <w:rPr>
          <w:rFonts w:hint="default" w:ascii="Times New Roman" w:hAnsi="Times New Roman" w:cs="Times New Roman"/>
          <w:color w:val="auto"/>
          <w:szCs w:val="28"/>
        </w:rPr>
      </w:pPr>
      <w:r>
        <w:rPr>
          <w:rFonts w:hint="default" w:ascii="Times New Roman" w:hAnsi="Times New Roman" w:cs="Times New Roman"/>
          <w:color w:val="auto"/>
          <w:szCs w:val="28"/>
        </w:rPr>
        <w:t>土壤监测布点设置见表4.2-17。</w:t>
      </w:r>
    </w:p>
    <w:p>
      <w:pPr>
        <w:ind w:firstLine="442"/>
        <w:jc w:val="center"/>
        <w:rPr>
          <w:rFonts w:hint="default" w:ascii="Times New Roman" w:hAnsi="Times New Roman" w:cs="Times New Roman"/>
          <w:b/>
          <w:bCs/>
          <w:color w:val="auto"/>
          <w:sz w:val="22"/>
          <w:szCs w:val="22"/>
        </w:rPr>
      </w:pPr>
      <w:r>
        <w:rPr>
          <w:rFonts w:hint="default" w:ascii="Times New Roman" w:hAnsi="Times New Roman" w:cs="Times New Roman"/>
          <w:b/>
          <w:bCs/>
          <w:color w:val="auto"/>
          <w:sz w:val="22"/>
          <w:szCs w:val="22"/>
        </w:rPr>
        <w:t>表4.2-17   土壤现状监测点位布设一览表</w:t>
      </w:r>
    </w:p>
    <w:tbl>
      <w:tblPr>
        <w:tblStyle w:val="25"/>
        <w:tblW w:w="8727"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540"/>
        <w:gridCol w:w="3631"/>
        <w:gridCol w:w="3556"/>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540" w:type="dxa"/>
            <w:tcBorders>
              <w:tl2br w:val="nil"/>
              <w:tr2bl w:val="nil"/>
            </w:tcBorders>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点号</w:t>
            </w:r>
          </w:p>
        </w:tc>
        <w:tc>
          <w:tcPr>
            <w:tcW w:w="3631" w:type="dxa"/>
            <w:tcBorders>
              <w:tl2br w:val="nil"/>
              <w:tr2bl w:val="nil"/>
            </w:tcBorders>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监测点名称</w:t>
            </w:r>
          </w:p>
        </w:tc>
        <w:tc>
          <w:tcPr>
            <w:tcW w:w="3556" w:type="dxa"/>
            <w:tcBorders>
              <w:tl2br w:val="nil"/>
              <w:tr2bl w:val="nil"/>
            </w:tcBorders>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监测时间</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jc w:val="center"/>
        </w:trPr>
        <w:tc>
          <w:tcPr>
            <w:tcW w:w="1540" w:type="dxa"/>
            <w:tcBorders>
              <w:tl2br w:val="nil"/>
              <w:tr2bl w:val="nil"/>
            </w:tcBorders>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3631" w:type="dxa"/>
            <w:tcBorders>
              <w:tl2br w:val="nil"/>
              <w:tr2bl w:val="nil"/>
            </w:tcBorders>
            <w:vAlign w:val="center"/>
          </w:tcPr>
          <w:p>
            <w:pPr>
              <w:adjustRightInd/>
              <w:spacing w:line="240" w:lineRule="auto"/>
              <w:ind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rPr>
              <w:t>厂址</w:t>
            </w:r>
            <w:r>
              <w:rPr>
                <w:rFonts w:hint="default" w:ascii="Times New Roman" w:hAnsi="Times New Roman" w:cs="Times New Roman"/>
                <w:color w:val="auto"/>
                <w:kern w:val="0"/>
                <w:sz w:val="21"/>
                <w:szCs w:val="21"/>
                <w:lang w:eastAsia="zh-CN"/>
              </w:rPr>
              <w:t>空地</w:t>
            </w:r>
          </w:p>
        </w:tc>
        <w:tc>
          <w:tcPr>
            <w:tcW w:w="3556" w:type="dxa"/>
            <w:tcBorders>
              <w:tl2br w:val="nil"/>
              <w:tr2bl w:val="nil"/>
            </w:tcBorders>
            <w:vAlign w:val="center"/>
          </w:tcPr>
          <w:p>
            <w:pPr>
              <w:autoSpaceDE w:val="0"/>
              <w:autoSpaceDN w:val="0"/>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w w:val="100"/>
                <w:kern w:val="0"/>
                <w:sz w:val="21"/>
                <w:szCs w:val="21"/>
              </w:rPr>
              <w:t>连续监测</w:t>
            </w:r>
            <w:r>
              <w:rPr>
                <w:rFonts w:hint="default" w:ascii="Times New Roman" w:hAnsi="Times New Roman" w:cs="Times New Roman"/>
                <w:color w:val="auto"/>
                <w:w w:val="100"/>
                <w:kern w:val="0"/>
                <w:sz w:val="21"/>
                <w:szCs w:val="21"/>
                <w:lang w:val="en-US" w:eastAsia="zh-CN"/>
              </w:rPr>
              <w:t>1</w:t>
            </w:r>
            <w:r>
              <w:rPr>
                <w:rFonts w:hint="default" w:ascii="Times New Roman" w:hAnsi="Times New Roman" w:cs="Times New Roman"/>
                <w:color w:val="auto"/>
                <w:w w:val="100"/>
                <w:kern w:val="0"/>
                <w:sz w:val="21"/>
                <w:szCs w:val="21"/>
              </w:rPr>
              <w:t>天，每天采样一次</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540" w:type="dxa"/>
            <w:tcBorders>
              <w:tl2br w:val="nil"/>
              <w:tr2bl w:val="nil"/>
            </w:tcBorders>
            <w:vAlign w:val="center"/>
          </w:tcPr>
          <w:p>
            <w:pPr>
              <w:autoSpaceDE w:val="0"/>
              <w:autoSpaceDN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w:t>
            </w:r>
          </w:p>
        </w:tc>
        <w:tc>
          <w:tcPr>
            <w:tcW w:w="3631" w:type="dxa"/>
            <w:tcBorders>
              <w:tl2br w:val="nil"/>
              <w:tr2bl w:val="nil"/>
            </w:tcBorders>
            <w:vAlign w:val="center"/>
          </w:tcPr>
          <w:p>
            <w:pPr>
              <w:adjustRightInd/>
              <w:spacing w:line="240" w:lineRule="auto"/>
              <w:ind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粪污处理区</w:t>
            </w:r>
          </w:p>
        </w:tc>
        <w:tc>
          <w:tcPr>
            <w:tcW w:w="3556" w:type="dxa"/>
            <w:tcBorders>
              <w:tl2br w:val="nil"/>
              <w:tr2bl w:val="nil"/>
            </w:tcBorders>
            <w:vAlign w:val="center"/>
          </w:tcPr>
          <w:p>
            <w:pPr>
              <w:autoSpaceDE w:val="0"/>
              <w:autoSpaceDN w:val="0"/>
              <w:spacing w:line="240" w:lineRule="auto"/>
              <w:ind w:firstLine="0" w:firstLineChars="0"/>
              <w:jc w:val="center"/>
              <w:rPr>
                <w:rFonts w:hint="default" w:ascii="Times New Roman" w:hAnsi="Times New Roman" w:cs="Times New Roman"/>
                <w:color w:val="auto"/>
                <w:w w:val="100"/>
                <w:kern w:val="0"/>
                <w:sz w:val="21"/>
                <w:szCs w:val="21"/>
              </w:rPr>
            </w:pPr>
            <w:r>
              <w:rPr>
                <w:rFonts w:hint="default" w:ascii="Times New Roman" w:hAnsi="Times New Roman" w:cs="Times New Roman"/>
                <w:color w:val="auto"/>
                <w:w w:val="100"/>
                <w:kern w:val="0"/>
                <w:sz w:val="21"/>
                <w:szCs w:val="21"/>
              </w:rPr>
              <w:t>连续监测</w:t>
            </w:r>
            <w:r>
              <w:rPr>
                <w:rFonts w:hint="default" w:ascii="Times New Roman" w:hAnsi="Times New Roman" w:cs="Times New Roman"/>
                <w:color w:val="auto"/>
                <w:w w:val="100"/>
                <w:kern w:val="0"/>
                <w:sz w:val="21"/>
                <w:szCs w:val="21"/>
                <w:lang w:val="en-US" w:eastAsia="zh-CN"/>
              </w:rPr>
              <w:t>1</w:t>
            </w:r>
            <w:r>
              <w:rPr>
                <w:rFonts w:hint="default" w:ascii="Times New Roman" w:hAnsi="Times New Roman" w:cs="Times New Roman"/>
                <w:color w:val="auto"/>
                <w:w w:val="100"/>
                <w:kern w:val="0"/>
                <w:sz w:val="21"/>
                <w:szCs w:val="21"/>
              </w:rPr>
              <w:t>天，每天采样一次</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540" w:type="dxa"/>
            <w:tcBorders>
              <w:tl2br w:val="nil"/>
              <w:tr2bl w:val="nil"/>
            </w:tcBorders>
            <w:vAlign w:val="center"/>
          </w:tcPr>
          <w:p>
            <w:pPr>
              <w:autoSpaceDE w:val="0"/>
              <w:autoSpaceDN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3#</w:t>
            </w:r>
          </w:p>
        </w:tc>
        <w:tc>
          <w:tcPr>
            <w:tcW w:w="3631" w:type="dxa"/>
            <w:tcBorders>
              <w:tl2br w:val="nil"/>
              <w:tr2bl w:val="nil"/>
            </w:tcBorders>
            <w:vAlign w:val="center"/>
          </w:tcPr>
          <w:p>
            <w:pPr>
              <w:adjustRightInd/>
              <w:spacing w:line="240" w:lineRule="auto"/>
              <w:ind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养殖区</w:t>
            </w:r>
          </w:p>
        </w:tc>
        <w:tc>
          <w:tcPr>
            <w:tcW w:w="3556" w:type="dxa"/>
            <w:tcBorders>
              <w:tl2br w:val="nil"/>
              <w:tr2bl w:val="nil"/>
            </w:tcBorders>
            <w:vAlign w:val="center"/>
          </w:tcPr>
          <w:p>
            <w:pPr>
              <w:autoSpaceDE w:val="0"/>
              <w:autoSpaceDN w:val="0"/>
              <w:spacing w:line="240" w:lineRule="auto"/>
              <w:ind w:firstLine="0" w:firstLineChars="0"/>
              <w:jc w:val="center"/>
              <w:rPr>
                <w:rFonts w:hint="default" w:ascii="Times New Roman" w:hAnsi="Times New Roman" w:cs="Times New Roman"/>
                <w:color w:val="auto"/>
                <w:w w:val="100"/>
                <w:kern w:val="0"/>
                <w:sz w:val="21"/>
                <w:szCs w:val="21"/>
              </w:rPr>
            </w:pPr>
            <w:r>
              <w:rPr>
                <w:rFonts w:hint="default" w:ascii="Times New Roman" w:hAnsi="Times New Roman" w:cs="Times New Roman"/>
                <w:color w:val="auto"/>
                <w:w w:val="100"/>
                <w:kern w:val="0"/>
                <w:sz w:val="21"/>
                <w:szCs w:val="21"/>
              </w:rPr>
              <w:t>连续监测</w:t>
            </w:r>
            <w:r>
              <w:rPr>
                <w:rFonts w:hint="default" w:ascii="Times New Roman" w:hAnsi="Times New Roman" w:cs="Times New Roman"/>
                <w:color w:val="auto"/>
                <w:w w:val="100"/>
                <w:kern w:val="0"/>
                <w:sz w:val="21"/>
                <w:szCs w:val="21"/>
                <w:lang w:val="en-US" w:eastAsia="zh-CN"/>
              </w:rPr>
              <w:t>1</w:t>
            </w:r>
            <w:r>
              <w:rPr>
                <w:rFonts w:hint="default" w:ascii="Times New Roman" w:hAnsi="Times New Roman" w:cs="Times New Roman"/>
                <w:color w:val="auto"/>
                <w:w w:val="100"/>
                <w:kern w:val="0"/>
                <w:sz w:val="21"/>
                <w:szCs w:val="21"/>
              </w:rPr>
              <w:t>天，每天采样一次</w:t>
            </w:r>
          </w:p>
        </w:tc>
      </w:tr>
    </w:tbl>
    <w:p>
      <w:pPr>
        <w:adjustRightInd/>
        <w:snapToGrid/>
        <w:spacing w:line="520" w:lineRule="exact"/>
        <w:ind w:firstLine="480"/>
        <w:rPr>
          <w:rFonts w:hint="default" w:ascii="Times New Roman" w:hAnsi="Times New Roman" w:cs="Times New Roman"/>
          <w:color w:val="auto"/>
          <w:szCs w:val="28"/>
        </w:rPr>
      </w:pPr>
      <w:r>
        <w:rPr>
          <w:rFonts w:hint="default" w:ascii="Times New Roman" w:hAnsi="Times New Roman" w:cs="Times New Roman"/>
          <w:color w:val="auto"/>
          <w:szCs w:val="28"/>
        </w:rPr>
        <w:t>监测布点：评价设</w:t>
      </w:r>
      <w:r>
        <w:rPr>
          <w:rFonts w:hint="default" w:ascii="Times New Roman" w:hAnsi="Times New Roman" w:cs="Times New Roman"/>
          <w:color w:val="auto"/>
          <w:szCs w:val="28"/>
          <w:lang w:val="en-US" w:eastAsia="zh-CN"/>
        </w:rPr>
        <w:t>3</w:t>
      </w:r>
      <w:r>
        <w:rPr>
          <w:rFonts w:hint="default" w:ascii="Times New Roman" w:hAnsi="Times New Roman" w:cs="Times New Roman"/>
          <w:color w:val="auto"/>
          <w:szCs w:val="28"/>
        </w:rPr>
        <w:t>个土壤监测点，</w:t>
      </w:r>
      <w:r>
        <w:rPr>
          <w:rFonts w:hint="default" w:ascii="Times New Roman" w:hAnsi="Times New Roman" w:cs="Times New Roman"/>
          <w:color w:val="auto"/>
          <w:sz w:val="24"/>
          <w:szCs w:val="24"/>
          <w:lang w:eastAsia="zh-CN"/>
        </w:rPr>
        <w:t>厂区空地、粪污处理区、养殖区，</w:t>
      </w:r>
      <w:r>
        <w:rPr>
          <w:rFonts w:hint="default" w:ascii="Times New Roman" w:hAnsi="Times New Roman" w:cs="Times New Roman"/>
          <w:color w:val="auto"/>
          <w:szCs w:val="28"/>
        </w:rPr>
        <w:t>分别取0-20cm</w:t>
      </w:r>
      <w:r>
        <w:rPr>
          <w:rFonts w:hint="default" w:ascii="Times New Roman" w:hAnsi="Times New Roman" w:cs="Times New Roman"/>
          <w:color w:val="auto"/>
          <w:szCs w:val="28"/>
          <w:lang w:eastAsia="zh-CN"/>
        </w:rPr>
        <w:t>表层土样</w:t>
      </w:r>
      <w:r>
        <w:rPr>
          <w:rFonts w:hint="default" w:ascii="Times New Roman" w:hAnsi="Times New Roman" w:cs="Times New Roman"/>
          <w:color w:val="auto"/>
          <w:szCs w:val="28"/>
        </w:rPr>
        <w:t>。</w:t>
      </w:r>
    </w:p>
    <w:p>
      <w:pPr>
        <w:adjustRightInd/>
        <w:snapToGrid/>
        <w:spacing w:line="520" w:lineRule="exact"/>
        <w:ind w:firstLine="480"/>
        <w:rPr>
          <w:rFonts w:hint="default" w:ascii="Times New Roman" w:hAnsi="Times New Roman" w:cs="Times New Roman"/>
          <w:color w:val="auto"/>
          <w:szCs w:val="28"/>
        </w:rPr>
      </w:pPr>
      <w:r>
        <w:rPr>
          <w:rFonts w:hint="default" w:ascii="Times New Roman" w:hAnsi="Times New Roman" w:cs="Times New Roman"/>
          <w:color w:val="auto"/>
          <w:szCs w:val="28"/>
        </w:rPr>
        <w:t>监测因子：pH、镉、汞、铅、砷、铜、锌、镍共 9 项。</w:t>
      </w:r>
    </w:p>
    <w:p>
      <w:pPr>
        <w:autoSpaceDE w:val="0"/>
        <w:autoSpaceDN w:val="0"/>
        <w:ind w:firstLine="480"/>
        <w:rPr>
          <w:rFonts w:hint="default" w:ascii="Times New Roman" w:hAnsi="Times New Roman" w:cs="Times New Roman"/>
          <w:color w:val="auto"/>
        </w:rPr>
      </w:pPr>
      <w:r>
        <w:rPr>
          <w:rFonts w:hint="default" w:ascii="Times New Roman" w:hAnsi="Times New Roman" w:cs="Times New Roman"/>
          <w:color w:val="auto"/>
        </w:rPr>
        <w:t>4.2.5.2  监测因子分析方法</w:t>
      </w:r>
    </w:p>
    <w:p>
      <w:pPr>
        <w:pStyle w:val="42"/>
        <w:numPr>
          <w:ilvl w:val="0"/>
          <w:numId w:val="0"/>
        </w:numPr>
        <w:spacing w:line="240" w:lineRule="auto"/>
        <w:ind w:firstLine="480"/>
        <w:jc w:val="left"/>
        <w:rPr>
          <w:rFonts w:hint="default" w:ascii="Times New Roman" w:hAnsi="Times New Roman" w:cs="Times New Roman"/>
          <w:b w:val="0"/>
          <w:color w:val="auto"/>
        </w:rPr>
      </w:pPr>
      <w:r>
        <w:rPr>
          <w:rFonts w:hint="default" w:ascii="Times New Roman" w:hAnsi="Times New Roman" w:cs="Times New Roman"/>
          <w:b w:val="0"/>
          <w:color w:val="auto"/>
        </w:rPr>
        <w:t>地下水各监测因子的分析方法见表4.2-18。</w:t>
      </w:r>
    </w:p>
    <w:p>
      <w:pPr>
        <w:spacing w:afterLines="30" w:line="500" w:lineRule="exact"/>
        <w:ind w:left="852" w:leftChars="355" w:firstLine="1215" w:firstLineChars="550"/>
        <w:rPr>
          <w:rFonts w:hint="default" w:ascii="Times New Roman" w:hAnsi="Times New Roman" w:cs="Times New Roman"/>
          <w:b/>
          <w:color w:val="auto"/>
          <w:sz w:val="22"/>
          <w:szCs w:val="22"/>
        </w:rPr>
      </w:pPr>
      <w:r>
        <w:rPr>
          <w:rFonts w:hint="default" w:ascii="Times New Roman" w:hAnsi="Times New Roman" w:cs="Times New Roman"/>
          <w:b/>
          <w:color w:val="auto"/>
          <w:sz w:val="22"/>
          <w:szCs w:val="22"/>
        </w:rPr>
        <w:t>表4.2-18             土壤各监测因子分析方法一览表</w:t>
      </w:r>
    </w:p>
    <w:tbl>
      <w:tblPr>
        <w:tblStyle w:val="25"/>
        <w:tblW w:w="917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2972"/>
        <w:gridCol w:w="2982"/>
        <w:gridCol w:w="15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1"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监测因子</w:t>
            </w:r>
          </w:p>
        </w:tc>
        <w:tc>
          <w:tcPr>
            <w:tcW w:w="2972"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监测分析方法</w:t>
            </w:r>
          </w:p>
        </w:tc>
        <w:tc>
          <w:tcPr>
            <w:tcW w:w="2982"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方法来源</w:t>
            </w:r>
          </w:p>
        </w:tc>
        <w:tc>
          <w:tcPr>
            <w:tcW w:w="1549"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检出限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47" w:hRule="atLeast"/>
          <w:jc w:val="center"/>
        </w:trPr>
        <w:tc>
          <w:tcPr>
            <w:tcW w:w="1671"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pH</w:t>
            </w:r>
            <w:r>
              <w:rPr>
                <w:rStyle w:val="43"/>
                <w:rFonts w:hint="default" w:ascii="Times New Roman" w:hAnsi="Times New Roman" w:cs="Times New Roman"/>
                <w:color w:val="auto"/>
                <w:sz w:val="21"/>
                <w:szCs w:val="21"/>
              </w:rPr>
              <w:t>值</w:t>
            </w:r>
          </w:p>
        </w:tc>
        <w:tc>
          <w:tcPr>
            <w:tcW w:w="2972"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玻璃电极法</w:t>
            </w:r>
          </w:p>
        </w:tc>
        <w:tc>
          <w:tcPr>
            <w:tcW w:w="2982"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GB/T6920-1986</w:t>
            </w:r>
          </w:p>
        </w:tc>
        <w:tc>
          <w:tcPr>
            <w:tcW w:w="1549"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1671"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镉</w:t>
            </w:r>
          </w:p>
        </w:tc>
        <w:tc>
          <w:tcPr>
            <w:tcW w:w="2972"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石墨炉</w:t>
            </w:r>
            <w:r>
              <w:rPr>
                <w:rStyle w:val="44"/>
                <w:rFonts w:hint="default" w:ascii="Times New Roman" w:hAnsi="Times New Roman" w:cs="Times New Roman"/>
                <w:color w:val="auto"/>
                <w:sz w:val="21"/>
                <w:szCs w:val="21"/>
              </w:rPr>
              <w:t>原子吸收分光光度法</w:t>
            </w:r>
          </w:p>
        </w:tc>
        <w:tc>
          <w:tcPr>
            <w:tcW w:w="2982"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GB/T17141-1997</w:t>
            </w:r>
          </w:p>
        </w:tc>
        <w:tc>
          <w:tcPr>
            <w:tcW w:w="1549"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0.01mg/kg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1"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汞</w:t>
            </w:r>
          </w:p>
        </w:tc>
        <w:tc>
          <w:tcPr>
            <w:tcW w:w="2972"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冷原子吸收法</w:t>
            </w:r>
          </w:p>
        </w:tc>
        <w:tc>
          <w:tcPr>
            <w:tcW w:w="2982"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GB/T17136-1997</w:t>
            </w:r>
          </w:p>
        </w:tc>
        <w:tc>
          <w:tcPr>
            <w:tcW w:w="1549"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0.005mg/kg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1"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砷</w:t>
            </w:r>
          </w:p>
        </w:tc>
        <w:tc>
          <w:tcPr>
            <w:tcW w:w="2972"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原子荧光法</w:t>
            </w:r>
          </w:p>
        </w:tc>
        <w:tc>
          <w:tcPr>
            <w:tcW w:w="2982"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GB/T 22105.2-2008</w:t>
            </w:r>
          </w:p>
        </w:tc>
        <w:tc>
          <w:tcPr>
            <w:tcW w:w="1549"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0.01mg/kg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1"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铜</w:t>
            </w:r>
          </w:p>
        </w:tc>
        <w:tc>
          <w:tcPr>
            <w:tcW w:w="2972" w:type="dxa"/>
            <w:tcMar>
              <w:top w:w="85" w:type="dxa"/>
              <w:bottom w:w="85" w:type="dxa"/>
            </w:tcMar>
            <w:vAlign w:val="center"/>
          </w:tcPr>
          <w:p>
            <w:pPr>
              <w:widowControl/>
              <w:spacing w:line="240" w:lineRule="auto"/>
              <w:ind w:firstLine="0" w:firstLineChars="0"/>
              <w:jc w:val="center"/>
              <w:textAlignment w:val="top"/>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火焰原子吸收分光光度法</w:t>
            </w:r>
          </w:p>
        </w:tc>
        <w:tc>
          <w:tcPr>
            <w:tcW w:w="2982"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GB/T17138-1997</w:t>
            </w:r>
          </w:p>
        </w:tc>
        <w:tc>
          <w:tcPr>
            <w:tcW w:w="1549"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1"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铅</w:t>
            </w:r>
          </w:p>
        </w:tc>
        <w:tc>
          <w:tcPr>
            <w:tcW w:w="2972"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石墨炉</w:t>
            </w:r>
            <w:r>
              <w:rPr>
                <w:rStyle w:val="44"/>
                <w:rFonts w:hint="default" w:ascii="Times New Roman" w:hAnsi="Times New Roman" w:cs="Times New Roman"/>
                <w:color w:val="auto"/>
                <w:sz w:val="21"/>
                <w:szCs w:val="21"/>
              </w:rPr>
              <w:t>原子吸收分光光度法</w:t>
            </w:r>
          </w:p>
        </w:tc>
        <w:tc>
          <w:tcPr>
            <w:tcW w:w="2982"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GB/T17141-1997</w:t>
            </w:r>
          </w:p>
        </w:tc>
        <w:tc>
          <w:tcPr>
            <w:tcW w:w="1549"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0.1mg/kg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1"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锌</w:t>
            </w:r>
          </w:p>
        </w:tc>
        <w:tc>
          <w:tcPr>
            <w:tcW w:w="2972" w:type="dxa"/>
            <w:tcMar>
              <w:top w:w="85" w:type="dxa"/>
              <w:bottom w:w="85" w:type="dxa"/>
            </w:tcMar>
            <w:vAlign w:val="center"/>
          </w:tcPr>
          <w:p>
            <w:pPr>
              <w:widowControl/>
              <w:spacing w:line="240" w:lineRule="auto"/>
              <w:ind w:firstLine="0" w:firstLineChars="0"/>
              <w:jc w:val="center"/>
              <w:textAlignment w:val="top"/>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火焰原子吸收分光光度法</w:t>
            </w:r>
          </w:p>
        </w:tc>
        <w:tc>
          <w:tcPr>
            <w:tcW w:w="2982"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GB/T17138-1997</w:t>
            </w:r>
          </w:p>
        </w:tc>
        <w:tc>
          <w:tcPr>
            <w:tcW w:w="1549"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0.5mg/kg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671" w:type="dxa"/>
            <w:tcMar>
              <w:top w:w="85" w:type="dxa"/>
              <w:bottom w:w="85" w:type="dxa"/>
            </w:tcMar>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镍</w:t>
            </w:r>
          </w:p>
        </w:tc>
        <w:tc>
          <w:tcPr>
            <w:tcW w:w="2972"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火焰原子吸收分光光度法</w:t>
            </w:r>
          </w:p>
        </w:tc>
        <w:tc>
          <w:tcPr>
            <w:tcW w:w="2982"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GB/T17139-1997</w:t>
            </w:r>
          </w:p>
        </w:tc>
        <w:tc>
          <w:tcPr>
            <w:tcW w:w="1549" w:type="dxa"/>
            <w:tcMar>
              <w:top w:w="85" w:type="dxa"/>
              <w:bottom w:w="85" w:type="dxa"/>
            </w:tcMar>
            <w:vAlign w:val="center"/>
          </w:tcPr>
          <w:p>
            <w:pPr>
              <w:widowControl/>
              <w:spacing w:line="240" w:lineRule="auto"/>
              <w:ind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5mg/kg</w:t>
            </w:r>
          </w:p>
        </w:tc>
      </w:tr>
    </w:tbl>
    <w:p>
      <w:pPr>
        <w:autoSpaceDE w:val="0"/>
        <w:autoSpaceDN w:val="0"/>
        <w:ind w:firstLine="480"/>
        <w:rPr>
          <w:rFonts w:hint="default" w:ascii="Times New Roman" w:hAnsi="Times New Roman" w:cs="Times New Roman"/>
          <w:color w:val="auto"/>
        </w:rPr>
      </w:pPr>
      <w:r>
        <w:rPr>
          <w:rFonts w:hint="default" w:ascii="Times New Roman" w:hAnsi="Times New Roman" w:cs="Times New Roman"/>
          <w:color w:val="auto"/>
        </w:rPr>
        <w:t>4.2.5.3  评价方法</w:t>
      </w:r>
    </w:p>
    <w:p>
      <w:pPr>
        <w:ind w:firstLine="480"/>
        <w:rPr>
          <w:rFonts w:hint="default" w:ascii="Times New Roman" w:hAnsi="Times New Roman" w:cs="Times New Roman"/>
          <w:color w:val="auto"/>
        </w:rPr>
      </w:pPr>
      <w:r>
        <w:rPr>
          <w:rFonts w:hint="default" w:ascii="Times New Roman" w:hAnsi="Times New Roman" w:cs="Times New Roman"/>
          <w:color w:val="auto"/>
        </w:rPr>
        <w:t>根据监测结果，采用单因子污染指数法，对照评价标准对地下水环境质量现状进行评价，计算公式如下：</w:t>
      </w:r>
    </w:p>
    <w:p>
      <w:pPr>
        <w:ind w:firstLine="480"/>
        <w:rPr>
          <w:rFonts w:hint="default" w:ascii="Times New Roman" w:hAnsi="Times New Roman" w:cs="Times New Roman"/>
          <w:color w:val="auto"/>
        </w:rPr>
      </w:pPr>
      <w:r>
        <w:rPr>
          <w:rFonts w:hint="default" w:ascii="Times New Roman" w:hAnsi="Times New Roman" w:cs="Times New Roman"/>
          <w:color w:val="auto"/>
        </w:rPr>
        <w:t>常规污染物（PH值除外）：</w:t>
      </w:r>
    </w:p>
    <w:p>
      <w:pPr>
        <w:ind w:firstLine="480"/>
        <w:jc w:val="center"/>
        <w:rPr>
          <w:rFonts w:hint="default" w:ascii="Times New Roman" w:hAnsi="Times New Roman" w:cs="Times New Roman"/>
          <w:color w:val="auto"/>
        </w:rPr>
      </w:pPr>
      <w:r>
        <w:rPr>
          <w:rFonts w:hint="default" w:ascii="Times New Roman" w:hAnsi="Times New Roman" w:cs="Times New Roman"/>
          <w:color w:val="auto"/>
        </w:rPr>
        <w:t>P</w:t>
      </w:r>
      <w:r>
        <w:rPr>
          <w:rFonts w:hint="default" w:ascii="Times New Roman" w:hAnsi="Times New Roman" w:cs="Times New Roman"/>
          <w:color w:val="auto"/>
          <w:vertAlign w:val="subscript"/>
        </w:rPr>
        <w:t>i</w:t>
      </w:r>
      <w:r>
        <w:rPr>
          <w:rFonts w:hint="default" w:ascii="Times New Roman" w:hAnsi="Times New Roman" w:cs="Times New Roman"/>
          <w:color w:val="auto"/>
        </w:rPr>
        <w:t>=C</w:t>
      </w:r>
      <w:r>
        <w:rPr>
          <w:rFonts w:hint="default" w:ascii="Times New Roman" w:hAnsi="Times New Roman" w:cs="Times New Roman"/>
          <w:color w:val="auto"/>
          <w:vertAlign w:val="subscript"/>
        </w:rPr>
        <w:t>i</w:t>
      </w:r>
      <w:r>
        <w:rPr>
          <w:rFonts w:hint="default" w:ascii="Times New Roman" w:hAnsi="Times New Roman" w:cs="Times New Roman"/>
          <w:color w:val="auto"/>
        </w:rPr>
        <w:t>/C</w:t>
      </w:r>
      <w:r>
        <w:rPr>
          <w:rFonts w:hint="default" w:ascii="Times New Roman" w:hAnsi="Times New Roman" w:cs="Times New Roman"/>
          <w:color w:val="auto"/>
          <w:vertAlign w:val="subscript"/>
        </w:rPr>
        <w:t>si</w:t>
      </w:r>
    </w:p>
    <w:p>
      <w:pPr>
        <w:ind w:firstLine="480"/>
        <w:rPr>
          <w:rFonts w:hint="default" w:ascii="Times New Roman" w:hAnsi="Times New Roman" w:cs="Times New Roman"/>
          <w:color w:val="auto"/>
        </w:rPr>
      </w:pPr>
      <w:r>
        <w:rPr>
          <w:rFonts w:hint="default" w:ascii="Times New Roman" w:hAnsi="Times New Roman" w:cs="Times New Roman"/>
          <w:color w:val="auto"/>
        </w:rPr>
        <w:t>式中，P</w:t>
      </w:r>
      <w:r>
        <w:rPr>
          <w:rFonts w:hint="default" w:ascii="Times New Roman" w:hAnsi="Times New Roman" w:cs="Times New Roman"/>
          <w:color w:val="auto"/>
          <w:vertAlign w:val="subscript"/>
        </w:rPr>
        <w:t>i</w:t>
      </w:r>
      <w:r>
        <w:rPr>
          <w:rFonts w:hint="default" w:ascii="Times New Roman" w:hAnsi="Times New Roman" w:cs="Times New Roman"/>
          <w:color w:val="auto"/>
        </w:rPr>
        <w:t>——第i种污染物的单项水质指数，无量纲</w:t>
      </w:r>
    </w:p>
    <w:p>
      <w:pPr>
        <w:ind w:firstLine="480"/>
        <w:rPr>
          <w:rFonts w:hint="default" w:ascii="Times New Roman" w:hAnsi="Times New Roman" w:cs="Times New Roman"/>
          <w:color w:val="auto"/>
        </w:rPr>
      </w:pPr>
      <w:r>
        <w:rPr>
          <w:rFonts w:hint="default" w:ascii="Times New Roman" w:hAnsi="Times New Roman" w:cs="Times New Roman"/>
          <w:color w:val="auto"/>
        </w:rPr>
        <w:t xml:space="preserve">      C</w:t>
      </w:r>
      <w:r>
        <w:rPr>
          <w:rFonts w:hint="default" w:ascii="Times New Roman" w:hAnsi="Times New Roman" w:cs="Times New Roman"/>
          <w:color w:val="auto"/>
          <w:vertAlign w:val="subscript"/>
        </w:rPr>
        <w:t>i</w:t>
      </w:r>
      <w:r>
        <w:rPr>
          <w:rFonts w:hint="default" w:ascii="Times New Roman" w:hAnsi="Times New Roman" w:cs="Times New Roman"/>
          <w:color w:val="auto"/>
        </w:rPr>
        <w:t>——第i种水质因子的监测浓度值，单位：mg/L</w:t>
      </w:r>
    </w:p>
    <w:p>
      <w:pPr>
        <w:ind w:firstLine="480"/>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 xml:space="preserve">   C</w:t>
      </w:r>
      <w:r>
        <w:rPr>
          <w:rFonts w:hint="default" w:ascii="Times New Roman" w:hAnsi="Times New Roman" w:cs="Times New Roman"/>
          <w:color w:val="auto"/>
          <w:vertAlign w:val="subscript"/>
        </w:rPr>
        <w:t>si</w:t>
      </w:r>
      <w:r>
        <w:rPr>
          <w:rFonts w:hint="default" w:ascii="Times New Roman" w:hAnsi="Times New Roman" w:cs="Times New Roman"/>
          <w:color w:val="auto"/>
        </w:rPr>
        <w:t>——第i种水质因子的标准浓度值，单位：mg/L</w:t>
      </w:r>
    </w:p>
    <w:p>
      <w:pPr>
        <w:ind w:firstLine="480"/>
        <w:rPr>
          <w:rFonts w:hint="default" w:ascii="Times New Roman" w:hAnsi="Times New Roman" w:cs="Times New Roman"/>
          <w:color w:val="auto"/>
        </w:rPr>
      </w:pPr>
      <w:r>
        <w:rPr>
          <w:rFonts w:hint="default" w:ascii="Times New Roman" w:hAnsi="Times New Roman" w:cs="Times New Roman"/>
          <w:color w:val="auto"/>
        </w:rPr>
        <w:t>pH的标准指数：</w:t>
      </w:r>
    </w:p>
    <w:p>
      <w:pPr>
        <w:ind w:firstLine="480"/>
        <w:jc w:val="center"/>
        <w:rPr>
          <w:rFonts w:hint="default" w:ascii="Times New Roman" w:hAnsi="Times New Roman" w:cs="Times New Roman"/>
          <w:color w:val="auto"/>
        </w:rPr>
      </w:pPr>
      <m:oMathPara>
        <m:oMath>
          <m:sSub>
            <m:sSubPr>
              <m:ctrlPr>
                <w:rPr>
                  <w:rFonts w:hint="default" w:ascii="Cambria Math" w:hAnsi="Cambria Math" w:cs="Times New Roman"/>
                  <w:color w:val="auto"/>
                  <w:szCs w:val="28"/>
                </w:rPr>
              </m:ctrlPr>
            </m:sSubPr>
            <m:e>
              <m:r>
                <m:rPr>
                  <m:sty m:val="p"/>
                </m:rPr>
                <w:rPr>
                  <w:rFonts w:hint="default" w:ascii="Cambria Math" w:hAnsi="Cambria Math" w:cs="Times New Roman"/>
                  <w:color w:val="auto"/>
                  <w:szCs w:val="28"/>
                </w:rPr>
                <m:t>P</m:t>
              </m:r>
              <m:ctrlPr>
                <w:rPr>
                  <w:rFonts w:hint="default" w:ascii="Cambria Math" w:hAnsi="Cambria Math" w:cs="Times New Roman"/>
                  <w:color w:val="auto"/>
                  <w:szCs w:val="28"/>
                </w:rPr>
              </m:ctrlPr>
            </m:e>
            <m:sub>
              <m:r>
                <m:rPr>
                  <m:sty m:val="p"/>
                </m:rPr>
                <w:rPr>
                  <w:rFonts w:hint="default" w:ascii="Cambria Math" w:hAnsi="Cambria Math" w:cs="Times New Roman"/>
                  <w:color w:val="auto"/>
                  <w:szCs w:val="28"/>
                </w:rPr>
                <m:t>pH</m:t>
              </m:r>
              <m:ctrlPr>
                <w:rPr>
                  <w:rFonts w:hint="default" w:ascii="Cambria Math" w:hAnsi="Cambria Math" w:cs="Times New Roman"/>
                  <w:color w:val="auto"/>
                  <w:szCs w:val="28"/>
                </w:rPr>
              </m:ctrlPr>
            </m:sub>
          </m:sSub>
          <m:r>
            <m:rPr>
              <m:sty m:val="p"/>
            </m:rPr>
            <w:rPr>
              <w:rFonts w:hint="default" w:ascii="Cambria Math" w:hAnsi="Cambria Math" w:cs="Times New Roman"/>
              <w:color w:val="auto"/>
              <w:szCs w:val="28"/>
            </w:rPr>
            <m:t>=</m:t>
          </m:r>
          <m:f>
            <m:fPr>
              <m:ctrlPr>
                <w:rPr>
                  <w:rFonts w:hint="default" w:ascii="Cambria Math" w:hAnsi="Cambria Math" w:cs="Times New Roman"/>
                  <w:color w:val="auto"/>
                  <w:szCs w:val="28"/>
                </w:rPr>
              </m:ctrlPr>
            </m:fPr>
            <m:num>
              <m:r>
                <m:rPr>
                  <m:sty m:val="p"/>
                </m:rPr>
                <w:rPr>
                  <w:rFonts w:hint="default" w:ascii="Cambria Math" w:hAnsi="Cambria Math" w:cs="Times New Roman"/>
                  <w:color w:val="auto"/>
                  <w:szCs w:val="28"/>
                </w:rPr>
                <m:t>pH-7.0</m:t>
              </m:r>
              <m:ctrlPr>
                <w:rPr>
                  <w:rFonts w:hint="default" w:ascii="Cambria Math" w:hAnsi="Cambria Math" w:cs="Times New Roman"/>
                  <w:color w:val="auto"/>
                  <w:szCs w:val="28"/>
                </w:rPr>
              </m:ctrlPr>
            </m:num>
            <m:den>
              <m:sSub>
                <m:sSubPr>
                  <m:ctrlPr>
                    <w:rPr>
                      <w:rFonts w:hint="default" w:ascii="Cambria Math" w:hAnsi="Cambria Math" w:cs="Times New Roman"/>
                      <w:color w:val="auto"/>
                      <w:szCs w:val="28"/>
                    </w:rPr>
                  </m:ctrlPr>
                </m:sSubPr>
                <m:e>
                  <m:r>
                    <m:rPr>
                      <m:sty m:val="p"/>
                    </m:rPr>
                    <w:rPr>
                      <w:rFonts w:hint="default" w:ascii="Cambria Math" w:hAnsi="Cambria Math" w:cs="Times New Roman"/>
                      <w:color w:val="auto"/>
                      <w:szCs w:val="28"/>
                    </w:rPr>
                    <m:t>pH</m:t>
                  </m:r>
                  <m:ctrlPr>
                    <w:rPr>
                      <w:rFonts w:hint="default" w:ascii="Cambria Math" w:hAnsi="Cambria Math" w:cs="Times New Roman"/>
                      <w:color w:val="auto"/>
                      <w:szCs w:val="28"/>
                    </w:rPr>
                  </m:ctrlPr>
                </m:e>
                <m:sub>
                  <m:r>
                    <m:rPr>
                      <m:sty m:val="p"/>
                    </m:rPr>
                    <w:rPr>
                      <w:rFonts w:hint="default" w:ascii="Cambria Math" w:hAnsi="Cambria Math" w:cs="Times New Roman"/>
                      <w:color w:val="auto"/>
                      <w:szCs w:val="28"/>
                    </w:rPr>
                    <m:t>su</m:t>
                  </m:r>
                  <m:ctrlPr>
                    <w:rPr>
                      <w:rFonts w:hint="default" w:ascii="Cambria Math" w:hAnsi="Cambria Math" w:cs="Times New Roman"/>
                      <w:color w:val="auto"/>
                      <w:szCs w:val="28"/>
                    </w:rPr>
                  </m:ctrlPr>
                </m:sub>
              </m:sSub>
              <m:r>
                <m:rPr>
                  <m:sty m:val="p"/>
                </m:rPr>
                <w:rPr>
                  <w:rFonts w:hint="default" w:ascii="Cambria Math" w:hAnsi="Cambria Math" w:cs="Times New Roman"/>
                  <w:color w:val="auto"/>
                  <w:szCs w:val="28"/>
                </w:rPr>
                <m:t>-7.0</m:t>
              </m:r>
              <m:ctrlPr>
                <w:rPr>
                  <w:rFonts w:hint="default" w:ascii="Cambria Math" w:hAnsi="Cambria Math" w:cs="Times New Roman"/>
                  <w:color w:val="auto"/>
                  <w:szCs w:val="28"/>
                </w:rPr>
              </m:ctrlPr>
            </m:den>
          </m:f>
          <m:r>
            <m:rPr>
              <m:sty m:val="p"/>
            </m:rPr>
            <w:rPr>
              <w:rFonts w:hint="default" w:ascii="Cambria Math" w:hAnsi="Cambria Math" w:cs="Times New Roman"/>
              <w:color w:val="auto"/>
              <w:szCs w:val="28"/>
            </w:rPr>
            <m:t xml:space="preserve">                   pH</m:t>
          </m:r>
          <m:r>
            <w:rPr>
              <w:rFonts w:hint="default" w:ascii="Cambria Math" w:hAnsi="Cambria Math" w:cs="Times New Roman"/>
              <w:color w:val="auto"/>
              <w:szCs w:val="28"/>
            </w:rPr>
            <m:t>&gt;7</m:t>
          </m:r>
        </m:oMath>
      </m:oMathPara>
    </w:p>
    <w:p>
      <w:pPr>
        <w:ind w:firstLine="480"/>
        <w:jc w:val="center"/>
        <w:rPr>
          <w:rFonts w:hint="default" w:ascii="Times New Roman" w:hAnsi="Times New Roman" w:cs="Times New Roman"/>
          <w:color w:val="auto"/>
        </w:rPr>
      </w:pPr>
      <m:oMathPara>
        <m:oMath>
          <m:sSub>
            <m:sSubPr>
              <m:ctrlPr>
                <w:rPr>
                  <w:rFonts w:hint="default" w:ascii="Cambria Math" w:hAnsi="Cambria Math" w:cs="Times New Roman"/>
                  <w:color w:val="auto"/>
                  <w:szCs w:val="28"/>
                </w:rPr>
              </m:ctrlPr>
            </m:sSubPr>
            <m:e>
              <m:r>
                <m:rPr>
                  <m:sty m:val="p"/>
                </m:rPr>
                <w:rPr>
                  <w:rFonts w:hint="default" w:ascii="Cambria Math" w:hAnsi="Cambria Math" w:cs="Times New Roman"/>
                  <w:color w:val="auto"/>
                  <w:szCs w:val="28"/>
                </w:rPr>
                <m:t>P</m:t>
              </m:r>
              <m:ctrlPr>
                <w:rPr>
                  <w:rFonts w:hint="default" w:ascii="Cambria Math" w:hAnsi="Cambria Math" w:cs="Times New Roman"/>
                  <w:color w:val="auto"/>
                  <w:szCs w:val="28"/>
                </w:rPr>
              </m:ctrlPr>
            </m:e>
            <m:sub>
              <m:r>
                <m:rPr>
                  <m:sty m:val="p"/>
                </m:rPr>
                <w:rPr>
                  <w:rFonts w:hint="default" w:ascii="Cambria Math" w:hAnsi="Cambria Math" w:cs="Times New Roman"/>
                  <w:color w:val="auto"/>
                  <w:szCs w:val="28"/>
                </w:rPr>
                <m:t>pH</m:t>
              </m:r>
              <m:ctrlPr>
                <w:rPr>
                  <w:rFonts w:hint="default" w:ascii="Cambria Math" w:hAnsi="Cambria Math" w:cs="Times New Roman"/>
                  <w:color w:val="auto"/>
                  <w:szCs w:val="28"/>
                </w:rPr>
              </m:ctrlPr>
            </m:sub>
          </m:sSub>
          <m:r>
            <m:rPr>
              <m:sty m:val="p"/>
            </m:rPr>
            <w:rPr>
              <w:rFonts w:hint="default" w:ascii="Cambria Math" w:hAnsi="Cambria Math" w:cs="Times New Roman"/>
              <w:color w:val="auto"/>
              <w:szCs w:val="28"/>
            </w:rPr>
            <m:t>=</m:t>
          </m:r>
          <m:f>
            <m:fPr>
              <m:ctrlPr>
                <w:rPr>
                  <w:rFonts w:hint="default" w:ascii="Cambria Math" w:hAnsi="Cambria Math" w:cs="Times New Roman"/>
                  <w:color w:val="auto"/>
                  <w:szCs w:val="28"/>
                </w:rPr>
              </m:ctrlPr>
            </m:fPr>
            <m:num>
              <m:r>
                <m:rPr>
                  <m:sty m:val="p"/>
                </m:rPr>
                <w:rPr>
                  <w:rFonts w:hint="default" w:ascii="Cambria Math" w:hAnsi="Cambria Math" w:cs="Times New Roman"/>
                  <w:color w:val="auto"/>
                  <w:szCs w:val="28"/>
                </w:rPr>
                <m:t>7.0-pH</m:t>
              </m:r>
              <m:ctrlPr>
                <w:rPr>
                  <w:rFonts w:hint="default" w:ascii="Cambria Math" w:hAnsi="Cambria Math" w:cs="Times New Roman"/>
                  <w:color w:val="auto"/>
                  <w:szCs w:val="28"/>
                </w:rPr>
              </m:ctrlPr>
            </m:num>
            <m:den>
              <m:r>
                <m:rPr>
                  <m:sty m:val="p"/>
                </m:rPr>
                <w:rPr>
                  <w:rFonts w:hint="default" w:ascii="Cambria Math" w:hAnsi="Cambria Math" w:cs="Times New Roman"/>
                  <w:color w:val="auto"/>
                  <w:szCs w:val="28"/>
                </w:rPr>
                <m:t>7.0-</m:t>
              </m:r>
              <m:sSub>
                <m:sSubPr>
                  <m:ctrlPr>
                    <w:rPr>
                      <w:rFonts w:hint="default" w:ascii="Cambria Math" w:hAnsi="Cambria Math" w:cs="Times New Roman"/>
                      <w:color w:val="auto"/>
                      <w:szCs w:val="28"/>
                    </w:rPr>
                  </m:ctrlPr>
                </m:sSubPr>
                <m:e>
                  <m:r>
                    <m:rPr>
                      <m:sty m:val="p"/>
                    </m:rPr>
                    <w:rPr>
                      <w:rFonts w:hint="default" w:ascii="Cambria Math" w:hAnsi="Cambria Math" w:cs="Times New Roman"/>
                      <w:color w:val="auto"/>
                      <w:szCs w:val="28"/>
                    </w:rPr>
                    <m:t>pH</m:t>
                  </m:r>
                  <m:ctrlPr>
                    <w:rPr>
                      <w:rFonts w:hint="default" w:ascii="Cambria Math" w:hAnsi="Cambria Math" w:cs="Times New Roman"/>
                      <w:color w:val="auto"/>
                      <w:szCs w:val="28"/>
                    </w:rPr>
                  </m:ctrlPr>
                </m:e>
                <m:sub>
                  <m:r>
                    <m:rPr>
                      <m:sty m:val="p"/>
                    </m:rPr>
                    <w:rPr>
                      <w:rFonts w:hint="default" w:ascii="Cambria Math" w:hAnsi="Cambria Math" w:cs="Times New Roman"/>
                      <w:color w:val="auto"/>
                      <w:szCs w:val="28"/>
                    </w:rPr>
                    <m:t>sd</m:t>
                  </m:r>
                  <m:ctrlPr>
                    <w:rPr>
                      <w:rFonts w:hint="default" w:ascii="Cambria Math" w:hAnsi="Cambria Math" w:cs="Times New Roman"/>
                      <w:color w:val="auto"/>
                      <w:szCs w:val="28"/>
                    </w:rPr>
                  </m:ctrlPr>
                </m:sub>
              </m:sSub>
              <m:ctrlPr>
                <w:rPr>
                  <w:rFonts w:hint="default" w:ascii="Cambria Math" w:hAnsi="Cambria Math" w:cs="Times New Roman"/>
                  <w:color w:val="auto"/>
                  <w:szCs w:val="28"/>
                </w:rPr>
              </m:ctrlPr>
            </m:den>
          </m:f>
          <m:r>
            <m:rPr>
              <m:sty m:val="p"/>
            </m:rPr>
            <w:rPr>
              <w:rFonts w:hint="default" w:ascii="Cambria Math" w:hAnsi="Cambria Math" w:cs="Times New Roman"/>
              <w:color w:val="auto"/>
              <w:szCs w:val="28"/>
            </w:rPr>
            <m:t xml:space="preserve">                   pH≤7</m:t>
          </m:r>
        </m:oMath>
      </m:oMathPara>
    </w:p>
    <w:p>
      <w:pPr>
        <w:ind w:firstLine="480"/>
        <w:rPr>
          <w:rFonts w:hint="default" w:ascii="Times New Roman" w:hAnsi="Times New Roman" w:cs="Times New Roman"/>
          <w:color w:val="auto"/>
        </w:rPr>
      </w:pPr>
      <w:r>
        <w:rPr>
          <w:rFonts w:hint="default" w:ascii="Times New Roman" w:hAnsi="Times New Roman" w:cs="Times New Roman"/>
          <w:color w:val="auto"/>
        </w:rPr>
        <w:t>式中，P</w:t>
      </w:r>
      <w:r>
        <w:rPr>
          <w:rFonts w:hint="default" w:ascii="Times New Roman" w:hAnsi="Times New Roman" w:cs="Times New Roman"/>
          <w:color w:val="auto"/>
          <w:vertAlign w:val="subscript"/>
        </w:rPr>
        <w:t>pH</w:t>
      </w:r>
      <w:r>
        <w:rPr>
          <w:rFonts w:hint="default" w:ascii="Times New Roman" w:hAnsi="Times New Roman" w:cs="Times New Roman"/>
          <w:color w:val="auto"/>
        </w:rPr>
        <w:t>——pH的标准指数，无量纲</w:t>
      </w:r>
    </w:p>
    <w:p>
      <w:pPr>
        <w:ind w:firstLine="480"/>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pH——pH实测值</w:t>
      </w:r>
    </w:p>
    <w:p>
      <w:pPr>
        <w:ind w:firstLine="480"/>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pH</w:t>
      </w:r>
      <w:r>
        <w:rPr>
          <w:rFonts w:hint="default" w:ascii="Times New Roman" w:hAnsi="Times New Roman" w:cs="Times New Roman"/>
          <w:color w:val="auto"/>
          <w:vertAlign w:val="subscript"/>
        </w:rPr>
        <w:t>su</w:t>
      </w:r>
      <w:r>
        <w:rPr>
          <w:rFonts w:hint="default" w:ascii="Times New Roman" w:hAnsi="Times New Roman" w:cs="Times New Roman"/>
          <w:color w:val="auto"/>
        </w:rPr>
        <w:t>——标准中规定的pH值上限</w:t>
      </w:r>
    </w:p>
    <w:p>
      <w:pPr>
        <w:ind w:firstLine="480"/>
        <w:rPr>
          <w:rFonts w:hint="default" w:ascii="Times New Roman" w:hAnsi="Times New Roman" w:cs="Times New Roman"/>
          <w:color w:val="auto"/>
        </w:rPr>
      </w:pP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pH</w:t>
      </w:r>
      <w:r>
        <w:rPr>
          <w:rFonts w:hint="default" w:ascii="Times New Roman" w:hAnsi="Times New Roman" w:cs="Times New Roman"/>
          <w:color w:val="auto"/>
          <w:vertAlign w:val="subscript"/>
        </w:rPr>
        <w:t>sd</w:t>
      </w:r>
      <w:r>
        <w:rPr>
          <w:rFonts w:hint="default" w:ascii="Times New Roman" w:hAnsi="Times New Roman" w:cs="Times New Roman"/>
          <w:color w:val="auto"/>
        </w:rPr>
        <w:t>¬——标准中规定的pH值下限</w:t>
      </w:r>
    </w:p>
    <w:p>
      <w:pPr>
        <w:ind w:firstLine="480"/>
        <w:rPr>
          <w:rFonts w:hint="default" w:ascii="Times New Roman" w:hAnsi="Times New Roman" w:cs="Times New Roman"/>
          <w:color w:val="auto"/>
        </w:rPr>
      </w:pPr>
      <w:r>
        <w:rPr>
          <w:rFonts w:hint="default" w:ascii="Times New Roman" w:hAnsi="Times New Roman" w:cs="Times New Roman"/>
          <w:color w:val="auto"/>
        </w:rPr>
        <w:t>土壤评价因子的标准指数大于1，表明该评价因子的水质超过了规定的水质标准，已经不能满足使用功能要求。</w:t>
      </w:r>
    </w:p>
    <w:p>
      <w:pPr>
        <w:autoSpaceDE w:val="0"/>
        <w:autoSpaceDN w:val="0"/>
        <w:ind w:firstLine="480"/>
        <w:rPr>
          <w:rFonts w:hint="default" w:ascii="Times New Roman" w:hAnsi="Times New Roman" w:cs="Times New Roman"/>
          <w:color w:val="auto"/>
        </w:rPr>
      </w:pPr>
      <w:r>
        <w:rPr>
          <w:rFonts w:hint="default" w:ascii="Times New Roman" w:hAnsi="Times New Roman" w:cs="Times New Roman"/>
          <w:color w:val="auto"/>
        </w:rPr>
        <w:t>4.2.5.4  评价标准</w:t>
      </w:r>
    </w:p>
    <w:p>
      <w:pPr>
        <w:adjustRightInd/>
        <w:snapToGrid/>
        <w:ind w:firstLine="480"/>
        <w:rPr>
          <w:rFonts w:hint="default" w:ascii="Times New Roman" w:hAnsi="Times New Roman" w:cs="Times New Roman"/>
          <w:color w:val="auto"/>
          <w:szCs w:val="28"/>
        </w:rPr>
      </w:pPr>
      <w:r>
        <w:rPr>
          <w:rFonts w:hint="default" w:ascii="Times New Roman" w:hAnsi="Times New Roman" w:cs="Times New Roman"/>
          <w:color w:val="auto"/>
          <w:szCs w:val="28"/>
        </w:rPr>
        <w:t>土壤现状中各监测因子执行</w:t>
      </w:r>
      <w:r>
        <w:rPr>
          <w:rFonts w:hint="default" w:ascii="Times New Roman" w:hAnsi="Times New Roman" w:cs="Times New Roman"/>
          <w:color w:val="auto"/>
          <w:kern w:val="0"/>
        </w:rPr>
        <w:t>《土壤环境质量--农用地土壤污染风险管控标准（试行）》（GB15618-2018）</w:t>
      </w:r>
      <w:r>
        <w:rPr>
          <w:rFonts w:hint="default" w:ascii="Times New Roman" w:hAnsi="Times New Roman" w:cs="Times New Roman"/>
          <w:color w:val="auto"/>
          <w:szCs w:val="28"/>
        </w:rPr>
        <w:t>。见表4.2-19。</w:t>
      </w:r>
    </w:p>
    <w:p>
      <w:pPr>
        <w:ind w:firstLine="442"/>
        <w:jc w:val="center"/>
        <w:rPr>
          <w:rFonts w:hint="default" w:ascii="Times New Roman" w:hAnsi="Times New Roman" w:cs="Times New Roman"/>
          <w:b/>
          <w:bCs/>
          <w:color w:val="auto"/>
          <w:sz w:val="22"/>
          <w:szCs w:val="22"/>
        </w:rPr>
      </w:pPr>
      <w:r>
        <w:rPr>
          <w:rFonts w:hint="default" w:ascii="Times New Roman" w:hAnsi="Times New Roman" w:cs="Times New Roman"/>
          <w:b/>
          <w:bCs/>
          <w:color w:val="auto"/>
          <w:sz w:val="22"/>
          <w:szCs w:val="22"/>
        </w:rPr>
        <w:t>表4.2-19    农用地土壤污染风险筛选值    单位：mg/kg(pH 除外)</w:t>
      </w:r>
    </w:p>
    <w:tbl>
      <w:tblPr>
        <w:tblStyle w:val="25"/>
        <w:tblW w:w="9000"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05"/>
        <w:gridCol w:w="1127"/>
        <w:gridCol w:w="1077"/>
        <w:gridCol w:w="1105"/>
        <w:gridCol w:w="1091"/>
        <w:gridCol w:w="1077"/>
        <w:gridCol w:w="982"/>
        <w:gridCol w:w="859"/>
        <w:gridCol w:w="777"/>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905"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b/>
                <w:bCs/>
                <w:color w:val="auto"/>
                <w:kern w:val="0"/>
                <w:sz w:val="21"/>
                <w:szCs w:val="21"/>
              </w:rPr>
              <w:t>pH</w:t>
            </w:r>
            <w:r>
              <w:rPr>
                <w:rFonts w:hint="default" w:ascii="Times New Roman" w:hAnsi="Times New Roman" w:cs="Times New Roman"/>
                <w:color w:val="auto"/>
                <w:kern w:val="0"/>
                <w:sz w:val="21"/>
                <w:szCs w:val="21"/>
              </w:rPr>
              <w:t xml:space="preserve"> 值</w:t>
            </w:r>
          </w:p>
        </w:tc>
        <w:tc>
          <w:tcPr>
            <w:tcW w:w="1127"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镉（其他）</w:t>
            </w:r>
          </w:p>
        </w:tc>
        <w:tc>
          <w:tcPr>
            <w:tcW w:w="1077"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汞（其他）</w:t>
            </w:r>
          </w:p>
        </w:tc>
        <w:tc>
          <w:tcPr>
            <w:tcW w:w="1105"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color w:val="auto"/>
                <w:kern w:val="0"/>
                <w:sz w:val="21"/>
                <w:szCs w:val="21"/>
              </w:rPr>
              <w:t>砷（其他）</w:t>
            </w:r>
          </w:p>
        </w:tc>
        <w:tc>
          <w:tcPr>
            <w:tcW w:w="1091"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color w:val="auto"/>
                <w:kern w:val="0"/>
                <w:sz w:val="21"/>
                <w:szCs w:val="21"/>
              </w:rPr>
              <w:t>铜（其他）</w:t>
            </w:r>
          </w:p>
        </w:tc>
        <w:tc>
          <w:tcPr>
            <w:tcW w:w="1077"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铅（其他）</w:t>
            </w:r>
          </w:p>
        </w:tc>
        <w:tc>
          <w:tcPr>
            <w:tcW w:w="982"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color w:val="auto"/>
                <w:kern w:val="0"/>
                <w:sz w:val="21"/>
                <w:szCs w:val="21"/>
              </w:rPr>
              <w:t>铬（其他）</w:t>
            </w:r>
          </w:p>
        </w:tc>
        <w:tc>
          <w:tcPr>
            <w:tcW w:w="859"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锌</w:t>
            </w:r>
          </w:p>
        </w:tc>
        <w:tc>
          <w:tcPr>
            <w:tcW w:w="777"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镍</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905"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≤5.5</w:t>
            </w:r>
          </w:p>
        </w:tc>
        <w:tc>
          <w:tcPr>
            <w:tcW w:w="1127"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0.3</w:t>
            </w:r>
          </w:p>
        </w:tc>
        <w:tc>
          <w:tcPr>
            <w:tcW w:w="1077"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1.3</w:t>
            </w:r>
          </w:p>
        </w:tc>
        <w:tc>
          <w:tcPr>
            <w:tcW w:w="1105"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40</w:t>
            </w:r>
          </w:p>
        </w:tc>
        <w:tc>
          <w:tcPr>
            <w:tcW w:w="1091"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50</w:t>
            </w:r>
          </w:p>
        </w:tc>
        <w:tc>
          <w:tcPr>
            <w:tcW w:w="1077"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70</w:t>
            </w:r>
          </w:p>
        </w:tc>
        <w:tc>
          <w:tcPr>
            <w:tcW w:w="982"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150</w:t>
            </w:r>
          </w:p>
        </w:tc>
        <w:tc>
          <w:tcPr>
            <w:tcW w:w="859"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777"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905"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5.5~6.5</w:t>
            </w:r>
          </w:p>
        </w:tc>
        <w:tc>
          <w:tcPr>
            <w:tcW w:w="1127"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0.3</w:t>
            </w:r>
          </w:p>
        </w:tc>
        <w:tc>
          <w:tcPr>
            <w:tcW w:w="1077"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1.8</w:t>
            </w:r>
          </w:p>
        </w:tc>
        <w:tc>
          <w:tcPr>
            <w:tcW w:w="1105"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40</w:t>
            </w:r>
          </w:p>
        </w:tc>
        <w:tc>
          <w:tcPr>
            <w:tcW w:w="1091"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50</w:t>
            </w:r>
          </w:p>
        </w:tc>
        <w:tc>
          <w:tcPr>
            <w:tcW w:w="1077"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90</w:t>
            </w:r>
          </w:p>
        </w:tc>
        <w:tc>
          <w:tcPr>
            <w:tcW w:w="982"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150</w:t>
            </w:r>
          </w:p>
        </w:tc>
        <w:tc>
          <w:tcPr>
            <w:tcW w:w="859"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777"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905"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6.5~7.5</w:t>
            </w:r>
          </w:p>
        </w:tc>
        <w:tc>
          <w:tcPr>
            <w:tcW w:w="1127"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0.3</w:t>
            </w:r>
          </w:p>
        </w:tc>
        <w:tc>
          <w:tcPr>
            <w:tcW w:w="1077"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2.4</w:t>
            </w:r>
          </w:p>
        </w:tc>
        <w:tc>
          <w:tcPr>
            <w:tcW w:w="1105"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30</w:t>
            </w:r>
          </w:p>
        </w:tc>
        <w:tc>
          <w:tcPr>
            <w:tcW w:w="1091"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100</w:t>
            </w:r>
          </w:p>
        </w:tc>
        <w:tc>
          <w:tcPr>
            <w:tcW w:w="1077"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120</w:t>
            </w:r>
          </w:p>
        </w:tc>
        <w:tc>
          <w:tcPr>
            <w:tcW w:w="982"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859"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250</w:t>
            </w:r>
          </w:p>
        </w:tc>
        <w:tc>
          <w:tcPr>
            <w:tcW w:w="777"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905"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&gt;7.5</w:t>
            </w:r>
          </w:p>
        </w:tc>
        <w:tc>
          <w:tcPr>
            <w:tcW w:w="1127"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0.6</w:t>
            </w:r>
          </w:p>
        </w:tc>
        <w:tc>
          <w:tcPr>
            <w:tcW w:w="1077"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3.4</w:t>
            </w:r>
          </w:p>
        </w:tc>
        <w:tc>
          <w:tcPr>
            <w:tcW w:w="1105"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25</w:t>
            </w:r>
          </w:p>
        </w:tc>
        <w:tc>
          <w:tcPr>
            <w:tcW w:w="1091"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100</w:t>
            </w:r>
          </w:p>
        </w:tc>
        <w:tc>
          <w:tcPr>
            <w:tcW w:w="1077"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170</w:t>
            </w:r>
          </w:p>
        </w:tc>
        <w:tc>
          <w:tcPr>
            <w:tcW w:w="982"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250</w:t>
            </w:r>
          </w:p>
        </w:tc>
        <w:tc>
          <w:tcPr>
            <w:tcW w:w="859"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300</w:t>
            </w:r>
          </w:p>
        </w:tc>
        <w:tc>
          <w:tcPr>
            <w:tcW w:w="777"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190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905"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依据</w:t>
            </w:r>
          </w:p>
        </w:tc>
        <w:tc>
          <w:tcPr>
            <w:tcW w:w="8095" w:type="dxa"/>
            <w:gridSpan w:val="8"/>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《土壤环境质量--农用地土壤污染风险管控标准（试行）》（GB15618-2018）</w:t>
            </w:r>
          </w:p>
        </w:tc>
      </w:tr>
    </w:tbl>
    <w:p>
      <w:pPr>
        <w:autoSpaceDE w:val="0"/>
        <w:autoSpaceDN w:val="0"/>
        <w:ind w:firstLine="480"/>
        <w:rPr>
          <w:rFonts w:hint="default" w:ascii="Times New Roman" w:hAnsi="Times New Roman" w:cs="Times New Roman"/>
          <w:color w:val="auto"/>
        </w:rPr>
      </w:pPr>
      <w:r>
        <w:rPr>
          <w:rFonts w:hint="default" w:ascii="Times New Roman" w:hAnsi="Times New Roman" w:cs="Times New Roman"/>
          <w:color w:val="auto"/>
        </w:rPr>
        <w:t>4.2.5.5  监测结果统计及评价</w:t>
      </w:r>
    </w:p>
    <w:p>
      <w:pPr>
        <w:pStyle w:val="42"/>
        <w:numPr>
          <w:ilvl w:val="0"/>
          <w:numId w:val="0"/>
        </w:numPr>
        <w:ind w:left="420" w:hanging="420" w:hangingChars="175"/>
        <w:jc w:val="left"/>
        <w:rPr>
          <w:rFonts w:hint="default" w:ascii="Times New Roman" w:hAnsi="Times New Roman" w:cs="Times New Roman"/>
          <w:b/>
          <w:bCs/>
          <w:color w:val="auto"/>
          <w:u w:val="single"/>
        </w:rPr>
      </w:pPr>
      <w:r>
        <w:rPr>
          <w:rFonts w:hint="default" w:ascii="Times New Roman" w:hAnsi="Times New Roman" w:cs="Times New Roman"/>
          <w:b w:val="0"/>
          <w:color w:val="auto"/>
        </w:rPr>
        <w:t xml:space="preserve">    </w:t>
      </w:r>
      <w:r>
        <w:rPr>
          <w:rFonts w:hint="default" w:ascii="Times New Roman" w:hAnsi="Times New Roman" w:cs="Times New Roman"/>
          <w:b/>
          <w:bCs/>
          <w:color w:val="auto"/>
          <w:u w:val="single"/>
        </w:rPr>
        <w:t>本次地下水环境质量现状监测数据统计分析结果见表4.2-20。</w:t>
      </w:r>
    </w:p>
    <w:p>
      <w:pPr>
        <w:pStyle w:val="42"/>
        <w:numPr>
          <w:ilvl w:val="0"/>
          <w:numId w:val="0"/>
        </w:numPr>
        <w:ind w:left="422" w:hanging="422" w:hangingChars="175"/>
        <w:rPr>
          <w:rFonts w:hint="default" w:ascii="Times New Roman" w:hAnsi="Times New Roman" w:cs="Times New Roman"/>
          <w:b/>
          <w:bCs/>
          <w:color w:val="auto"/>
          <w:u w:val="single"/>
        </w:rPr>
      </w:pPr>
      <w:r>
        <w:rPr>
          <w:rFonts w:hint="default" w:ascii="Times New Roman" w:hAnsi="Times New Roman" w:cs="Times New Roman"/>
          <w:b/>
          <w:bCs/>
          <w:color w:val="auto"/>
          <w:u w:val="single"/>
        </w:rPr>
        <w:t>表4.2-20                        土壤环境质量现状监测结果统计一览表</w:t>
      </w:r>
    </w:p>
    <w:tbl>
      <w:tblPr>
        <w:tblStyle w:val="25"/>
        <w:tblW w:w="8725"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277"/>
        <w:gridCol w:w="1555"/>
        <w:gridCol w:w="748"/>
        <w:gridCol w:w="704"/>
        <w:gridCol w:w="704"/>
        <w:gridCol w:w="749"/>
        <w:gridCol w:w="791"/>
        <w:gridCol w:w="762"/>
        <w:gridCol w:w="748"/>
        <w:gridCol w:w="687"/>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277"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监测</w:t>
            </w:r>
          </w:p>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点</w:t>
            </w:r>
          </w:p>
        </w:tc>
        <w:tc>
          <w:tcPr>
            <w:tcW w:w="1555"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项目</w:t>
            </w:r>
          </w:p>
        </w:tc>
        <w:tc>
          <w:tcPr>
            <w:tcW w:w="748"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pH</w:t>
            </w:r>
          </w:p>
        </w:tc>
        <w:tc>
          <w:tcPr>
            <w:tcW w:w="704"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铜</w:t>
            </w:r>
          </w:p>
        </w:tc>
        <w:tc>
          <w:tcPr>
            <w:tcW w:w="704"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sz w:val="21"/>
                <w:szCs w:val="21"/>
                <w:u w:val="single"/>
              </w:rPr>
              <w:t>总砷</w:t>
            </w:r>
          </w:p>
        </w:tc>
        <w:tc>
          <w:tcPr>
            <w:tcW w:w="749"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sz w:val="21"/>
                <w:szCs w:val="21"/>
                <w:u w:val="single"/>
              </w:rPr>
              <w:t>镉</w:t>
            </w:r>
          </w:p>
        </w:tc>
        <w:tc>
          <w:tcPr>
            <w:tcW w:w="791"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sz w:val="21"/>
                <w:szCs w:val="21"/>
                <w:u w:val="single"/>
              </w:rPr>
              <w:t>锌</w:t>
            </w:r>
          </w:p>
        </w:tc>
        <w:tc>
          <w:tcPr>
            <w:tcW w:w="762"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sz w:val="21"/>
                <w:szCs w:val="21"/>
                <w:u w:val="single"/>
              </w:rPr>
              <w:t>铅</w:t>
            </w:r>
          </w:p>
        </w:tc>
        <w:tc>
          <w:tcPr>
            <w:tcW w:w="748"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sz w:val="21"/>
                <w:szCs w:val="21"/>
                <w:u w:val="single"/>
              </w:rPr>
              <w:t>总汞</w:t>
            </w:r>
          </w:p>
        </w:tc>
        <w:tc>
          <w:tcPr>
            <w:tcW w:w="687"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sz w:val="21"/>
                <w:szCs w:val="21"/>
                <w:u w:val="single"/>
              </w:rPr>
              <w:t>镍</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277" w:type="dxa"/>
            <w:vMerge w:val="restart"/>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u w:val="single"/>
                <w:lang w:eastAsia="zh-CN"/>
              </w:rPr>
            </w:pPr>
            <w:r>
              <w:rPr>
                <w:rFonts w:hint="default" w:ascii="Times New Roman" w:hAnsi="Times New Roman" w:cs="Times New Roman"/>
                <w:b/>
                <w:bCs/>
                <w:color w:val="auto"/>
                <w:kern w:val="0"/>
                <w:sz w:val="21"/>
                <w:szCs w:val="21"/>
                <w:u w:val="single"/>
                <w:lang w:eastAsia="zh-CN"/>
              </w:rPr>
              <w:t>场区空地</w:t>
            </w:r>
          </w:p>
        </w:tc>
        <w:tc>
          <w:tcPr>
            <w:tcW w:w="1555"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监测值</w:t>
            </w:r>
          </w:p>
        </w:tc>
        <w:tc>
          <w:tcPr>
            <w:tcW w:w="748"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7.89</w:t>
            </w:r>
          </w:p>
        </w:tc>
        <w:tc>
          <w:tcPr>
            <w:tcW w:w="704"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18.9</w:t>
            </w:r>
          </w:p>
        </w:tc>
        <w:tc>
          <w:tcPr>
            <w:tcW w:w="704"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13.3</w:t>
            </w:r>
          </w:p>
        </w:tc>
        <w:tc>
          <w:tcPr>
            <w:tcW w:w="749"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0.099</w:t>
            </w:r>
          </w:p>
        </w:tc>
        <w:tc>
          <w:tcPr>
            <w:tcW w:w="791"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48.8</w:t>
            </w:r>
          </w:p>
        </w:tc>
        <w:tc>
          <w:tcPr>
            <w:tcW w:w="762"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16.4</w:t>
            </w:r>
          </w:p>
        </w:tc>
        <w:tc>
          <w:tcPr>
            <w:tcW w:w="748" w:type="dxa"/>
            <w:tcBorders>
              <w:tl2br w:val="nil"/>
              <w:tr2bl w:val="nil"/>
            </w:tcBorders>
            <w:vAlign w:val="center"/>
          </w:tcPr>
          <w:p>
            <w:pPr>
              <w:tabs>
                <w:tab w:val="left" w:pos="359"/>
              </w:tabs>
              <w:autoSpaceDE w:val="0"/>
              <w:autoSpaceDN w:val="0"/>
              <w:adjustRightInd/>
              <w:snapToGrid/>
              <w:spacing w:line="240" w:lineRule="auto"/>
              <w:ind w:firstLine="0" w:firstLineChars="0"/>
              <w:jc w:val="left"/>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0.003</w:t>
            </w:r>
          </w:p>
        </w:tc>
        <w:tc>
          <w:tcPr>
            <w:tcW w:w="687"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未检出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277" w:type="dxa"/>
            <w:vMerge w:val="continue"/>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1#</w:t>
            </w:r>
          </w:p>
        </w:tc>
        <w:tc>
          <w:tcPr>
            <w:tcW w:w="1555"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最大标准</w:t>
            </w:r>
          </w:p>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指数</w:t>
            </w:r>
          </w:p>
        </w:tc>
        <w:tc>
          <w:tcPr>
            <w:tcW w:w="748"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w:t>
            </w:r>
          </w:p>
        </w:tc>
        <w:tc>
          <w:tcPr>
            <w:tcW w:w="704"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0.189</w:t>
            </w:r>
          </w:p>
        </w:tc>
        <w:tc>
          <w:tcPr>
            <w:tcW w:w="704"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0.532</w:t>
            </w:r>
          </w:p>
        </w:tc>
        <w:tc>
          <w:tcPr>
            <w:tcW w:w="749"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0.165</w:t>
            </w:r>
          </w:p>
        </w:tc>
        <w:tc>
          <w:tcPr>
            <w:tcW w:w="791"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0.163</w:t>
            </w:r>
          </w:p>
        </w:tc>
        <w:tc>
          <w:tcPr>
            <w:tcW w:w="762"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0.096</w:t>
            </w:r>
          </w:p>
        </w:tc>
        <w:tc>
          <w:tcPr>
            <w:tcW w:w="748"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0.00089</w:t>
            </w:r>
          </w:p>
        </w:tc>
        <w:tc>
          <w:tcPr>
            <w:tcW w:w="687"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277" w:type="dxa"/>
            <w:vMerge w:val="continue"/>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1#</w:t>
            </w:r>
          </w:p>
        </w:tc>
        <w:tc>
          <w:tcPr>
            <w:tcW w:w="1555"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超标倍数</w:t>
            </w:r>
          </w:p>
        </w:tc>
        <w:tc>
          <w:tcPr>
            <w:tcW w:w="748"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w:t>
            </w:r>
          </w:p>
        </w:tc>
        <w:tc>
          <w:tcPr>
            <w:tcW w:w="704"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w:t>
            </w:r>
          </w:p>
        </w:tc>
        <w:tc>
          <w:tcPr>
            <w:tcW w:w="704"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w:t>
            </w:r>
          </w:p>
        </w:tc>
        <w:tc>
          <w:tcPr>
            <w:tcW w:w="749"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w:t>
            </w:r>
          </w:p>
        </w:tc>
        <w:tc>
          <w:tcPr>
            <w:tcW w:w="791" w:type="dxa"/>
            <w:tcBorders>
              <w:tl2br w:val="nil"/>
              <w:tr2bl w:val="nil"/>
            </w:tcBorders>
            <w:vAlign w:val="center"/>
          </w:tcPr>
          <w:p>
            <w:pPr>
              <w:autoSpaceDE w:val="0"/>
              <w:autoSpaceDN w:val="0"/>
              <w:adjustRightInd/>
              <w:snapToGrid/>
              <w:spacing w:line="240" w:lineRule="auto"/>
              <w:ind w:firstLine="42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w:t>
            </w:r>
          </w:p>
        </w:tc>
        <w:tc>
          <w:tcPr>
            <w:tcW w:w="762" w:type="dxa"/>
            <w:tcBorders>
              <w:tl2br w:val="nil"/>
              <w:tr2bl w:val="nil"/>
            </w:tcBorders>
            <w:vAlign w:val="center"/>
          </w:tcPr>
          <w:p>
            <w:pPr>
              <w:autoSpaceDE w:val="0"/>
              <w:autoSpaceDN w:val="0"/>
              <w:adjustRightInd/>
              <w:snapToGrid/>
              <w:spacing w:line="240" w:lineRule="auto"/>
              <w:ind w:firstLine="42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w:t>
            </w:r>
          </w:p>
        </w:tc>
        <w:tc>
          <w:tcPr>
            <w:tcW w:w="748" w:type="dxa"/>
            <w:tcBorders>
              <w:tl2br w:val="nil"/>
              <w:tr2bl w:val="nil"/>
            </w:tcBorders>
            <w:vAlign w:val="center"/>
          </w:tcPr>
          <w:p>
            <w:pPr>
              <w:autoSpaceDE w:val="0"/>
              <w:autoSpaceDN w:val="0"/>
              <w:adjustRightInd/>
              <w:snapToGrid/>
              <w:spacing w:line="240" w:lineRule="auto"/>
              <w:ind w:firstLine="42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w:t>
            </w:r>
          </w:p>
        </w:tc>
        <w:tc>
          <w:tcPr>
            <w:tcW w:w="687"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277" w:type="dxa"/>
            <w:vMerge w:val="restart"/>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u w:val="single"/>
                <w:lang w:eastAsia="zh-CN"/>
              </w:rPr>
            </w:pPr>
            <w:r>
              <w:rPr>
                <w:rFonts w:hint="default" w:ascii="Times New Roman" w:hAnsi="Times New Roman" w:cs="Times New Roman"/>
                <w:b/>
                <w:bCs/>
                <w:color w:val="auto"/>
                <w:kern w:val="0"/>
                <w:sz w:val="21"/>
                <w:szCs w:val="21"/>
                <w:u w:val="single"/>
                <w:lang w:eastAsia="zh-CN"/>
              </w:rPr>
              <w:t>粪污处理区</w:t>
            </w:r>
          </w:p>
        </w:tc>
        <w:tc>
          <w:tcPr>
            <w:tcW w:w="1555"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监测值</w:t>
            </w:r>
          </w:p>
        </w:tc>
        <w:tc>
          <w:tcPr>
            <w:tcW w:w="748"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7.74</w:t>
            </w:r>
          </w:p>
        </w:tc>
        <w:tc>
          <w:tcPr>
            <w:tcW w:w="704"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28.1</w:t>
            </w:r>
          </w:p>
        </w:tc>
        <w:tc>
          <w:tcPr>
            <w:tcW w:w="704"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17.5</w:t>
            </w:r>
          </w:p>
        </w:tc>
        <w:tc>
          <w:tcPr>
            <w:tcW w:w="749"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0.079</w:t>
            </w:r>
          </w:p>
        </w:tc>
        <w:tc>
          <w:tcPr>
            <w:tcW w:w="791"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51.4</w:t>
            </w:r>
          </w:p>
        </w:tc>
        <w:tc>
          <w:tcPr>
            <w:tcW w:w="762"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17.3</w:t>
            </w:r>
          </w:p>
        </w:tc>
        <w:tc>
          <w:tcPr>
            <w:tcW w:w="748"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未检出</w:t>
            </w:r>
          </w:p>
        </w:tc>
        <w:tc>
          <w:tcPr>
            <w:tcW w:w="687"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未检出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277" w:type="dxa"/>
            <w:vMerge w:val="continue"/>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2#</w:t>
            </w:r>
          </w:p>
        </w:tc>
        <w:tc>
          <w:tcPr>
            <w:tcW w:w="1555"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最大标准</w:t>
            </w:r>
          </w:p>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指数</w:t>
            </w:r>
          </w:p>
        </w:tc>
        <w:tc>
          <w:tcPr>
            <w:tcW w:w="748"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w:t>
            </w:r>
          </w:p>
        </w:tc>
        <w:tc>
          <w:tcPr>
            <w:tcW w:w="704"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0.281</w:t>
            </w:r>
          </w:p>
        </w:tc>
        <w:tc>
          <w:tcPr>
            <w:tcW w:w="704"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0.7</w:t>
            </w:r>
          </w:p>
        </w:tc>
        <w:tc>
          <w:tcPr>
            <w:tcW w:w="749"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0.132</w:t>
            </w:r>
          </w:p>
        </w:tc>
        <w:tc>
          <w:tcPr>
            <w:tcW w:w="791"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0.171</w:t>
            </w:r>
          </w:p>
        </w:tc>
        <w:tc>
          <w:tcPr>
            <w:tcW w:w="762"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0.102</w:t>
            </w:r>
          </w:p>
        </w:tc>
        <w:tc>
          <w:tcPr>
            <w:tcW w:w="748"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w:t>
            </w:r>
          </w:p>
        </w:tc>
        <w:tc>
          <w:tcPr>
            <w:tcW w:w="687"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277" w:type="dxa"/>
            <w:vMerge w:val="continue"/>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2#</w:t>
            </w:r>
          </w:p>
        </w:tc>
        <w:tc>
          <w:tcPr>
            <w:tcW w:w="1555"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超标倍数</w:t>
            </w:r>
          </w:p>
        </w:tc>
        <w:tc>
          <w:tcPr>
            <w:tcW w:w="748"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w:t>
            </w:r>
          </w:p>
        </w:tc>
        <w:tc>
          <w:tcPr>
            <w:tcW w:w="704"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w:t>
            </w:r>
          </w:p>
        </w:tc>
        <w:tc>
          <w:tcPr>
            <w:tcW w:w="704"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w:t>
            </w:r>
          </w:p>
        </w:tc>
        <w:tc>
          <w:tcPr>
            <w:tcW w:w="749" w:type="dxa"/>
            <w:tcBorders>
              <w:tl2br w:val="nil"/>
              <w:tr2bl w:val="nil"/>
            </w:tcBorders>
            <w:vAlign w:val="center"/>
          </w:tcPr>
          <w:p>
            <w:pPr>
              <w:autoSpaceDE w:val="0"/>
              <w:autoSpaceDN w:val="0"/>
              <w:adjustRightInd/>
              <w:snapToGrid/>
              <w:spacing w:line="240" w:lineRule="auto"/>
              <w:ind w:firstLine="42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w:t>
            </w:r>
          </w:p>
        </w:tc>
        <w:tc>
          <w:tcPr>
            <w:tcW w:w="791" w:type="dxa"/>
            <w:tcBorders>
              <w:tl2br w:val="nil"/>
              <w:tr2bl w:val="nil"/>
            </w:tcBorders>
            <w:vAlign w:val="center"/>
          </w:tcPr>
          <w:p>
            <w:pPr>
              <w:autoSpaceDE w:val="0"/>
              <w:autoSpaceDN w:val="0"/>
              <w:adjustRightInd/>
              <w:snapToGrid/>
              <w:spacing w:line="240" w:lineRule="auto"/>
              <w:ind w:firstLine="42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w:t>
            </w:r>
          </w:p>
        </w:tc>
        <w:tc>
          <w:tcPr>
            <w:tcW w:w="762" w:type="dxa"/>
            <w:tcBorders>
              <w:tl2br w:val="nil"/>
              <w:tr2bl w:val="nil"/>
            </w:tcBorders>
            <w:vAlign w:val="center"/>
          </w:tcPr>
          <w:p>
            <w:pPr>
              <w:autoSpaceDE w:val="0"/>
              <w:autoSpaceDN w:val="0"/>
              <w:adjustRightInd/>
              <w:snapToGrid/>
              <w:spacing w:line="240" w:lineRule="auto"/>
              <w:ind w:firstLine="42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w:t>
            </w:r>
          </w:p>
        </w:tc>
        <w:tc>
          <w:tcPr>
            <w:tcW w:w="748"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w:t>
            </w:r>
          </w:p>
        </w:tc>
        <w:tc>
          <w:tcPr>
            <w:tcW w:w="687"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277" w:type="dxa"/>
            <w:vMerge w:val="restart"/>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eastAsia="宋体" w:cs="Times New Roman"/>
                <w:b/>
                <w:bCs/>
                <w:color w:val="auto"/>
                <w:kern w:val="0"/>
                <w:sz w:val="21"/>
                <w:szCs w:val="21"/>
                <w:u w:val="single"/>
                <w:lang w:eastAsia="zh-CN"/>
              </w:rPr>
            </w:pPr>
            <w:r>
              <w:rPr>
                <w:rFonts w:hint="default" w:ascii="Times New Roman" w:hAnsi="Times New Roman" w:cs="Times New Roman"/>
                <w:b/>
                <w:bCs/>
                <w:color w:val="auto"/>
                <w:kern w:val="0"/>
                <w:sz w:val="21"/>
                <w:szCs w:val="21"/>
                <w:u w:val="single"/>
                <w:lang w:eastAsia="zh-CN"/>
              </w:rPr>
              <w:t>养殖区</w:t>
            </w:r>
          </w:p>
        </w:tc>
        <w:tc>
          <w:tcPr>
            <w:tcW w:w="1555"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监测值</w:t>
            </w:r>
          </w:p>
        </w:tc>
        <w:tc>
          <w:tcPr>
            <w:tcW w:w="748"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7.76</w:t>
            </w:r>
          </w:p>
        </w:tc>
        <w:tc>
          <w:tcPr>
            <w:tcW w:w="704"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39.9</w:t>
            </w:r>
          </w:p>
        </w:tc>
        <w:tc>
          <w:tcPr>
            <w:tcW w:w="704"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17.0</w:t>
            </w:r>
          </w:p>
        </w:tc>
        <w:tc>
          <w:tcPr>
            <w:tcW w:w="749"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0.125</w:t>
            </w:r>
          </w:p>
        </w:tc>
        <w:tc>
          <w:tcPr>
            <w:tcW w:w="791"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53.4</w:t>
            </w:r>
          </w:p>
        </w:tc>
        <w:tc>
          <w:tcPr>
            <w:tcW w:w="762"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17.7</w:t>
            </w:r>
          </w:p>
        </w:tc>
        <w:tc>
          <w:tcPr>
            <w:tcW w:w="748"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未检出</w:t>
            </w:r>
          </w:p>
        </w:tc>
        <w:tc>
          <w:tcPr>
            <w:tcW w:w="687"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18.9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277" w:type="dxa"/>
            <w:vMerge w:val="continue"/>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3#</w:t>
            </w:r>
          </w:p>
        </w:tc>
        <w:tc>
          <w:tcPr>
            <w:tcW w:w="1555"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最大标准</w:t>
            </w:r>
          </w:p>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指数</w:t>
            </w:r>
          </w:p>
        </w:tc>
        <w:tc>
          <w:tcPr>
            <w:tcW w:w="748"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w:t>
            </w:r>
          </w:p>
        </w:tc>
        <w:tc>
          <w:tcPr>
            <w:tcW w:w="704"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0.399</w:t>
            </w:r>
          </w:p>
        </w:tc>
        <w:tc>
          <w:tcPr>
            <w:tcW w:w="704"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0.68</w:t>
            </w:r>
          </w:p>
        </w:tc>
        <w:tc>
          <w:tcPr>
            <w:tcW w:w="749"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0.21</w:t>
            </w:r>
          </w:p>
        </w:tc>
        <w:tc>
          <w:tcPr>
            <w:tcW w:w="791"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0.178</w:t>
            </w:r>
          </w:p>
        </w:tc>
        <w:tc>
          <w:tcPr>
            <w:tcW w:w="762"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0.104</w:t>
            </w:r>
          </w:p>
        </w:tc>
        <w:tc>
          <w:tcPr>
            <w:tcW w:w="748"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w:t>
            </w:r>
          </w:p>
        </w:tc>
        <w:tc>
          <w:tcPr>
            <w:tcW w:w="687"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0.099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1277" w:type="dxa"/>
            <w:vMerge w:val="continue"/>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3#</w:t>
            </w:r>
          </w:p>
        </w:tc>
        <w:tc>
          <w:tcPr>
            <w:tcW w:w="1555"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超标倍数</w:t>
            </w:r>
          </w:p>
        </w:tc>
        <w:tc>
          <w:tcPr>
            <w:tcW w:w="748"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w:t>
            </w:r>
          </w:p>
        </w:tc>
        <w:tc>
          <w:tcPr>
            <w:tcW w:w="704"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w:t>
            </w:r>
          </w:p>
        </w:tc>
        <w:tc>
          <w:tcPr>
            <w:tcW w:w="704"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w:t>
            </w:r>
          </w:p>
        </w:tc>
        <w:tc>
          <w:tcPr>
            <w:tcW w:w="749" w:type="dxa"/>
            <w:tcBorders>
              <w:tl2br w:val="nil"/>
              <w:tr2bl w:val="nil"/>
            </w:tcBorders>
            <w:vAlign w:val="center"/>
          </w:tcPr>
          <w:p>
            <w:pPr>
              <w:autoSpaceDE w:val="0"/>
              <w:autoSpaceDN w:val="0"/>
              <w:adjustRightInd/>
              <w:snapToGrid/>
              <w:spacing w:line="240" w:lineRule="auto"/>
              <w:ind w:firstLine="42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w:t>
            </w:r>
          </w:p>
        </w:tc>
        <w:tc>
          <w:tcPr>
            <w:tcW w:w="791" w:type="dxa"/>
            <w:tcBorders>
              <w:tl2br w:val="nil"/>
              <w:tr2bl w:val="nil"/>
            </w:tcBorders>
            <w:vAlign w:val="center"/>
          </w:tcPr>
          <w:p>
            <w:pPr>
              <w:autoSpaceDE w:val="0"/>
              <w:autoSpaceDN w:val="0"/>
              <w:adjustRightInd/>
              <w:snapToGrid/>
              <w:spacing w:line="240" w:lineRule="auto"/>
              <w:ind w:firstLine="42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w:t>
            </w:r>
          </w:p>
        </w:tc>
        <w:tc>
          <w:tcPr>
            <w:tcW w:w="762" w:type="dxa"/>
            <w:tcBorders>
              <w:tl2br w:val="nil"/>
              <w:tr2bl w:val="nil"/>
            </w:tcBorders>
            <w:vAlign w:val="center"/>
          </w:tcPr>
          <w:p>
            <w:pPr>
              <w:autoSpaceDE w:val="0"/>
              <w:autoSpaceDN w:val="0"/>
              <w:adjustRightInd/>
              <w:snapToGrid/>
              <w:spacing w:line="240" w:lineRule="auto"/>
              <w:ind w:firstLine="42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w:t>
            </w:r>
          </w:p>
        </w:tc>
        <w:tc>
          <w:tcPr>
            <w:tcW w:w="748"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w:t>
            </w:r>
          </w:p>
        </w:tc>
        <w:tc>
          <w:tcPr>
            <w:tcW w:w="687" w:type="dxa"/>
            <w:tcBorders>
              <w:tl2br w:val="nil"/>
              <w:tr2bl w:val="nil"/>
            </w:tcBorders>
            <w:vAlign w:val="center"/>
          </w:tcPr>
          <w:p>
            <w:pPr>
              <w:autoSpaceDE w:val="0"/>
              <w:autoSpaceDN w:val="0"/>
              <w:adjustRightInd/>
              <w:snapToGrid/>
              <w:spacing w:line="240" w:lineRule="auto"/>
              <w:ind w:firstLine="0" w:firstLineChars="0"/>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w:t>
            </w:r>
          </w:p>
        </w:tc>
      </w:tr>
    </w:tbl>
    <w:p>
      <w:pPr>
        <w:ind w:firstLine="480"/>
        <w:rPr>
          <w:rFonts w:hint="default" w:ascii="Times New Roman" w:hAnsi="Times New Roman" w:cs="Times New Roman"/>
          <w:b/>
          <w:bCs/>
          <w:color w:val="auto"/>
          <w:u w:val="single"/>
        </w:rPr>
        <w:sectPr>
          <w:headerReference r:id="rId16" w:type="default"/>
          <w:footerReference r:id="rId17" w:type="default"/>
          <w:footerReference r:id="rId18" w:type="even"/>
          <w:pgSz w:w="11906" w:h="16838"/>
          <w:pgMar w:top="1701" w:right="1588" w:bottom="1985" w:left="1588" w:header="1134"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cs="Times New Roman"/>
          <w:b/>
          <w:bCs/>
          <w:color w:val="auto"/>
          <w:u w:val="single"/>
        </w:rPr>
        <w:t>由上表可知，各监测点位各项因子均能满足《土壤环境质量--农用地土壤污染风险管控标准（试行）》（GB15618-2018）中标准要求。</w:t>
      </w:r>
    </w:p>
    <w:p>
      <w:pPr>
        <w:ind w:firstLine="480"/>
        <w:rPr>
          <w:rFonts w:hint="default" w:ascii="Times New Roman" w:hAnsi="Times New Roman" w:cs="Times New Roman"/>
          <w:color w:val="auto"/>
        </w:rPr>
      </w:pPr>
      <w:bookmarkStart w:id="476" w:name="_Toc476923284"/>
      <w:bookmarkStart w:id="477" w:name="_Toc366760260"/>
      <w:bookmarkStart w:id="478" w:name="_Toc477357247"/>
      <w:bookmarkStart w:id="479" w:name="_Toc327476607"/>
      <w:bookmarkStart w:id="480" w:name="_Toc327741256"/>
      <w:bookmarkStart w:id="481" w:name="_Toc354421683"/>
      <w:bookmarkStart w:id="482" w:name="_Toc485580296"/>
      <w:bookmarkStart w:id="483" w:name="_Toc477187432"/>
      <w:bookmarkStart w:id="484" w:name="_Toc488933416"/>
      <w:bookmarkStart w:id="485" w:name="_Toc476921966"/>
      <w:bookmarkStart w:id="486" w:name="_Toc193113471"/>
    </w:p>
    <w:p>
      <w:pPr>
        <w:pStyle w:val="3"/>
        <w:keepNext w:val="0"/>
        <w:keepLines w:val="0"/>
        <w:widowControl/>
        <w:spacing w:before="240" w:afterLines="50" w:line="240" w:lineRule="auto"/>
        <w:ind w:firstLine="840"/>
        <w:rPr>
          <w:rFonts w:hint="default" w:ascii="Times New Roman" w:hAnsi="Times New Roman" w:cs="Times New Roman"/>
          <w:color w:val="auto"/>
        </w:rPr>
      </w:pPr>
      <w:bookmarkStart w:id="487" w:name="_Toc31576"/>
      <w:bookmarkStart w:id="488" w:name="_Toc19793"/>
      <w:r>
        <w:rPr>
          <w:rFonts w:hint="default" w:ascii="Times New Roman" w:hAnsi="Times New Roman" w:cs="Times New Roman"/>
          <w:color w:val="auto"/>
        </w:rPr>
        <w:t>第五章  环境质量影响预测与评价</w:t>
      </w:r>
      <w:bookmarkEnd w:id="476"/>
      <w:bookmarkEnd w:id="477"/>
      <w:bookmarkEnd w:id="478"/>
      <w:bookmarkEnd w:id="479"/>
      <w:bookmarkEnd w:id="480"/>
      <w:bookmarkEnd w:id="481"/>
      <w:bookmarkEnd w:id="482"/>
      <w:bookmarkEnd w:id="483"/>
      <w:bookmarkEnd w:id="484"/>
      <w:bookmarkEnd w:id="485"/>
      <w:bookmarkEnd w:id="487"/>
      <w:bookmarkEnd w:id="488"/>
    </w:p>
    <w:p>
      <w:pPr>
        <w:ind w:firstLine="480"/>
        <w:rPr>
          <w:rFonts w:hint="default" w:ascii="Times New Roman" w:hAnsi="Times New Roman" w:cs="Times New Roman"/>
          <w:color w:val="auto"/>
        </w:rPr>
      </w:pPr>
      <w:bookmarkStart w:id="489" w:name="_Toc413770907"/>
      <w:bookmarkStart w:id="490" w:name="_Toc441567764"/>
      <w:bookmarkStart w:id="491" w:name="_Toc405562803"/>
      <w:bookmarkStart w:id="492" w:name="_Toc485580297"/>
      <w:bookmarkStart w:id="493" w:name="_Toc488933417"/>
      <w:bookmarkStart w:id="494" w:name="_Toc476921967"/>
      <w:bookmarkStart w:id="495" w:name="_Toc477187433"/>
      <w:bookmarkStart w:id="496" w:name="_Toc327741257"/>
      <w:bookmarkStart w:id="497" w:name="_Toc476923285"/>
      <w:bookmarkStart w:id="498" w:name="_Toc477357248"/>
      <w:bookmarkStart w:id="499" w:name="_Toc366760261"/>
      <w:bookmarkStart w:id="500" w:name="_Toc354421684"/>
      <w:bookmarkStart w:id="501" w:name="_Toc327476608"/>
    </w:p>
    <w:p>
      <w:pPr>
        <w:pStyle w:val="31"/>
        <w:spacing w:line="360" w:lineRule="auto"/>
        <w:jc w:val="both"/>
        <w:rPr>
          <w:rFonts w:hint="default" w:ascii="Times New Roman" w:hAnsi="Times New Roman" w:eastAsia="黑体" w:cs="Times New Roman"/>
          <w:color w:val="auto"/>
        </w:rPr>
      </w:pPr>
      <w:bookmarkStart w:id="502" w:name="_Toc32528"/>
      <w:bookmarkStart w:id="503" w:name="_Toc26315"/>
      <w:r>
        <w:rPr>
          <w:rFonts w:hint="default" w:ascii="Times New Roman" w:hAnsi="Times New Roman" w:eastAsia="黑体" w:cs="Times New Roman"/>
          <w:color w:val="auto"/>
        </w:rPr>
        <w:t>5.1 施工期环境影响分析</w:t>
      </w:r>
      <w:bookmarkEnd w:id="489"/>
      <w:bookmarkEnd w:id="490"/>
      <w:bookmarkEnd w:id="491"/>
      <w:bookmarkEnd w:id="492"/>
      <w:bookmarkEnd w:id="493"/>
      <w:bookmarkEnd w:id="502"/>
      <w:bookmarkEnd w:id="503"/>
    </w:p>
    <w:p>
      <w:pPr>
        <w:ind w:firstLine="480"/>
        <w:rPr>
          <w:rFonts w:hint="default" w:ascii="Times New Roman" w:hAnsi="Times New Roman" w:cs="Times New Roman"/>
          <w:color w:val="auto"/>
        </w:rPr>
      </w:pPr>
      <w:r>
        <w:rPr>
          <w:rFonts w:hint="default" w:ascii="Times New Roman" w:hAnsi="Times New Roman" w:cs="Times New Roman"/>
          <w:color w:val="auto"/>
        </w:rPr>
        <w:t>本项目施工期间对周围环境的影响主要表现在扬尘、废水、施工噪声、建筑垃圾及生态影响等。</w:t>
      </w:r>
    </w:p>
    <w:p>
      <w:pPr>
        <w:pStyle w:val="5"/>
        <w:rPr>
          <w:rFonts w:hint="default" w:ascii="Times New Roman" w:hAnsi="Times New Roman" w:cs="Times New Roman"/>
          <w:color w:val="auto"/>
        </w:rPr>
      </w:pPr>
      <w:bookmarkStart w:id="504" w:name="_Toc148502223"/>
      <w:bookmarkStart w:id="505" w:name="_Toc319910885"/>
      <w:bookmarkStart w:id="506" w:name="_Toc95280008"/>
      <w:bookmarkStart w:id="507" w:name="_Toc153134044"/>
      <w:bookmarkStart w:id="508" w:name="_Toc311379467"/>
      <w:bookmarkStart w:id="509" w:name="_Toc148515624"/>
      <w:bookmarkStart w:id="510" w:name="_Toc522113039"/>
      <w:bookmarkStart w:id="511" w:name="_Toc311380300"/>
      <w:bookmarkStart w:id="512" w:name="_Toc148502308"/>
      <w:bookmarkStart w:id="513" w:name="_Toc148502648"/>
      <w:r>
        <w:rPr>
          <w:rFonts w:hint="default" w:ascii="Times New Roman" w:hAnsi="Times New Roman" w:cs="Times New Roman"/>
          <w:color w:val="auto"/>
        </w:rPr>
        <w:t>5.1.1施工期大气环境影响分析</w:t>
      </w:r>
      <w:bookmarkEnd w:id="504"/>
      <w:bookmarkEnd w:id="505"/>
      <w:bookmarkEnd w:id="506"/>
      <w:bookmarkEnd w:id="507"/>
      <w:bookmarkEnd w:id="508"/>
      <w:bookmarkEnd w:id="509"/>
      <w:bookmarkEnd w:id="510"/>
      <w:bookmarkEnd w:id="511"/>
      <w:bookmarkEnd w:id="512"/>
      <w:bookmarkEnd w:id="513"/>
    </w:p>
    <w:p>
      <w:pPr>
        <w:ind w:firstLine="480"/>
        <w:outlineLvl w:val="3"/>
        <w:rPr>
          <w:rFonts w:hint="default" w:ascii="Times New Roman" w:hAnsi="Times New Roman" w:cs="Times New Roman"/>
          <w:color w:val="auto"/>
        </w:rPr>
      </w:pPr>
      <w:bookmarkStart w:id="514" w:name="_Toc311380302"/>
      <w:bookmarkStart w:id="515" w:name="_Toc319910887"/>
      <w:bookmarkStart w:id="516" w:name="_Toc311379469"/>
      <w:r>
        <w:rPr>
          <w:rFonts w:hint="default" w:ascii="Times New Roman" w:hAnsi="Times New Roman" w:cs="Times New Roman"/>
          <w:color w:val="auto"/>
        </w:rPr>
        <w:t>5.1.1.</w:t>
      </w:r>
      <w:bookmarkEnd w:id="514"/>
      <w:bookmarkEnd w:id="515"/>
      <w:bookmarkEnd w:id="516"/>
      <w:r>
        <w:rPr>
          <w:rFonts w:hint="default" w:ascii="Times New Roman" w:hAnsi="Times New Roman" w:cs="Times New Roman"/>
          <w:color w:val="auto"/>
        </w:rPr>
        <w:t>1扬尘</w:t>
      </w:r>
    </w:p>
    <w:p>
      <w:pPr>
        <w:ind w:firstLine="480"/>
        <w:rPr>
          <w:rFonts w:hint="default" w:ascii="Times New Roman" w:hAnsi="Times New Roman" w:cs="Times New Roman"/>
          <w:color w:val="auto"/>
        </w:rPr>
      </w:pPr>
      <w:r>
        <w:rPr>
          <w:rFonts w:hint="default" w:ascii="Times New Roman" w:hAnsi="Times New Roman" w:cs="Times New Roman"/>
          <w:color w:val="auto"/>
        </w:rPr>
        <w:t>本项目建设施工过程中的大气污染主要来自于施工场地的扬尘，在整个施工期，产生扬尘的作业有土地平整、打桩、开挖、回填、道路浇筑、建材运输、露天堆放、装卸和搅拌等过程，如遇干旱无雨季节，加上大风，施工扬尘将更严重。施工扬尘按起尘的原因可分为动力起尘和风力起尘。</w:t>
      </w:r>
    </w:p>
    <w:p>
      <w:pPr>
        <w:ind w:firstLine="480"/>
        <w:rPr>
          <w:rFonts w:hint="default" w:ascii="Times New Roman" w:hAnsi="Times New Roman" w:cs="Times New Roman"/>
          <w:color w:val="auto"/>
        </w:rPr>
      </w:pPr>
      <w:r>
        <w:rPr>
          <w:rFonts w:hint="default" w:ascii="Times New Roman" w:hAnsi="Times New Roman" w:cs="Times New Roman"/>
          <w:color w:val="auto"/>
        </w:rPr>
        <w:t>①动力起尘：由于外力而产生的尘粒悬浮而造成，其中施工装卸车辆造成的扬尘最为严重。据有关文献资料介绍，施工期间的扬尘主要是由运输车辆行驶产生，约占总扬尘量的60%。车辆行驶产生的扬尘，在完全干燥情况下，可按下列经验公式计算：</w:t>
      </w:r>
    </w:p>
    <w:p>
      <w:pPr>
        <w:ind w:firstLine="2280" w:firstLineChars="950"/>
        <w:rPr>
          <w:rFonts w:hint="default" w:ascii="Times New Roman" w:hAnsi="Times New Roman" w:cs="Times New Roman"/>
          <w:color w:val="auto"/>
        </w:rPr>
      </w:pPr>
      <w:r>
        <w:rPr>
          <w:rFonts w:hint="default" w:ascii="Times New Roman" w:hAnsi="Times New Roman" w:cs="Times New Roman"/>
          <w:color w:val="auto"/>
          <w:position w:val="-10"/>
        </w:rPr>
        <w:object>
          <v:shape id="_x0000_i1025" o:spt="75" type="#_x0000_t75" style="height:17.25pt;width:174pt;" o:ole="t" filled="f" o:preferrelative="t" stroked="f" coordsize="21600,21600">
            <v:path/>
            <v:fill on="f" focussize="0,0"/>
            <v:stroke on="f" joinstyle="miter"/>
            <v:imagedata r:id="rId45" o:title=""/>
            <o:lock v:ext="edit" aspectratio="t"/>
            <w10:wrap type="none"/>
            <w10:anchorlock/>
          </v:shape>
          <o:OLEObject Type="Embed" ProgID="Equation.3" ShapeID="_x0000_i1025" DrawAspect="Content" ObjectID="_1468075725" r:id="rId44">
            <o:LockedField>false</o:LockedField>
          </o:OLEObject>
        </w:object>
      </w:r>
    </w:p>
    <w:p>
      <w:pPr>
        <w:ind w:firstLine="1560" w:firstLineChars="650"/>
        <w:rPr>
          <w:rFonts w:hint="default" w:ascii="Times New Roman" w:hAnsi="Times New Roman" w:cs="Times New Roman"/>
          <w:color w:val="auto"/>
        </w:rPr>
      </w:pPr>
      <w:r>
        <w:rPr>
          <w:rFonts w:hint="default" w:ascii="Times New Roman" w:hAnsi="Times New Roman" w:cs="Times New Roman"/>
          <w:color w:val="auto"/>
        </w:rPr>
        <w:t>式中：Q——汽车行驶的扬尘，kg/km·辆；</w:t>
      </w:r>
    </w:p>
    <w:p>
      <w:pPr>
        <w:ind w:firstLine="2280" w:firstLineChars="950"/>
        <w:rPr>
          <w:rFonts w:hint="default" w:ascii="Times New Roman" w:hAnsi="Times New Roman" w:cs="Times New Roman"/>
          <w:color w:val="auto"/>
        </w:rPr>
      </w:pPr>
      <w:r>
        <w:rPr>
          <w:rFonts w:hint="default" w:ascii="Times New Roman" w:hAnsi="Times New Roman" w:cs="Times New Roman"/>
          <w:color w:val="auto"/>
        </w:rPr>
        <w:t>V——汽车速度，km/hr；</w:t>
      </w:r>
    </w:p>
    <w:p>
      <w:pPr>
        <w:ind w:firstLine="2280" w:firstLineChars="950"/>
        <w:rPr>
          <w:rFonts w:hint="default" w:ascii="Times New Roman" w:hAnsi="Times New Roman" w:cs="Times New Roman"/>
          <w:color w:val="auto"/>
        </w:rPr>
      </w:pPr>
      <w:r>
        <w:rPr>
          <w:rFonts w:hint="default" w:ascii="Times New Roman" w:hAnsi="Times New Roman" w:cs="Times New Roman"/>
          <w:color w:val="auto"/>
        </w:rPr>
        <w:t>W——汽车载重量，吨；</w:t>
      </w:r>
    </w:p>
    <w:p>
      <w:pPr>
        <w:ind w:firstLine="2280" w:firstLineChars="950"/>
        <w:rPr>
          <w:rFonts w:hint="default" w:ascii="Times New Roman" w:hAnsi="Times New Roman" w:cs="Times New Roman"/>
          <w:color w:val="auto"/>
        </w:rPr>
      </w:pPr>
      <w:r>
        <w:rPr>
          <w:rFonts w:hint="default" w:ascii="Times New Roman" w:hAnsi="Times New Roman" w:cs="Times New Roman"/>
          <w:color w:val="auto"/>
        </w:rPr>
        <w:t>P——道路表面粉尘量，kg/m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pPr>
        <w:spacing w:afterLines="30"/>
        <w:ind w:left="851"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表5.1-1        在不同车速和地面清洁程度的汽车扬尘  （kg/辆·km）</w:t>
      </w:r>
    </w:p>
    <w:tbl>
      <w:tblPr>
        <w:tblStyle w:val="25"/>
        <w:tblW w:w="917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54"/>
        <w:gridCol w:w="1228"/>
        <w:gridCol w:w="1380"/>
        <w:gridCol w:w="1380"/>
        <w:gridCol w:w="1380"/>
        <w:gridCol w:w="1290"/>
        <w:gridCol w:w="12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4" w:type="dxa"/>
            <w:tcBorders>
              <w:top w:val="single" w:color="auto" w:sz="4" w:space="0"/>
              <w:left w:val="nil"/>
              <w:bottom w:val="single" w:color="auto" w:sz="4" w:space="0"/>
              <w:right w:val="single" w:color="auto" w:sz="4" w:space="0"/>
              <w:tl2br w:val="single" w:color="auto"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粉尘量</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车速</w:t>
            </w:r>
          </w:p>
        </w:tc>
        <w:tc>
          <w:tcPr>
            <w:tcW w:w="122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0.1kg/m</w:t>
            </w:r>
            <w:r>
              <w:rPr>
                <w:rFonts w:hint="default" w:ascii="Times New Roman" w:hAnsi="Times New Roman" w:cs="Times New Roman"/>
                <w:color w:val="auto"/>
                <w:sz w:val="21"/>
                <w:szCs w:val="21"/>
                <w:vertAlign w:val="superscript"/>
              </w:rPr>
              <w:t>2</w:t>
            </w:r>
          </w:p>
        </w:tc>
        <w:tc>
          <w:tcPr>
            <w:tcW w:w="13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0.2kg/m</w:t>
            </w:r>
            <w:r>
              <w:rPr>
                <w:rFonts w:hint="default" w:ascii="Times New Roman" w:hAnsi="Times New Roman" w:cs="Times New Roman"/>
                <w:color w:val="auto"/>
                <w:sz w:val="21"/>
                <w:szCs w:val="21"/>
                <w:vertAlign w:val="superscript"/>
              </w:rPr>
              <w:t>2</w:t>
            </w:r>
          </w:p>
        </w:tc>
        <w:tc>
          <w:tcPr>
            <w:tcW w:w="13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0.3kg/m</w:t>
            </w:r>
            <w:r>
              <w:rPr>
                <w:rFonts w:hint="default" w:ascii="Times New Roman" w:hAnsi="Times New Roman" w:cs="Times New Roman"/>
                <w:color w:val="auto"/>
                <w:sz w:val="21"/>
                <w:szCs w:val="21"/>
                <w:vertAlign w:val="superscript"/>
              </w:rPr>
              <w:t>2</w:t>
            </w:r>
          </w:p>
        </w:tc>
        <w:tc>
          <w:tcPr>
            <w:tcW w:w="13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0.4kg/m</w:t>
            </w:r>
            <w:r>
              <w:rPr>
                <w:rFonts w:hint="default" w:ascii="Times New Roman" w:hAnsi="Times New Roman" w:cs="Times New Roman"/>
                <w:color w:val="auto"/>
                <w:sz w:val="21"/>
                <w:szCs w:val="21"/>
                <w:vertAlign w:val="superscript"/>
              </w:rPr>
              <w:t>2</w:t>
            </w:r>
          </w:p>
        </w:tc>
        <w:tc>
          <w:tcPr>
            <w:tcW w:w="129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0.5kg/m</w:t>
            </w:r>
            <w:r>
              <w:rPr>
                <w:rFonts w:hint="default" w:ascii="Times New Roman" w:hAnsi="Times New Roman" w:cs="Times New Roman"/>
                <w:color w:val="auto"/>
                <w:sz w:val="21"/>
                <w:szCs w:val="21"/>
                <w:vertAlign w:val="superscript"/>
              </w:rPr>
              <w:t>2</w:t>
            </w:r>
          </w:p>
        </w:tc>
        <w:tc>
          <w:tcPr>
            <w:tcW w:w="1263" w:type="dxa"/>
            <w:tcBorders>
              <w:top w:val="single" w:color="auto" w:sz="4" w:space="0"/>
              <w:left w:val="single" w:color="auto" w:sz="4" w:space="0"/>
              <w:bottom w:val="single" w:color="auto" w:sz="4" w:space="0"/>
              <w:right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1kg/m</w:t>
            </w:r>
            <w:r>
              <w:rPr>
                <w:rFonts w:hint="default" w:ascii="Times New Roman" w:hAnsi="Times New Roman" w:cs="Times New Roman"/>
                <w:color w:val="auto"/>
                <w:sz w:val="21"/>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4"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5(km/hr)</w:t>
            </w:r>
          </w:p>
        </w:tc>
        <w:tc>
          <w:tcPr>
            <w:tcW w:w="122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0.051056</w:t>
            </w:r>
          </w:p>
        </w:tc>
        <w:tc>
          <w:tcPr>
            <w:tcW w:w="13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0.085865</w:t>
            </w:r>
          </w:p>
        </w:tc>
        <w:tc>
          <w:tcPr>
            <w:tcW w:w="13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0.116382</w:t>
            </w:r>
          </w:p>
        </w:tc>
        <w:tc>
          <w:tcPr>
            <w:tcW w:w="13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0.144408</w:t>
            </w:r>
          </w:p>
        </w:tc>
        <w:tc>
          <w:tcPr>
            <w:tcW w:w="129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0.170715</w:t>
            </w:r>
          </w:p>
        </w:tc>
        <w:tc>
          <w:tcPr>
            <w:tcW w:w="1263" w:type="dxa"/>
            <w:tcBorders>
              <w:top w:val="single" w:color="auto" w:sz="4" w:space="0"/>
              <w:left w:val="single" w:color="auto" w:sz="4" w:space="0"/>
              <w:bottom w:val="single" w:color="auto" w:sz="4" w:space="0"/>
              <w:right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0.287108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4"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10(km/hr)</w:t>
            </w:r>
          </w:p>
        </w:tc>
        <w:tc>
          <w:tcPr>
            <w:tcW w:w="122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0.102112</w:t>
            </w:r>
          </w:p>
        </w:tc>
        <w:tc>
          <w:tcPr>
            <w:tcW w:w="13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0.171731</w:t>
            </w:r>
          </w:p>
        </w:tc>
        <w:tc>
          <w:tcPr>
            <w:tcW w:w="13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0.232764</w:t>
            </w:r>
          </w:p>
        </w:tc>
        <w:tc>
          <w:tcPr>
            <w:tcW w:w="13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0.288815</w:t>
            </w:r>
          </w:p>
        </w:tc>
        <w:tc>
          <w:tcPr>
            <w:tcW w:w="129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0.341431</w:t>
            </w:r>
          </w:p>
        </w:tc>
        <w:tc>
          <w:tcPr>
            <w:tcW w:w="1263" w:type="dxa"/>
            <w:tcBorders>
              <w:top w:val="single" w:color="auto" w:sz="4" w:space="0"/>
              <w:left w:val="single" w:color="auto" w:sz="4" w:space="0"/>
              <w:bottom w:val="single" w:color="auto" w:sz="4" w:space="0"/>
              <w:right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0.574216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4"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15(km/hr)</w:t>
            </w:r>
          </w:p>
        </w:tc>
        <w:tc>
          <w:tcPr>
            <w:tcW w:w="122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0.153167</w:t>
            </w:r>
          </w:p>
        </w:tc>
        <w:tc>
          <w:tcPr>
            <w:tcW w:w="13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0.257596</w:t>
            </w:r>
          </w:p>
        </w:tc>
        <w:tc>
          <w:tcPr>
            <w:tcW w:w="13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0.349146</w:t>
            </w:r>
          </w:p>
        </w:tc>
        <w:tc>
          <w:tcPr>
            <w:tcW w:w="13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0.433223</w:t>
            </w:r>
          </w:p>
        </w:tc>
        <w:tc>
          <w:tcPr>
            <w:tcW w:w="129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0.512146</w:t>
            </w:r>
          </w:p>
        </w:tc>
        <w:tc>
          <w:tcPr>
            <w:tcW w:w="1263" w:type="dxa"/>
            <w:tcBorders>
              <w:top w:val="single" w:color="auto" w:sz="4" w:space="0"/>
              <w:left w:val="single" w:color="auto" w:sz="4" w:space="0"/>
              <w:bottom w:val="single" w:color="auto" w:sz="4" w:space="0"/>
              <w:right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0.861323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54" w:type="dxa"/>
            <w:tcBorders>
              <w:top w:val="single" w:color="auto" w:sz="4" w:space="0"/>
              <w:left w:val="nil"/>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25(km/hr)</w:t>
            </w:r>
          </w:p>
        </w:tc>
        <w:tc>
          <w:tcPr>
            <w:tcW w:w="1228"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0.255279</w:t>
            </w:r>
          </w:p>
        </w:tc>
        <w:tc>
          <w:tcPr>
            <w:tcW w:w="13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0.429326</w:t>
            </w:r>
          </w:p>
        </w:tc>
        <w:tc>
          <w:tcPr>
            <w:tcW w:w="13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0.58191</w:t>
            </w:r>
          </w:p>
        </w:tc>
        <w:tc>
          <w:tcPr>
            <w:tcW w:w="138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0.722038</w:t>
            </w:r>
          </w:p>
        </w:tc>
        <w:tc>
          <w:tcPr>
            <w:tcW w:w="1290"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0.853577</w:t>
            </w:r>
          </w:p>
        </w:tc>
        <w:tc>
          <w:tcPr>
            <w:tcW w:w="1263" w:type="dxa"/>
            <w:tcBorders>
              <w:top w:val="single" w:color="auto" w:sz="4" w:space="0"/>
              <w:left w:val="single" w:color="auto" w:sz="4" w:space="0"/>
              <w:bottom w:val="single" w:color="auto" w:sz="4" w:space="0"/>
              <w:right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1.435539</w:t>
            </w:r>
          </w:p>
        </w:tc>
      </w:tr>
    </w:tbl>
    <w:p>
      <w:pPr>
        <w:ind w:firstLine="480"/>
        <w:rPr>
          <w:rFonts w:hint="default" w:ascii="Times New Roman" w:hAnsi="Times New Roman" w:cs="Times New Roman"/>
          <w:color w:val="auto"/>
        </w:rPr>
      </w:pPr>
      <w:r>
        <w:rPr>
          <w:rFonts w:hint="default" w:ascii="Times New Roman" w:hAnsi="Times New Roman" w:cs="Times New Roman"/>
          <w:color w:val="auto"/>
        </w:rPr>
        <w:t>表5.1-1为一辆10吨卡车，通过一段长度为1km的路面时，不同路面清洁程度，不同行驶速度情况下的扬尘量。由此可知在同样的路面清洁程度条件下，车速越快，扬尘量越大；而在同样车速情况下，路面越脏，则扬尘量越大。</w:t>
      </w:r>
    </w:p>
    <w:p>
      <w:pPr>
        <w:ind w:firstLine="480"/>
        <w:rPr>
          <w:rFonts w:hint="default" w:ascii="Times New Roman" w:hAnsi="Times New Roman" w:cs="Times New Roman"/>
          <w:color w:val="auto"/>
        </w:rPr>
      </w:pPr>
      <w:r>
        <w:rPr>
          <w:rFonts w:hint="default" w:ascii="Times New Roman" w:hAnsi="Times New Roman" w:cs="Times New Roman"/>
          <w:color w:val="auto"/>
        </w:rPr>
        <w:t>如果在施工期间对车辆行驶的路面施行洒水抑尘，每天洒水4~5次，可使扬尘减少70%左右，表5.1-2为施工场地洒水抑尘的试验结果，结果表明实施每天洒水4~5次进行抑尘，可有效地控制施工扬尘将其污染距离缩小到20~50m范围内。</w:t>
      </w:r>
    </w:p>
    <w:p>
      <w:pPr>
        <w:spacing w:afterLines="30"/>
        <w:ind w:left="851"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表5.1-2                   施工场地洒水抑尘试验结果</w:t>
      </w:r>
    </w:p>
    <w:tbl>
      <w:tblPr>
        <w:tblStyle w:val="25"/>
        <w:tblW w:w="917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1529"/>
        <w:gridCol w:w="1530"/>
        <w:gridCol w:w="1529"/>
        <w:gridCol w:w="1529"/>
        <w:gridCol w:w="153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距离（m）</w:t>
            </w:r>
          </w:p>
        </w:tc>
        <w:tc>
          <w:tcPr>
            <w:tcW w:w="1529"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530"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529"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1529"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1530"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8"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TSP平均浓度（mg/m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529"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不洒水</w:t>
            </w:r>
          </w:p>
        </w:tc>
        <w:tc>
          <w:tcPr>
            <w:tcW w:w="1530"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10.14</w:t>
            </w:r>
          </w:p>
        </w:tc>
        <w:tc>
          <w:tcPr>
            <w:tcW w:w="1529"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2.89</w:t>
            </w:r>
          </w:p>
        </w:tc>
        <w:tc>
          <w:tcPr>
            <w:tcW w:w="1529"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1.15</w:t>
            </w:r>
          </w:p>
        </w:tc>
        <w:tc>
          <w:tcPr>
            <w:tcW w:w="1530"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8"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29"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洒水</w:t>
            </w:r>
          </w:p>
        </w:tc>
        <w:tc>
          <w:tcPr>
            <w:tcW w:w="1530"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w:t>
            </w:r>
          </w:p>
        </w:tc>
        <w:tc>
          <w:tcPr>
            <w:tcW w:w="1529"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w:t>
            </w:r>
          </w:p>
        </w:tc>
        <w:tc>
          <w:tcPr>
            <w:tcW w:w="1529"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0.67</w:t>
            </w:r>
          </w:p>
        </w:tc>
        <w:tc>
          <w:tcPr>
            <w:tcW w:w="1530"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0.60</w:t>
            </w:r>
          </w:p>
        </w:tc>
      </w:tr>
    </w:tbl>
    <w:p>
      <w:pPr>
        <w:ind w:firstLine="480"/>
        <w:rPr>
          <w:rFonts w:hint="default" w:ascii="Times New Roman" w:hAnsi="Times New Roman" w:cs="Times New Roman"/>
          <w:color w:val="auto"/>
        </w:rPr>
      </w:pPr>
      <w:r>
        <w:rPr>
          <w:rFonts w:hint="default" w:ascii="Times New Roman" w:hAnsi="Times New Roman" w:cs="Times New Roman"/>
          <w:color w:val="auto"/>
        </w:rPr>
        <w:t xml:space="preserve">因此，限速行驶及保持路面的清洁，同时适当洒水是减少汽车扬尘的有效措施。 </w:t>
      </w:r>
    </w:p>
    <w:p>
      <w:pPr>
        <w:ind w:firstLine="360" w:firstLineChars="150"/>
        <w:rPr>
          <w:rFonts w:hint="default" w:ascii="Times New Roman" w:hAnsi="Times New Roman" w:cs="Times New Roman"/>
          <w:color w:val="auto"/>
        </w:rPr>
      </w:pPr>
      <w:r>
        <w:rPr>
          <w:rFonts w:hint="default" w:ascii="Times New Roman" w:hAnsi="Times New Roman" w:cs="Times New Roman"/>
          <w:color w:val="auto"/>
        </w:rPr>
        <w:t>②风力扬尘：施工扬尘的另一种情况是露天堆场和裸露场地的风力扬尘，其扬尘量可参考秦皇岛码头采用的煤堆场起尘的经验公式计算：</w:t>
      </w:r>
    </w:p>
    <w:p>
      <w:pPr>
        <w:ind w:firstLine="2040" w:firstLineChars="850"/>
        <w:rPr>
          <w:rFonts w:hint="default" w:ascii="Times New Roman" w:hAnsi="Times New Roman" w:cs="Times New Roman"/>
          <w:color w:val="auto"/>
        </w:rPr>
      </w:pPr>
      <w:r>
        <w:rPr>
          <w:rFonts w:hint="default" w:ascii="Times New Roman" w:hAnsi="Times New Roman" w:cs="Times New Roman"/>
          <w:color w:val="auto"/>
        </w:rPr>
        <w:t>Q=2.1 k（V – V</w:t>
      </w:r>
      <w:r>
        <w:rPr>
          <w:rFonts w:hint="default" w:ascii="Times New Roman" w:hAnsi="Times New Roman" w:cs="Times New Roman"/>
          <w:color w:val="auto"/>
          <w:vertAlign w:val="subscript"/>
        </w:rPr>
        <w:t>0</w:t>
      </w:r>
      <w:r>
        <w:rPr>
          <w:rFonts w:hint="default" w:ascii="Times New Roman" w:hAnsi="Times New Roman" w:cs="Times New Roman"/>
          <w:color w:val="auto"/>
        </w:rPr>
        <w:t>）</w:t>
      </w:r>
      <w:r>
        <w:rPr>
          <w:rFonts w:hint="default" w:ascii="Times New Roman" w:hAnsi="Times New Roman" w:cs="Times New Roman"/>
          <w:color w:val="auto"/>
          <w:vertAlign w:val="superscript"/>
        </w:rPr>
        <w:t>3</w:t>
      </w:r>
      <w:r>
        <w:rPr>
          <w:rFonts w:hint="default" w:ascii="Times New Roman" w:hAnsi="Times New Roman" w:cs="Times New Roman"/>
          <w:color w:val="auto"/>
        </w:rPr>
        <w:t>e</w:t>
      </w:r>
      <w:r>
        <w:rPr>
          <w:rFonts w:hint="default" w:ascii="Times New Roman" w:hAnsi="Times New Roman" w:cs="Times New Roman"/>
          <w:color w:val="auto"/>
          <w:vertAlign w:val="superscript"/>
        </w:rPr>
        <w:t>-1.023W</w:t>
      </w:r>
      <w:r>
        <w:rPr>
          <w:rFonts w:hint="default" w:ascii="Times New Roman" w:hAnsi="Times New Roman" w:cs="Times New Roman"/>
          <w:color w:val="auto"/>
        </w:rPr>
        <w:t xml:space="preserve">                         </w:t>
      </w:r>
    </w:p>
    <w:p>
      <w:pPr>
        <w:ind w:firstLine="720" w:firstLineChars="300"/>
        <w:rPr>
          <w:rFonts w:hint="default" w:ascii="Times New Roman" w:hAnsi="Times New Roman" w:cs="Times New Roman"/>
          <w:color w:val="auto"/>
        </w:rPr>
      </w:pPr>
      <w:r>
        <w:rPr>
          <w:rFonts w:hint="default" w:ascii="Times New Roman" w:hAnsi="Times New Roman" w:cs="Times New Roman"/>
          <w:color w:val="auto"/>
        </w:rPr>
        <w:t>式中：Q ——起尘量，kg/吨·年；</w:t>
      </w:r>
    </w:p>
    <w:p>
      <w:pPr>
        <w:ind w:firstLine="1200" w:firstLineChars="500"/>
        <w:rPr>
          <w:rFonts w:hint="default" w:ascii="Times New Roman" w:hAnsi="Times New Roman" w:cs="Times New Roman"/>
          <w:color w:val="auto"/>
        </w:rPr>
      </w:pPr>
      <w:r>
        <w:rPr>
          <w:rFonts w:hint="default" w:ascii="Times New Roman" w:hAnsi="Times New Roman" w:cs="Times New Roman"/>
          <w:color w:val="auto"/>
        </w:rPr>
        <w:t xml:space="preserve">  k ——经验系数，是煤含水量的函数；</w:t>
      </w:r>
    </w:p>
    <w:p>
      <w:pPr>
        <w:ind w:firstLine="360" w:firstLineChars="150"/>
        <w:rPr>
          <w:rFonts w:hint="default" w:ascii="Times New Roman" w:hAnsi="Times New Roman" w:cs="Times New Roman"/>
          <w:color w:val="auto"/>
        </w:rPr>
      </w:pPr>
      <w:r>
        <w:rPr>
          <w:rFonts w:hint="default" w:ascii="Times New Roman" w:hAnsi="Times New Roman" w:cs="Times New Roman"/>
          <w:color w:val="auto"/>
        </w:rPr>
        <w:t xml:space="preserve">         V——煤场平均风速，m/s；</w:t>
      </w:r>
    </w:p>
    <w:p>
      <w:pPr>
        <w:ind w:firstLine="360" w:firstLineChars="150"/>
        <w:rPr>
          <w:rFonts w:hint="default" w:ascii="Times New Roman" w:hAnsi="Times New Roman" w:cs="Times New Roman"/>
          <w:color w:val="auto"/>
        </w:rPr>
      </w:pPr>
      <w:r>
        <w:rPr>
          <w:rFonts w:hint="default" w:ascii="Times New Roman" w:hAnsi="Times New Roman" w:cs="Times New Roman"/>
          <w:color w:val="auto"/>
        </w:rPr>
        <w:t xml:space="preserve">         V</w:t>
      </w:r>
      <w:r>
        <w:rPr>
          <w:rFonts w:hint="default" w:ascii="Times New Roman" w:hAnsi="Times New Roman" w:cs="Times New Roman"/>
          <w:color w:val="auto"/>
          <w:vertAlign w:val="subscript"/>
        </w:rPr>
        <w:t>0</w:t>
      </w:r>
      <w:r>
        <w:rPr>
          <w:rFonts w:hint="default" w:ascii="Times New Roman" w:hAnsi="Times New Roman" w:cs="Times New Roman"/>
          <w:color w:val="auto"/>
        </w:rPr>
        <w:t xml:space="preserve"> ——起尘风速，m/s；</w:t>
      </w:r>
    </w:p>
    <w:p>
      <w:pPr>
        <w:ind w:firstLine="360" w:firstLineChars="150"/>
        <w:rPr>
          <w:rFonts w:hint="default" w:ascii="Times New Roman" w:hAnsi="Times New Roman" w:cs="Times New Roman"/>
          <w:color w:val="auto"/>
        </w:rPr>
      </w:pPr>
      <w:r>
        <w:rPr>
          <w:rFonts w:hint="default" w:ascii="Times New Roman" w:hAnsi="Times New Roman" w:cs="Times New Roman"/>
          <w:color w:val="auto"/>
        </w:rPr>
        <w:t xml:space="preserve">         W ——尘粒含水率，%。</w:t>
      </w:r>
    </w:p>
    <w:p>
      <w:pPr>
        <w:ind w:firstLine="480"/>
        <w:rPr>
          <w:rFonts w:hint="default" w:ascii="Times New Roman" w:hAnsi="Times New Roman" w:cs="Times New Roman"/>
          <w:color w:val="auto"/>
        </w:rPr>
      </w:pPr>
      <w:r>
        <w:rPr>
          <w:rFonts w:hint="default" w:ascii="Times New Roman" w:hAnsi="Times New Roman" w:cs="Times New Roman"/>
          <w:color w:val="auto"/>
        </w:rPr>
        <w:t>由此可见，风力扬尘产生量与风速和尘粒含水率有关。因此，减少建材的露天堆放和保证一定的含水率等措施是抑制这类扬尘的有效手段。此外，尘粒在空气中的传播扩散情况与风速等气象条件有关外，也与尘粒本身的沉降速度有关。以沙尘土为例，其沉降速度随粒径的增大而迅速增大。当粒径为250μm时，沉降速度为1.005m/s，因此当尘粒大于250μm时，主要影响范围在扬尘点下风向近距离范围内。因此施工期间应特别注意施工扬尘的防治问题，须制定必要的防治措施，以减少施工扬尘对周围环境的影响。</w:t>
      </w:r>
    </w:p>
    <w:p>
      <w:pPr>
        <w:ind w:firstLine="480"/>
        <w:rPr>
          <w:rFonts w:hint="default" w:ascii="Times New Roman" w:hAnsi="Times New Roman" w:cs="Times New Roman"/>
          <w:color w:val="auto"/>
        </w:rPr>
      </w:pPr>
      <w:r>
        <w:rPr>
          <w:rFonts w:hint="default" w:ascii="Times New Roman" w:hAnsi="Times New Roman" w:cs="Times New Roman"/>
          <w:color w:val="auto"/>
        </w:rPr>
        <w:t>本项目位于农村地区，养殖区周围500m范围内无居民区、商业区等环境敏感点，因此项目在施工期间注意保持场区道路路面清洁、进出场区车辆控制车速、施工现场定时洒水、不在大风天气开挖、回填以及易产生粉尘的建筑材料尽量不漏天堆放等措施后，施工扬尘对周围环境影响不大。</w:t>
      </w:r>
    </w:p>
    <w:p>
      <w:pPr>
        <w:ind w:firstLine="480"/>
        <w:outlineLvl w:val="3"/>
        <w:rPr>
          <w:rFonts w:hint="default" w:ascii="Times New Roman" w:hAnsi="Times New Roman" w:cs="Times New Roman"/>
          <w:color w:val="auto"/>
        </w:rPr>
      </w:pPr>
      <w:r>
        <w:rPr>
          <w:rFonts w:hint="default" w:ascii="Times New Roman" w:hAnsi="Times New Roman" w:cs="Times New Roman"/>
          <w:color w:val="auto"/>
        </w:rPr>
        <w:t>5.1.1.2汽车尾气</w:t>
      </w:r>
    </w:p>
    <w:p>
      <w:pPr>
        <w:ind w:firstLine="480"/>
        <w:rPr>
          <w:rFonts w:hint="default" w:ascii="Times New Roman" w:hAnsi="Times New Roman" w:cs="Times New Roman"/>
          <w:color w:val="auto"/>
        </w:rPr>
      </w:pPr>
      <w:bookmarkStart w:id="517" w:name="_Toc311980416"/>
      <w:r>
        <w:rPr>
          <w:rFonts w:hint="default" w:ascii="Times New Roman" w:hAnsi="Times New Roman" w:cs="Times New Roman"/>
          <w:color w:val="auto"/>
        </w:rPr>
        <w:t>施工运输车辆一般是大型柴油车会产生的汽车尾气。废气污染物包括CO、NO</w:t>
      </w:r>
      <w:r>
        <w:rPr>
          <w:rFonts w:hint="default" w:ascii="Times New Roman" w:hAnsi="Times New Roman" w:cs="Times New Roman"/>
          <w:color w:val="auto"/>
          <w:vertAlign w:val="subscript"/>
        </w:rPr>
        <w:t>X</w:t>
      </w:r>
      <w:r>
        <w:rPr>
          <w:rFonts w:hint="default" w:ascii="Times New Roman" w:hAnsi="Times New Roman" w:cs="Times New Roman"/>
          <w:color w:val="auto"/>
        </w:rPr>
        <w:t>、PM</w:t>
      </w:r>
      <w:r>
        <w:rPr>
          <w:rFonts w:hint="default" w:ascii="Times New Roman" w:hAnsi="Times New Roman" w:cs="Times New Roman"/>
          <w:color w:val="auto"/>
          <w:vertAlign w:val="subscript"/>
        </w:rPr>
        <w:t>10</w:t>
      </w:r>
      <w:r>
        <w:rPr>
          <w:rFonts w:hint="default" w:ascii="Times New Roman" w:hAnsi="Times New Roman" w:cs="Times New Roman"/>
          <w:color w:val="auto"/>
        </w:rPr>
        <w:t>、THC。由于汽车运输属于间歇式操作，加上周围环境比较空旷，运输车辆尾气对周围环境影响不大。施工期间拟采取以下措施减少对汽车尾气对周围环境影响如下：</w:t>
      </w:r>
    </w:p>
    <w:p>
      <w:pPr>
        <w:ind w:firstLine="480"/>
        <w:rPr>
          <w:rFonts w:hint="default" w:ascii="Times New Roman" w:hAnsi="Times New Roman" w:cs="Times New Roman"/>
          <w:color w:val="auto"/>
        </w:rPr>
      </w:pPr>
      <w:r>
        <w:rPr>
          <w:rFonts w:hint="default" w:ascii="Times New Roman" w:hAnsi="Times New Roman" w:cs="Times New Roman"/>
          <w:color w:val="auto"/>
        </w:rPr>
        <w:t>施工时合理优化汽车运输路线，以减少车辆尾气对运输沿线环境敏感点的影响。</w:t>
      </w:r>
    </w:p>
    <w:p>
      <w:pPr>
        <w:ind w:firstLine="480"/>
        <w:rPr>
          <w:rFonts w:hint="default" w:ascii="Times New Roman" w:hAnsi="Times New Roman" w:cs="Times New Roman"/>
          <w:color w:val="auto"/>
        </w:rPr>
      </w:pPr>
      <w:r>
        <w:rPr>
          <w:rFonts w:hint="default" w:ascii="Times New Roman" w:hAnsi="Times New Roman" w:cs="Times New Roman"/>
          <w:color w:val="auto"/>
        </w:rPr>
        <w:t>施工场地内车辆为非连续行驶状态，定期对车辆进行维护，避免非正常工况下污染物突然排放，降低局部环境空气污染的可能性。</w:t>
      </w:r>
    </w:p>
    <w:p>
      <w:pPr>
        <w:ind w:firstLine="480"/>
        <w:rPr>
          <w:rFonts w:hint="default" w:ascii="Times New Roman" w:hAnsi="Times New Roman" w:cs="Times New Roman"/>
          <w:color w:val="auto"/>
        </w:rPr>
      </w:pPr>
      <w:r>
        <w:rPr>
          <w:rFonts w:hint="default" w:ascii="Times New Roman" w:hAnsi="Times New Roman" w:cs="Times New Roman"/>
          <w:color w:val="auto"/>
        </w:rPr>
        <w:t>因此，经优化运输路线后，可减轻汽车尾气对周边环境及沿途居民的影响。</w:t>
      </w:r>
    </w:p>
    <w:p>
      <w:pPr>
        <w:pStyle w:val="5"/>
        <w:rPr>
          <w:rFonts w:hint="default" w:ascii="Times New Roman" w:hAnsi="Times New Roman" w:cs="Times New Roman"/>
          <w:color w:val="auto"/>
        </w:rPr>
      </w:pPr>
      <w:r>
        <w:rPr>
          <w:rFonts w:hint="default" w:ascii="Times New Roman" w:hAnsi="Times New Roman" w:cs="Times New Roman"/>
          <w:color w:val="auto"/>
        </w:rPr>
        <w:t>5.1.2 施工期噪声环境影响分析</w:t>
      </w:r>
      <w:bookmarkEnd w:id="517"/>
    </w:p>
    <w:p>
      <w:pPr>
        <w:ind w:firstLine="480"/>
        <w:outlineLvl w:val="3"/>
        <w:rPr>
          <w:rFonts w:hint="default" w:ascii="Times New Roman" w:hAnsi="Times New Roman" w:cs="Times New Roman"/>
          <w:color w:val="auto"/>
        </w:rPr>
      </w:pPr>
      <w:r>
        <w:rPr>
          <w:rFonts w:hint="default" w:ascii="Times New Roman" w:hAnsi="Times New Roman" w:cs="Times New Roman"/>
          <w:color w:val="auto"/>
        </w:rPr>
        <w:t>5.1.2.1 施工期噪声种类及源强</w:t>
      </w:r>
    </w:p>
    <w:p>
      <w:pPr>
        <w:ind w:firstLine="600" w:firstLineChars="250"/>
        <w:rPr>
          <w:rFonts w:hint="default" w:ascii="Times New Roman" w:hAnsi="Times New Roman" w:cs="Times New Roman"/>
          <w:color w:val="auto"/>
        </w:rPr>
      </w:pPr>
      <w:r>
        <w:rPr>
          <w:rFonts w:hint="default" w:ascii="Times New Roman" w:hAnsi="Times New Roman" w:cs="Times New Roman"/>
          <w:color w:val="auto"/>
        </w:rPr>
        <w:t>施工期的噪声主要可分为机械噪声、施工作业噪声和施工车辆噪声。机械噪声主要由施工机械所造成，如挖土机、推土机、振捣棒等，多为点声源；施工作业噪声主要指一些零星的敲打声、装卸车辆的撞击声、吆喝声、拆装模板的撞击声等，多为瞬间噪声；施工车辆的噪声属于交通噪声。在这些施工噪声中对周围声环境影响最大的是机械噪声。主要施工机械的噪声源强见表5.1-3。</w:t>
      </w:r>
    </w:p>
    <w:p>
      <w:pPr>
        <w:spacing w:afterLines="30"/>
        <w:ind w:left="851"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 xml:space="preserve">表5.1-3                      主要施工机械设备的噪声声级  </w:t>
      </w:r>
    </w:p>
    <w:tbl>
      <w:tblPr>
        <w:tblStyle w:val="25"/>
        <w:tblW w:w="906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2125"/>
        <w:gridCol w:w="2387"/>
        <w:gridCol w:w="242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2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212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施工机械</w:t>
            </w:r>
          </w:p>
        </w:tc>
        <w:tc>
          <w:tcPr>
            <w:tcW w:w="2387"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测量声级dB(A)</w:t>
            </w:r>
          </w:p>
        </w:tc>
        <w:tc>
          <w:tcPr>
            <w:tcW w:w="242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测量距离（m）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2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12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挖土机</w:t>
            </w:r>
          </w:p>
        </w:tc>
        <w:tc>
          <w:tcPr>
            <w:tcW w:w="2387"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76</w:t>
            </w:r>
          </w:p>
        </w:tc>
        <w:tc>
          <w:tcPr>
            <w:tcW w:w="242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2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12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推土机</w:t>
            </w:r>
          </w:p>
        </w:tc>
        <w:tc>
          <w:tcPr>
            <w:tcW w:w="2387"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78</w:t>
            </w:r>
          </w:p>
        </w:tc>
        <w:tc>
          <w:tcPr>
            <w:tcW w:w="242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2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12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装卸机</w:t>
            </w:r>
          </w:p>
        </w:tc>
        <w:tc>
          <w:tcPr>
            <w:tcW w:w="2387"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82</w:t>
            </w:r>
          </w:p>
        </w:tc>
        <w:tc>
          <w:tcPr>
            <w:tcW w:w="242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2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212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混凝土振捣棒</w:t>
            </w:r>
          </w:p>
        </w:tc>
        <w:tc>
          <w:tcPr>
            <w:tcW w:w="2387"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72</w:t>
            </w:r>
          </w:p>
        </w:tc>
        <w:tc>
          <w:tcPr>
            <w:tcW w:w="242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2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212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切割机</w:t>
            </w:r>
          </w:p>
        </w:tc>
        <w:tc>
          <w:tcPr>
            <w:tcW w:w="2387"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w:t>
            </w:r>
          </w:p>
        </w:tc>
        <w:tc>
          <w:tcPr>
            <w:tcW w:w="242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r>
    </w:tbl>
    <w:p>
      <w:pPr>
        <w:spacing w:line="520" w:lineRule="exact"/>
        <w:ind w:firstLine="480"/>
        <w:rPr>
          <w:rFonts w:hint="default" w:ascii="Times New Roman" w:hAnsi="Times New Roman" w:cs="Times New Roman"/>
          <w:color w:val="auto"/>
        </w:rPr>
      </w:pPr>
      <w:r>
        <w:rPr>
          <w:rFonts w:hint="default" w:ascii="Times New Roman" w:hAnsi="Times New Roman" w:cs="Times New Roman"/>
          <w:color w:val="auto"/>
        </w:rPr>
        <w:t>根据类比监测资料，距主要施工机械不同距离的噪声值见表5.1-4。</w:t>
      </w:r>
    </w:p>
    <w:p>
      <w:pPr>
        <w:spacing w:afterLines="30" w:line="500" w:lineRule="exact"/>
        <w:ind w:left="851"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表5.1-4                  距声源不同距离处的噪声值    （dB(A)）</w:t>
      </w:r>
    </w:p>
    <w:tbl>
      <w:tblPr>
        <w:tblStyle w:val="25"/>
        <w:tblW w:w="906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868"/>
        <w:gridCol w:w="868"/>
        <w:gridCol w:w="866"/>
        <w:gridCol w:w="866"/>
        <w:gridCol w:w="866"/>
        <w:gridCol w:w="866"/>
        <w:gridCol w:w="866"/>
        <w:gridCol w:w="866"/>
        <w:gridCol w:w="8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blHeader/>
          <w:jc w:val="center"/>
        </w:trPr>
        <w:tc>
          <w:tcPr>
            <w:tcW w:w="126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设备名称</w:t>
            </w:r>
          </w:p>
        </w:tc>
        <w:tc>
          <w:tcPr>
            <w:tcW w:w="86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5m</w:t>
            </w:r>
          </w:p>
        </w:tc>
        <w:tc>
          <w:tcPr>
            <w:tcW w:w="86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10m</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20m</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40m</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50m</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100m</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150m</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200m</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300m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6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推土机</w:t>
            </w:r>
          </w:p>
        </w:tc>
        <w:tc>
          <w:tcPr>
            <w:tcW w:w="86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86</w:t>
            </w:r>
          </w:p>
        </w:tc>
        <w:tc>
          <w:tcPr>
            <w:tcW w:w="86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78</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71</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63</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61</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49</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6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装载机</w:t>
            </w:r>
          </w:p>
        </w:tc>
        <w:tc>
          <w:tcPr>
            <w:tcW w:w="86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w:t>
            </w:r>
          </w:p>
        </w:tc>
        <w:tc>
          <w:tcPr>
            <w:tcW w:w="86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82</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67</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49</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6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挖掘机</w:t>
            </w:r>
          </w:p>
        </w:tc>
        <w:tc>
          <w:tcPr>
            <w:tcW w:w="86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84</w:t>
            </w:r>
          </w:p>
        </w:tc>
        <w:tc>
          <w:tcPr>
            <w:tcW w:w="86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76</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61</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59</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51</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6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振捣棒</w:t>
            </w:r>
          </w:p>
        </w:tc>
        <w:tc>
          <w:tcPr>
            <w:tcW w:w="86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c>
          <w:tcPr>
            <w:tcW w:w="86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72</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57</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47</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39</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6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切割机</w:t>
            </w:r>
          </w:p>
        </w:tc>
        <w:tc>
          <w:tcPr>
            <w:tcW w:w="86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w:t>
            </w:r>
          </w:p>
        </w:tc>
        <w:tc>
          <w:tcPr>
            <w:tcW w:w="86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82</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67</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53</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49</w:t>
            </w:r>
          </w:p>
        </w:tc>
        <w:tc>
          <w:tcPr>
            <w:tcW w:w="8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w:t>
            </w:r>
          </w:p>
        </w:tc>
      </w:tr>
    </w:tbl>
    <w:p>
      <w:pPr>
        <w:ind w:firstLine="480"/>
        <w:outlineLvl w:val="3"/>
        <w:rPr>
          <w:rFonts w:hint="default" w:ascii="Times New Roman" w:hAnsi="Times New Roman" w:cs="Times New Roman"/>
          <w:color w:val="auto"/>
        </w:rPr>
      </w:pPr>
      <w:r>
        <w:rPr>
          <w:rFonts w:hint="default" w:ascii="Times New Roman" w:hAnsi="Times New Roman" w:cs="Times New Roman"/>
          <w:color w:val="auto"/>
        </w:rPr>
        <w:t>5.1.2.2施工期声环境影响分析</w:t>
      </w:r>
    </w:p>
    <w:p>
      <w:pPr>
        <w:ind w:firstLine="480"/>
        <w:rPr>
          <w:rFonts w:hint="default" w:ascii="Times New Roman" w:hAnsi="Times New Roman" w:cs="Times New Roman"/>
          <w:color w:val="auto"/>
        </w:rPr>
      </w:pPr>
      <w:r>
        <w:rPr>
          <w:rFonts w:hint="default" w:ascii="Times New Roman" w:hAnsi="Times New Roman" w:cs="Times New Roman"/>
          <w:color w:val="auto"/>
        </w:rPr>
        <w:t>项目施工期噪声执行《建筑施工场界环境噪声排放标准》（GB12523-2011），见表5.1-5。从表5.1-4中可看出，土石方施工阶段推土机、装载机、挖掘机、混凝土振捣棒、切割机昼间噪声超标的情况出现在距声源5m~20m范围内，夜间施工噪声超标情况出现在100m范围内。</w:t>
      </w:r>
    </w:p>
    <w:p>
      <w:pPr>
        <w:spacing w:afterLines="30"/>
        <w:ind w:left="851"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表5.1-5              建筑施工场界环境噪声排放限值    （dB(A)）</w:t>
      </w:r>
    </w:p>
    <w:tbl>
      <w:tblPr>
        <w:tblStyle w:val="25"/>
        <w:tblW w:w="917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42"/>
        <w:gridCol w:w="463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昼间</w:t>
            </w:r>
          </w:p>
        </w:tc>
        <w:tc>
          <w:tcPr>
            <w:tcW w:w="4633"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4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4633"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r>
    </w:tbl>
    <w:p>
      <w:pPr>
        <w:ind w:firstLine="480"/>
        <w:rPr>
          <w:rFonts w:hint="default" w:ascii="Times New Roman" w:hAnsi="Times New Roman" w:cs="Times New Roman"/>
          <w:color w:val="auto"/>
        </w:rPr>
      </w:pPr>
      <w:r>
        <w:rPr>
          <w:rFonts w:hint="default" w:ascii="Times New Roman" w:hAnsi="Times New Roman" w:cs="Times New Roman"/>
          <w:color w:val="auto"/>
        </w:rPr>
        <w:t>由表5.1-5可知，各施工机械噪声在经过距离衰减后150m外的噪声值均能达到《建筑施工场界环境噪声排放标准》（GB12523-2011）：昼间和夜间标准限值。因此项目施工期噪声对周围敏感点影响较小。距离本项目最近的环境敏感点位杨韩村（S，510m），因此施工机械产生的噪声对本项目影响不大。</w:t>
      </w:r>
    </w:p>
    <w:p>
      <w:pPr>
        <w:ind w:firstLine="480"/>
        <w:rPr>
          <w:rFonts w:hint="default" w:ascii="Times New Roman" w:hAnsi="Times New Roman" w:cs="Times New Roman"/>
          <w:color w:val="auto"/>
        </w:rPr>
      </w:pPr>
      <w:r>
        <w:rPr>
          <w:rFonts w:hint="default" w:ascii="Times New Roman" w:hAnsi="Times New Roman" w:cs="Times New Roman"/>
          <w:color w:val="auto"/>
        </w:rPr>
        <w:t>评价建议施工单位在施工作业期间内采取合理的施工方式，优先选用低噪声的施工设备，合理安排施工设备的位置。</w:t>
      </w:r>
    </w:p>
    <w:p>
      <w:pPr>
        <w:ind w:firstLine="480"/>
        <w:rPr>
          <w:rFonts w:hint="default" w:ascii="Times New Roman" w:hAnsi="Times New Roman" w:cs="Times New Roman"/>
          <w:color w:val="auto"/>
        </w:rPr>
      </w:pPr>
      <w:r>
        <w:rPr>
          <w:rFonts w:hint="default" w:ascii="Times New Roman" w:hAnsi="Times New Roman" w:cs="Times New Roman"/>
          <w:color w:val="auto"/>
        </w:rPr>
        <w:t xml:space="preserve">随着施工期的结束，项目施工过程中产生的机械噪声随之结束，因此施工过程中对区域声环境的影响是暂时的，对周围环境敏感点的影响很小。 </w:t>
      </w:r>
    </w:p>
    <w:p>
      <w:pPr>
        <w:pStyle w:val="5"/>
        <w:rPr>
          <w:rFonts w:hint="default" w:ascii="Times New Roman" w:hAnsi="Times New Roman" w:cs="Times New Roman"/>
          <w:color w:val="auto"/>
        </w:rPr>
      </w:pPr>
      <w:bookmarkStart w:id="518" w:name="_Toc311980418"/>
      <w:r>
        <w:rPr>
          <w:rFonts w:hint="default" w:ascii="Times New Roman" w:hAnsi="Times New Roman" w:cs="Times New Roman"/>
          <w:color w:val="auto"/>
        </w:rPr>
        <w:t>5.1.3 施工期废水环境影响分析</w:t>
      </w:r>
      <w:bookmarkEnd w:id="518"/>
    </w:p>
    <w:p>
      <w:pPr>
        <w:ind w:firstLine="480"/>
        <w:rPr>
          <w:rFonts w:hint="default" w:ascii="Times New Roman" w:hAnsi="Times New Roman" w:cs="Times New Roman"/>
          <w:color w:val="auto"/>
        </w:rPr>
      </w:pPr>
      <w:r>
        <w:rPr>
          <w:rFonts w:hint="default" w:ascii="Times New Roman" w:hAnsi="Times New Roman" w:cs="Times New Roman"/>
          <w:color w:val="auto"/>
        </w:rPr>
        <w:t>施工期废水主要为施工人员生活污水和少量建筑废水。生活污水主要包括粪便污水及洗漱污水等。建筑废水和洗漱污水等产生量小，用于地面洒水除尘，粪便污水用于周围农田施肥，不外排，对环境影响不大。</w:t>
      </w:r>
    </w:p>
    <w:p>
      <w:pPr>
        <w:pStyle w:val="5"/>
        <w:rPr>
          <w:rFonts w:hint="default" w:ascii="Times New Roman" w:hAnsi="Times New Roman" w:cs="Times New Roman"/>
          <w:color w:val="auto"/>
        </w:rPr>
      </w:pPr>
      <w:bookmarkStart w:id="519" w:name="_Toc311980419"/>
      <w:r>
        <w:rPr>
          <w:rFonts w:hint="default" w:ascii="Times New Roman" w:hAnsi="Times New Roman" w:cs="Times New Roman"/>
          <w:color w:val="auto"/>
        </w:rPr>
        <w:t>5.1.4 施工期固体废物环境影响分析</w:t>
      </w:r>
      <w:bookmarkEnd w:id="519"/>
    </w:p>
    <w:p>
      <w:pPr>
        <w:ind w:firstLine="480"/>
        <w:rPr>
          <w:rFonts w:hint="default" w:ascii="Times New Roman" w:hAnsi="Times New Roman" w:cs="Times New Roman"/>
          <w:color w:val="auto"/>
        </w:rPr>
      </w:pPr>
      <w:r>
        <w:rPr>
          <w:rFonts w:hint="default" w:ascii="Times New Roman" w:hAnsi="Times New Roman" w:cs="Times New Roman"/>
          <w:color w:val="auto"/>
        </w:rPr>
        <w:t>施工期固体废物主要是施工期间的建筑垃圾及施工人员产生的生活垃圾。</w:t>
      </w:r>
    </w:p>
    <w:p>
      <w:pPr>
        <w:ind w:firstLine="480"/>
        <w:rPr>
          <w:rFonts w:hint="default" w:ascii="Times New Roman" w:hAnsi="Times New Roman" w:cs="Times New Roman"/>
          <w:color w:val="auto"/>
        </w:rPr>
      </w:pPr>
      <w:r>
        <w:rPr>
          <w:rFonts w:hint="default" w:ascii="Times New Roman" w:hAnsi="Times New Roman" w:cs="Times New Roman"/>
          <w:bCs/>
          <w:color w:val="auto"/>
        </w:rPr>
        <w:t>施工期建筑垃圾用于场区回填，多余部分与</w:t>
      </w:r>
      <w:r>
        <w:rPr>
          <w:rFonts w:hint="default" w:ascii="Times New Roman" w:hAnsi="Times New Roman" w:cs="Times New Roman"/>
          <w:color w:val="auto"/>
        </w:rPr>
        <w:t>生活垃圾一起交由当地环保部门定时统一清运处理，以减少对区域生态环境及景观的影响。</w:t>
      </w:r>
    </w:p>
    <w:p>
      <w:pPr>
        <w:pStyle w:val="5"/>
        <w:rPr>
          <w:rFonts w:hint="default" w:ascii="Times New Roman" w:hAnsi="Times New Roman" w:cs="Times New Roman"/>
          <w:color w:val="auto"/>
        </w:rPr>
      </w:pPr>
      <w:bookmarkStart w:id="520" w:name="_Toc311980420"/>
      <w:r>
        <w:rPr>
          <w:rFonts w:hint="default" w:ascii="Times New Roman" w:hAnsi="Times New Roman" w:cs="Times New Roman"/>
          <w:color w:val="auto"/>
        </w:rPr>
        <w:t>5.1.5 施工期生态环境影响分析</w:t>
      </w:r>
      <w:bookmarkEnd w:id="520"/>
    </w:p>
    <w:p>
      <w:pPr>
        <w:ind w:firstLine="480"/>
        <w:rPr>
          <w:rFonts w:hint="default" w:ascii="Times New Roman" w:hAnsi="Times New Roman" w:cs="Times New Roman"/>
          <w:color w:val="auto"/>
        </w:rPr>
      </w:pPr>
      <w:r>
        <w:rPr>
          <w:rFonts w:hint="default" w:ascii="Times New Roman" w:hAnsi="Times New Roman" w:cs="Times New Roman"/>
          <w:color w:val="auto"/>
        </w:rPr>
        <w:t>该项目</w:t>
      </w:r>
      <w:r>
        <w:rPr>
          <w:rFonts w:hint="default" w:ascii="Times New Roman" w:hAnsi="Times New Roman" w:cs="Times New Roman"/>
          <w:bCs/>
          <w:color w:val="auto"/>
        </w:rPr>
        <w:t>场</w:t>
      </w:r>
      <w:r>
        <w:rPr>
          <w:rFonts w:hint="default" w:ascii="Times New Roman" w:hAnsi="Times New Roman" w:cs="Times New Roman"/>
          <w:color w:val="auto"/>
        </w:rPr>
        <w:t>址周围大部分是农田，地形平坦，植被以农作物为主，植被较单一，地面有裸露。项目建设对生态环境的影响主要表现为水土流失：</w:t>
      </w:r>
    </w:p>
    <w:p>
      <w:pPr>
        <w:ind w:firstLine="480"/>
        <w:rPr>
          <w:rFonts w:hint="default" w:ascii="Times New Roman" w:hAnsi="Times New Roman" w:cs="Times New Roman"/>
          <w:color w:val="auto"/>
        </w:rPr>
      </w:pPr>
      <w:r>
        <w:rPr>
          <w:rFonts w:hint="default" w:ascii="Times New Roman" w:hAnsi="Times New Roman" w:cs="Times New Roman"/>
          <w:color w:val="auto"/>
          <w:szCs w:val="21"/>
        </w:rPr>
        <w:t>①</w:t>
      </w:r>
      <w:r>
        <w:rPr>
          <w:rFonts w:hint="default" w:ascii="Times New Roman" w:hAnsi="Times New Roman" w:cs="Times New Roman"/>
          <w:color w:val="auto"/>
        </w:rPr>
        <w:t>开挖地表，使原有地表植被、土壤结构遭到破坏，造成地表裸露，表层土抗蚀能力减弱，加剧水土流失；</w:t>
      </w:r>
    </w:p>
    <w:p>
      <w:pPr>
        <w:ind w:firstLine="480"/>
        <w:rPr>
          <w:rFonts w:hint="default" w:ascii="Times New Roman" w:hAnsi="Times New Roman" w:cs="Times New Roman"/>
          <w:color w:val="auto"/>
        </w:rPr>
      </w:pPr>
      <w:r>
        <w:rPr>
          <w:rFonts w:hint="default" w:ascii="Times New Roman" w:hAnsi="Times New Roman" w:cs="Times New Roman"/>
          <w:color w:val="auto"/>
        </w:rPr>
        <w:t>②土石方因受地形和运输条件限制，不能及时运走时在场地内堆放，由于结构疏松，空隙度增大，易产生水土流失；</w:t>
      </w:r>
    </w:p>
    <w:p>
      <w:pPr>
        <w:ind w:firstLine="480"/>
        <w:rPr>
          <w:rFonts w:hint="default" w:ascii="Times New Roman" w:hAnsi="Times New Roman" w:cs="Times New Roman"/>
          <w:color w:val="auto"/>
        </w:rPr>
      </w:pPr>
      <w:r>
        <w:rPr>
          <w:rFonts w:hint="default" w:ascii="Times New Roman" w:hAnsi="Times New Roman" w:cs="Times New Roman"/>
          <w:color w:val="auto"/>
        </w:rPr>
        <w:t>为有效防止水土流失，环评建议采取以下防治措施：</w:t>
      </w:r>
    </w:p>
    <w:p>
      <w:pPr>
        <w:ind w:firstLine="480"/>
        <w:rPr>
          <w:rFonts w:hint="default" w:ascii="Times New Roman" w:hAnsi="Times New Roman" w:cs="Times New Roman"/>
          <w:color w:val="auto"/>
        </w:rPr>
      </w:pPr>
      <w:r>
        <w:rPr>
          <w:rFonts w:hint="default" w:ascii="Times New Roman" w:hAnsi="Times New Roman" w:cs="Times New Roman"/>
          <w:color w:val="auto"/>
        </w:rPr>
        <w:t>①根据需要增设必要的临时雨水排水沟道，夯实裸露地面，尽量减缓雨水对泥土的冲刷。</w:t>
      </w:r>
    </w:p>
    <w:p>
      <w:pPr>
        <w:ind w:firstLine="480"/>
        <w:rPr>
          <w:rFonts w:hint="default" w:ascii="Times New Roman" w:hAnsi="Times New Roman" w:cs="Times New Roman"/>
          <w:color w:val="auto"/>
        </w:rPr>
      </w:pPr>
      <w:r>
        <w:rPr>
          <w:rFonts w:hint="default" w:ascii="Times New Roman" w:hAnsi="Times New Roman" w:cs="Times New Roman"/>
          <w:color w:val="auto"/>
        </w:rPr>
        <w:t>②弃土和施工废料及时清运。</w:t>
      </w:r>
    </w:p>
    <w:p>
      <w:pPr>
        <w:ind w:firstLine="480"/>
        <w:rPr>
          <w:rFonts w:hint="default" w:ascii="Times New Roman" w:hAnsi="Times New Roman" w:cs="Times New Roman"/>
          <w:color w:val="auto"/>
        </w:rPr>
      </w:pPr>
      <w:r>
        <w:rPr>
          <w:rFonts w:hint="default" w:ascii="Times New Roman" w:hAnsi="Times New Roman" w:cs="Times New Roman"/>
          <w:color w:val="auto"/>
        </w:rPr>
        <w:t>③施工完成后及时进行路面硬化和绿化，搞好植被的恢复、再造，做到边坡稳定，岩石、表土不裸露。</w:t>
      </w:r>
    </w:p>
    <w:p>
      <w:pPr>
        <w:ind w:firstLine="480"/>
        <w:rPr>
          <w:rFonts w:hint="default" w:ascii="Times New Roman" w:hAnsi="Times New Roman" w:cs="Times New Roman"/>
          <w:color w:val="auto"/>
        </w:rPr>
      </w:pPr>
      <w:r>
        <w:rPr>
          <w:rFonts w:hint="default" w:ascii="Times New Roman" w:hAnsi="Times New Roman" w:cs="Times New Roman"/>
          <w:color w:val="auto"/>
        </w:rPr>
        <w:t xml:space="preserve">④控制施工作业时间，尽量避免在暴雨季节进行大规模的土石方开挖工作。 </w:t>
      </w:r>
    </w:p>
    <w:p>
      <w:pPr>
        <w:ind w:firstLine="480"/>
        <w:rPr>
          <w:rFonts w:hint="default" w:ascii="Times New Roman" w:hAnsi="Times New Roman" w:cs="Times New Roman"/>
          <w:color w:val="auto"/>
        </w:rPr>
      </w:pPr>
      <w:r>
        <w:rPr>
          <w:rFonts w:hint="default" w:ascii="Times New Roman" w:hAnsi="Times New Roman" w:cs="Times New Roman"/>
          <w:color w:val="auto"/>
        </w:rPr>
        <w:t>一般来说，施工期间对环境的影响是暂时的，加强施工管理，采取环评提出的措施后，施工结束后受影响的环境要素大多可得到恢复。</w:t>
      </w:r>
    </w:p>
    <w:p>
      <w:pPr>
        <w:pStyle w:val="31"/>
        <w:spacing w:line="360" w:lineRule="auto"/>
        <w:jc w:val="both"/>
        <w:rPr>
          <w:rFonts w:hint="default" w:ascii="Times New Roman" w:hAnsi="Times New Roman" w:eastAsia="黑体" w:cs="Times New Roman"/>
          <w:color w:val="auto"/>
        </w:rPr>
      </w:pPr>
      <w:bookmarkStart w:id="521" w:name="_Toc488933418"/>
      <w:bookmarkStart w:id="522" w:name="_Toc31203"/>
      <w:bookmarkStart w:id="523" w:name="_Toc485580298"/>
      <w:bookmarkStart w:id="524" w:name="_Toc8828"/>
      <w:r>
        <w:rPr>
          <w:rFonts w:hint="default" w:ascii="Times New Roman" w:hAnsi="Times New Roman" w:eastAsia="黑体" w:cs="Times New Roman"/>
          <w:color w:val="auto"/>
        </w:rPr>
        <w:t>5.2</w:t>
      </w:r>
      <w:bookmarkEnd w:id="486"/>
      <w:bookmarkEnd w:id="494"/>
      <w:bookmarkEnd w:id="495"/>
      <w:bookmarkEnd w:id="496"/>
      <w:bookmarkEnd w:id="497"/>
      <w:bookmarkEnd w:id="498"/>
      <w:bookmarkEnd w:id="499"/>
      <w:bookmarkEnd w:id="500"/>
      <w:bookmarkEnd w:id="501"/>
      <w:r>
        <w:rPr>
          <w:rFonts w:hint="default" w:ascii="Times New Roman" w:hAnsi="Times New Roman" w:eastAsia="黑体" w:cs="Times New Roman"/>
          <w:color w:val="auto"/>
        </w:rPr>
        <w:t>营运期环境影响分析</w:t>
      </w:r>
      <w:bookmarkEnd w:id="521"/>
      <w:bookmarkEnd w:id="522"/>
      <w:bookmarkEnd w:id="523"/>
      <w:bookmarkEnd w:id="524"/>
    </w:p>
    <w:p>
      <w:pPr>
        <w:pStyle w:val="5"/>
        <w:rPr>
          <w:rFonts w:hint="default" w:ascii="Times New Roman" w:hAnsi="Times New Roman" w:cs="Times New Roman"/>
          <w:color w:val="auto"/>
          <w:kern w:val="44"/>
        </w:rPr>
      </w:pPr>
      <w:r>
        <w:rPr>
          <w:rFonts w:hint="default" w:ascii="Times New Roman" w:hAnsi="Times New Roman" w:cs="Times New Roman"/>
          <w:color w:val="auto"/>
          <w:kern w:val="44"/>
        </w:rPr>
        <w:t>5.2.1环境空气质量影响预测与评价</w:t>
      </w:r>
    </w:p>
    <w:p>
      <w:pPr>
        <w:ind w:firstLine="480"/>
        <w:rPr>
          <w:rFonts w:hint="default" w:ascii="Times New Roman" w:hAnsi="Times New Roman" w:cs="Times New Roman"/>
          <w:color w:val="auto"/>
          <w:szCs w:val="32"/>
        </w:rPr>
      </w:pPr>
      <w:bookmarkStart w:id="525" w:name="_Toc256177401"/>
      <w:r>
        <w:rPr>
          <w:rFonts w:hint="default" w:ascii="Times New Roman" w:hAnsi="Times New Roman" w:cs="Times New Roman"/>
          <w:color w:val="auto"/>
          <w:szCs w:val="32"/>
        </w:rPr>
        <w:t>5.2.1.1气象资料</w:t>
      </w:r>
    </w:p>
    <w:p>
      <w:pPr>
        <w:ind w:firstLine="480"/>
        <w:rPr>
          <w:rFonts w:hint="default" w:ascii="Times New Roman" w:hAnsi="Times New Roman" w:cs="Times New Roman"/>
          <w:color w:val="auto"/>
        </w:rPr>
      </w:pPr>
      <w:r>
        <w:rPr>
          <w:rFonts w:hint="default" w:ascii="Times New Roman" w:hAnsi="Times New Roman" w:cs="Times New Roman"/>
          <w:color w:val="auto"/>
        </w:rPr>
        <w:t>清丰县气象监测站位于东经115°07'，北纬35°54'。根据该气象站近30年历史气象资料统计结果表明，该地年平均气温13.3℃，1月份气温最低，平均值为-1.9℃；7月份平均气温最高，为26.8℃。极端最高气温42.1℃，极端最低气温-20.2℃；年平均无霜期为215天，年平均日照时数2497.8h。年平均气压1011.0hPa，12月～1月平均气压最高1021.7hPa，7月平均气压最低997.8hPa。</w:t>
      </w:r>
    </w:p>
    <w:p>
      <w:pPr>
        <w:ind w:firstLine="480"/>
        <w:rPr>
          <w:rFonts w:hint="default" w:ascii="Times New Roman" w:hAnsi="Times New Roman" w:cs="Times New Roman"/>
          <w:color w:val="auto"/>
        </w:rPr>
      </w:pPr>
      <w:r>
        <w:rPr>
          <w:rFonts w:hint="default" w:ascii="Times New Roman" w:hAnsi="Times New Roman" w:cs="Times New Roman"/>
          <w:color w:val="auto"/>
        </w:rPr>
        <w:t>清丰县平均年降水量562.6mm，属全省降水量偏少的地区之一。较少的降水量在全年内分布还很不均匀，主要集中在6～8月，该时期降水量占全年降水量的63.2％，其中7～8月降水量为282.0mm，占全年降水量的50.1％，表明降水量最为集中的时期在7～8月。年蒸发量1520.6mm，为年降水量的2.7倍。降水量少、蒸发量大，是该地常常发生干旱的主要原因。</w:t>
      </w:r>
    </w:p>
    <w:p>
      <w:pPr>
        <w:pStyle w:val="13"/>
        <w:spacing w:line="500" w:lineRule="exact"/>
        <w:ind w:firstLine="413" w:firstLineChars="196"/>
        <w:jc w:val="center"/>
        <w:rPr>
          <w:rFonts w:hint="default" w:ascii="Times New Roman" w:hAnsi="Times New Roman" w:cs="Times New Roman"/>
          <w:b/>
          <w:color w:val="auto"/>
          <w:sz w:val="21"/>
          <w:szCs w:val="21"/>
        </w:rPr>
      </w:pPr>
    </w:p>
    <w:p>
      <w:pPr>
        <w:pStyle w:val="13"/>
        <w:spacing w:line="500" w:lineRule="exact"/>
        <w:ind w:firstLine="472" w:firstLineChars="196"/>
        <w:jc w:val="center"/>
        <w:rPr>
          <w:rFonts w:hint="default" w:ascii="Times New Roman" w:hAnsi="Times New Roman" w:eastAsia="黑体" w:cs="Times New Roman"/>
          <w:bCs/>
          <w:color w:val="auto"/>
          <w:szCs w:val="24"/>
        </w:rPr>
      </w:pPr>
      <w:r>
        <w:rPr>
          <w:rFonts w:hint="default" w:ascii="Times New Roman" w:hAnsi="Times New Roman" w:cs="Times New Roman"/>
          <w:b/>
          <w:color w:val="auto"/>
          <w:szCs w:val="24"/>
        </w:rPr>
        <w:t>表5.2-1  清丰县近30年气象参数统计一览表</w:t>
      </w:r>
    </w:p>
    <w:tbl>
      <w:tblPr>
        <w:tblStyle w:val="25"/>
        <w:tblW w:w="927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4"/>
        <w:gridCol w:w="638"/>
        <w:gridCol w:w="636"/>
        <w:gridCol w:w="635"/>
        <w:gridCol w:w="640"/>
        <w:gridCol w:w="639"/>
        <w:gridCol w:w="640"/>
        <w:gridCol w:w="639"/>
        <w:gridCol w:w="639"/>
        <w:gridCol w:w="640"/>
        <w:gridCol w:w="639"/>
        <w:gridCol w:w="636"/>
        <w:gridCol w:w="626"/>
        <w:gridCol w:w="63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994"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月份</w:t>
            </w:r>
          </w:p>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w:t>
            </w:r>
          </w:p>
        </w:tc>
        <w:tc>
          <w:tcPr>
            <w:tcW w:w="63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1月</w:t>
            </w:r>
          </w:p>
        </w:tc>
        <w:tc>
          <w:tcPr>
            <w:tcW w:w="636"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2月</w:t>
            </w:r>
          </w:p>
        </w:tc>
        <w:tc>
          <w:tcPr>
            <w:tcW w:w="63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3月</w:t>
            </w:r>
          </w:p>
        </w:tc>
        <w:tc>
          <w:tcPr>
            <w:tcW w:w="640"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4月</w:t>
            </w:r>
          </w:p>
        </w:tc>
        <w:tc>
          <w:tcPr>
            <w:tcW w:w="639"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5月</w:t>
            </w:r>
          </w:p>
        </w:tc>
        <w:tc>
          <w:tcPr>
            <w:tcW w:w="640"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6月</w:t>
            </w:r>
          </w:p>
        </w:tc>
        <w:tc>
          <w:tcPr>
            <w:tcW w:w="639"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7月</w:t>
            </w:r>
          </w:p>
        </w:tc>
        <w:tc>
          <w:tcPr>
            <w:tcW w:w="639"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8月</w:t>
            </w:r>
          </w:p>
        </w:tc>
        <w:tc>
          <w:tcPr>
            <w:tcW w:w="640"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9月</w:t>
            </w:r>
          </w:p>
        </w:tc>
        <w:tc>
          <w:tcPr>
            <w:tcW w:w="639"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10月</w:t>
            </w:r>
          </w:p>
        </w:tc>
        <w:tc>
          <w:tcPr>
            <w:tcW w:w="636"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11月</w:t>
            </w:r>
          </w:p>
        </w:tc>
        <w:tc>
          <w:tcPr>
            <w:tcW w:w="626"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12月</w:t>
            </w:r>
          </w:p>
        </w:tc>
        <w:tc>
          <w:tcPr>
            <w:tcW w:w="632"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全年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平均温度</w:t>
            </w:r>
          </w:p>
        </w:tc>
        <w:tc>
          <w:tcPr>
            <w:tcW w:w="63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-1.79</w:t>
            </w:r>
          </w:p>
        </w:tc>
        <w:tc>
          <w:tcPr>
            <w:tcW w:w="636"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1.07</w:t>
            </w:r>
          </w:p>
        </w:tc>
        <w:tc>
          <w:tcPr>
            <w:tcW w:w="63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8.5</w:t>
            </w:r>
          </w:p>
        </w:tc>
        <w:tc>
          <w:tcPr>
            <w:tcW w:w="640"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13.34</w:t>
            </w:r>
          </w:p>
        </w:tc>
        <w:tc>
          <w:tcPr>
            <w:tcW w:w="639"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19.71</w:t>
            </w:r>
          </w:p>
        </w:tc>
        <w:tc>
          <w:tcPr>
            <w:tcW w:w="640"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24.44</w:t>
            </w:r>
          </w:p>
        </w:tc>
        <w:tc>
          <w:tcPr>
            <w:tcW w:w="639"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25.78</w:t>
            </w:r>
          </w:p>
        </w:tc>
        <w:tc>
          <w:tcPr>
            <w:tcW w:w="639"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25.45</w:t>
            </w:r>
          </w:p>
        </w:tc>
        <w:tc>
          <w:tcPr>
            <w:tcW w:w="640"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20.78</w:t>
            </w:r>
          </w:p>
        </w:tc>
        <w:tc>
          <w:tcPr>
            <w:tcW w:w="639"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14.22</w:t>
            </w:r>
          </w:p>
        </w:tc>
        <w:tc>
          <w:tcPr>
            <w:tcW w:w="636"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7.36</w:t>
            </w:r>
          </w:p>
        </w:tc>
        <w:tc>
          <w:tcPr>
            <w:tcW w:w="626"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0.89</w:t>
            </w:r>
          </w:p>
        </w:tc>
        <w:tc>
          <w:tcPr>
            <w:tcW w:w="63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4"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平均风速</w:t>
            </w:r>
          </w:p>
        </w:tc>
        <w:tc>
          <w:tcPr>
            <w:tcW w:w="63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w:t>
            </w:r>
          </w:p>
        </w:tc>
        <w:tc>
          <w:tcPr>
            <w:tcW w:w="636"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w:t>
            </w:r>
          </w:p>
        </w:tc>
        <w:tc>
          <w:tcPr>
            <w:tcW w:w="63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w:t>
            </w:r>
          </w:p>
        </w:tc>
        <w:tc>
          <w:tcPr>
            <w:tcW w:w="640"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c>
          <w:tcPr>
            <w:tcW w:w="639"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640"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639"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639"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640"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639"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w:t>
            </w:r>
          </w:p>
        </w:tc>
        <w:tc>
          <w:tcPr>
            <w:tcW w:w="636"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w:t>
            </w:r>
          </w:p>
        </w:tc>
        <w:tc>
          <w:tcPr>
            <w:tcW w:w="626"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w:t>
            </w:r>
          </w:p>
        </w:tc>
        <w:tc>
          <w:tcPr>
            <w:tcW w:w="63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w:t>
            </w:r>
          </w:p>
        </w:tc>
      </w:tr>
    </w:tbl>
    <w:p>
      <w:pPr>
        <w:spacing w:line="500" w:lineRule="exact"/>
        <w:ind w:firstLine="480"/>
        <w:rPr>
          <w:rFonts w:hint="default" w:ascii="Times New Roman" w:hAnsi="Times New Roman" w:cs="Times New Roman"/>
          <w:color w:val="auto"/>
        </w:rPr>
      </w:pPr>
      <w:r>
        <w:rPr>
          <w:rFonts w:hint="default" w:ascii="Times New Roman" w:hAnsi="Times New Roman" w:cs="Times New Roman"/>
          <w:color w:val="auto"/>
        </w:rPr>
        <w:t>温度</w:t>
      </w:r>
    </w:p>
    <w:p>
      <w:pPr>
        <w:spacing w:line="480" w:lineRule="exact"/>
        <w:ind w:firstLine="480"/>
        <w:rPr>
          <w:rFonts w:hint="default" w:ascii="Times New Roman" w:hAnsi="Times New Roman" w:cs="Times New Roman"/>
          <w:color w:val="auto"/>
        </w:rPr>
      </w:pPr>
      <w:r>
        <w:rPr>
          <w:rFonts w:hint="default" w:ascii="Times New Roman" w:hAnsi="Times New Roman" w:cs="Times New Roman"/>
          <w:color w:val="auto"/>
        </w:rPr>
        <w:t>根据清丰县气象站2015年逐日逐时地面气象资料进行温度的统计，年平均温度月变化曲线图见图5-1。</w:t>
      </w:r>
    </w:p>
    <w:p>
      <w:pPr>
        <w:spacing w:line="480" w:lineRule="exact"/>
        <w:ind w:firstLine="480"/>
        <w:rPr>
          <w:rFonts w:hint="default" w:ascii="Times New Roman" w:hAnsi="Times New Roman" w:cs="Times New Roman"/>
          <w:color w:val="auto"/>
        </w:rPr>
      </w:pPr>
      <w:r>
        <w:rPr>
          <w:rFonts w:hint="default" w:ascii="Times New Roman" w:hAnsi="Times New Roman" w:cs="Times New Roman"/>
          <w:color w:val="auto"/>
        </w:rPr>
        <w:drawing>
          <wp:anchor distT="0" distB="0" distL="114300" distR="114300" simplePos="0" relativeHeight="251784192" behindDoc="0" locked="0" layoutInCell="1" allowOverlap="1">
            <wp:simplePos x="0" y="0"/>
            <wp:positionH relativeFrom="column">
              <wp:posOffset>692785</wp:posOffset>
            </wp:positionH>
            <wp:positionV relativeFrom="paragraph">
              <wp:posOffset>64770</wp:posOffset>
            </wp:positionV>
            <wp:extent cx="4476750" cy="1570355"/>
            <wp:effectExtent l="0" t="0" r="0" b="10795"/>
            <wp:wrapNone/>
            <wp:docPr id="40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3"/>
                    <pic:cNvPicPr>
                      <a:picLocks noChangeAspect="1"/>
                    </pic:cNvPicPr>
                  </pic:nvPicPr>
                  <pic:blipFill>
                    <a:blip r:embed="rId46" cstate="print"/>
                    <a:stretch>
                      <a:fillRect/>
                    </a:stretch>
                  </pic:blipFill>
                  <pic:spPr>
                    <a:xfrm>
                      <a:off x="0" y="0"/>
                      <a:ext cx="4476750" cy="1570355"/>
                    </a:xfrm>
                    <a:prstGeom prst="rect">
                      <a:avLst/>
                    </a:prstGeom>
                    <a:noFill/>
                    <a:ln>
                      <a:noFill/>
                    </a:ln>
                  </pic:spPr>
                </pic:pic>
              </a:graphicData>
            </a:graphic>
          </wp:anchor>
        </w:drawing>
      </w:r>
    </w:p>
    <w:p>
      <w:pPr>
        <w:ind w:firstLine="422"/>
        <w:jc w:val="center"/>
        <w:rPr>
          <w:rFonts w:hint="default" w:ascii="Times New Roman" w:hAnsi="Times New Roman" w:cs="Times New Roman"/>
          <w:b/>
          <w:bCs/>
          <w:color w:val="auto"/>
          <w:sz w:val="21"/>
          <w:szCs w:val="21"/>
        </w:rPr>
      </w:pPr>
    </w:p>
    <w:p>
      <w:pPr>
        <w:ind w:firstLine="422"/>
        <w:jc w:val="center"/>
        <w:rPr>
          <w:rFonts w:hint="default" w:ascii="Times New Roman" w:hAnsi="Times New Roman" w:cs="Times New Roman"/>
          <w:b/>
          <w:bCs/>
          <w:color w:val="auto"/>
          <w:sz w:val="21"/>
          <w:szCs w:val="21"/>
        </w:rPr>
      </w:pPr>
    </w:p>
    <w:p>
      <w:pPr>
        <w:ind w:firstLine="422"/>
        <w:jc w:val="center"/>
        <w:rPr>
          <w:rFonts w:hint="default" w:ascii="Times New Roman" w:hAnsi="Times New Roman" w:cs="Times New Roman"/>
          <w:b/>
          <w:bCs/>
          <w:color w:val="auto"/>
          <w:sz w:val="21"/>
          <w:szCs w:val="21"/>
        </w:rPr>
      </w:pPr>
    </w:p>
    <w:p>
      <w:pPr>
        <w:ind w:firstLine="422"/>
        <w:jc w:val="center"/>
        <w:rPr>
          <w:rFonts w:hint="default" w:ascii="Times New Roman" w:hAnsi="Times New Roman" w:cs="Times New Roman"/>
          <w:b/>
          <w:bCs/>
          <w:color w:val="auto"/>
          <w:sz w:val="21"/>
          <w:szCs w:val="21"/>
        </w:rPr>
      </w:pPr>
    </w:p>
    <w:p>
      <w:pPr>
        <w:ind w:firstLine="422"/>
        <w:jc w:val="center"/>
        <w:rPr>
          <w:rFonts w:hint="default" w:ascii="Times New Roman" w:hAnsi="Times New Roman" w:cs="Times New Roman"/>
          <w:b/>
          <w:bCs/>
          <w:color w:val="auto"/>
          <w:sz w:val="21"/>
          <w:szCs w:val="21"/>
        </w:rPr>
      </w:pPr>
    </w:p>
    <w:p>
      <w:pPr>
        <w:ind w:firstLine="422"/>
        <w:jc w:val="center"/>
        <w:rPr>
          <w:rFonts w:hint="default" w:ascii="Times New Roman" w:hAnsi="Times New Roman" w:cs="Times New Roman"/>
          <w:b/>
          <w:bCs/>
          <w:color w:val="auto"/>
          <w:sz w:val="21"/>
          <w:szCs w:val="21"/>
        </w:rPr>
      </w:pPr>
    </w:p>
    <w:p>
      <w:pPr>
        <w:ind w:firstLine="422"/>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图5-1     年平均温度月变化曲线图</w:t>
      </w:r>
    </w:p>
    <w:p>
      <w:pPr>
        <w:spacing w:line="480" w:lineRule="exact"/>
        <w:ind w:firstLine="480"/>
        <w:rPr>
          <w:rFonts w:hint="default" w:ascii="Times New Roman" w:hAnsi="Times New Roman" w:cs="Times New Roman"/>
          <w:color w:val="auto"/>
        </w:rPr>
      </w:pPr>
      <w:r>
        <w:rPr>
          <w:rFonts w:hint="default" w:ascii="Times New Roman" w:hAnsi="Times New Roman" w:cs="Times New Roman"/>
          <w:color w:val="auto"/>
        </w:rPr>
        <w:t>地面风向频率</w:t>
      </w:r>
    </w:p>
    <w:p>
      <w:pPr>
        <w:spacing w:line="480" w:lineRule="exact"/>
        <w:ind w:firstLine="480"/>
        <w:rPr>
          <w:rFonts w:hint="default" w:ascii="Times New Roman" w:hAnsi="Times New Roman" w:cs="Times New Roman"/>
          <w:color w:val="auto"/>
        </w:rPr>
      </w:pPr>
      <w:r>
        <w:rPr>
          <w:rFonts w:hint="default" w:ascii="Times New Roman" w:hAnsi="Times New Roman" w:cs="Times New Roman"/>
          <w:color w:val="auto"/>
        </w:rPr>
        <w:t>根据清丰县气象观测站2015年地面气象观测资料统计，该地各月、各季风向频率及年均风频见表4-2。全年及各季节风向频率玫瑰图见图5-2。</w:t>
      </w:r>
    </w:p>
    <w:p>
      <w:pPr>
        <w:pStyle w:val="13"/>
        <w:spacing w:line="500" w:lineRule="exact"/>
        <w:ind w:firstLine="472" w:firstLineChars="196"/>
        <w:jc w:val="center"/>
        <w:rPr>
          <w:rFonts w:hint="default" w:ascii="Times New Roman" w:hAnsi="Times New Roman" w:cs="Times New Roman"/>
          <w:b/>
          <w:color w:val="auto"/>
          <w:szCs w:val="24"/>
        </w:rPr>
      </w:pPr>
      <w:bookmarkStart w:id="526" w:name="_Toc215279683"/>
      <w:bookmarkStart w:id="527" w:name="_Toc203318154"/>
      <w:r>
        <w:rPr>
          <w:rFonts w:hint="default" w:ascii="Times New Roman" w:hAnsi="Times New Roman" w:cs="Times New Roman"/>
          <w:b/>
          <w:color w:val="auto"/>
          <w:szCs w:val="24"/>
        </w:rPr>
        <w:t>表5.2-2    各月、各季风向频率变化及年均风频（%）</w:t>
      </w:r>
      <w:bookmarkEnd w:id="526"/>
      <w:bookmarkEnd w:id="527"/>
    </w:p>
    <w:tbl>
      <w:tblPr>
        <w:tblStyle w:val="25"/>
        <w:tblW w:w="9453" w:type="dxa"/>
        <w:jc w:val="center"/>
        <w:tblBorders>
          <w:top w:val="single" w:color="auto" w:sz="2" w:space="0"/>
          <w:left w:val="none" w:color="auto" w:sz="0" w:space="0"/>
          <w:bottom w:val="single" w:color="auto" w:sz="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98"/>
        <w:gridCol w:w="515"/>
        <w:gridCol w:w="515"/>
        <w:gridCol w:w="515"/>
        <w:gridCol w:w="515"/>
        <w:gridCol w:w="515"/>
        <w:gridCol w:w="515"/>
        <w:gridCol w:w="515"/>
        <w:gridCol w:w="515"/>
        <w:gridCol w:w="515"/>
        <w:gridCol w:w="515"/>
        <w:gridCol w:w="515"/>
        <w:gridCol w:w="590"/>
        <w:gridCol w:w="440"/>
        <w:gridCol w:w="568"/>
        <w:gridCol w:w="462"/>
        <w:gridCol w:w="588"/>
        <w:gridCol w:w="442"/>
      </w:tblGrid>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8" w:hRule="atLeast"/>
          <w:jc w:val="center"/>
        </w:trPr>
        <w:tc>
          <w:tcPr>
            <w:tcW w:w="69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N</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NNE</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NE</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ENE</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E</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ESE</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SE</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SSE</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S</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SSW</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SW</w:t>
            </w:r>
          </w:p>
        </w:tc>
        <w:tc>
          <w:tcPr>
            <w:tcW w:w="590" w:type="dxa"/>
            <w:tcBorders>
              <w:tl2br w:val="nil"/>
              <w:tr2bl w:val="nil"/>
            </w:tcBorders>
            <w:tcMar>
              <w:left w:w="0" w:type="dxa"/>
              <w:right w:w="0"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WSW</w:t>
            </w:r>
          </w:p>
        </w:tc>
        <w:tc>
          <w:tcPr>
            <w:tcW w:w="440"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w:t>
            </w:r>
          </w:p>
        </w:tc>
        <w:tc>
          <w:tcPr>
            <w:tcW w:w="56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WNW</w:t>
            </w:r>
          </w:p>
        </w:tc>
        <w:tc>
          <w:tcPr>
            <w:tcW w:w="462"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NW</w:t>
            </w:r>
          </w:p>
        </w:tc>
        <w:tc>
          <w:tcPr>
            <w:tcW w:w="58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NNW</w:t>
            </w:r>
          </w:p>
        </w:tc>
        <w:tc>
          <w:tcPr>
            <w:tcW w:w="442"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C</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69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一月</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17.5</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19.6</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0.9</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2.7</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4.4</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4.8</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7.9</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4.4</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w:t>
            </w:r>
          </w:p>
        </w:tc>
        <w:tc>
          <w:tcPr>
            <w:tcW w:w="590"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440"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w:t>
            </w:r>
          </w:p>
        </w:tc>
        <w:tc>
          <w:tcPr>
            <w:tcW w:w="568"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462"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588"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5.2</w:t>
            </w:r>
          </w:p>
        </w:tc>
        <w:tc>
          <w:tcPr>
            <w:tcW w:w="442"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2.7</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69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二月</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6.3</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8.3</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9.1</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4.9</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3.9</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4.9</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5.8</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11.9</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15.2</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8.6</w:t>
            </w:r>
          </w:p>
        </w:tc>
        <w:tc>
          <w:tcPr>
            <w:tcW w:w="590"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3.7</w:t>
            </w:r>
          </w:p>
        </w:tc>
        <w:tc>
          <w:tcPr>
            <w:tcW w:w="440"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3.3</w:t>
            </w:r>
          </w:p>
        </w:tc>
        <w:tc>
          <w:tcPr>
            <w:tcW w:w="568"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462"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w:t>
            </w:r>
          </w:p>
        </w:tc>
        <w:tc>
          <w:tcPr>
            <w:tcW w:w="588"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w:t>
            </w:r>
          </w:p>
        </w:tc>
        <w:tc>
          <w:tcPr>
            <w:tcW w:w="442"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3.3</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69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三月</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6.2</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8.9</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6.2</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3.6</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9.8</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w:t>
            </w:r>
          </w:p>
        </w:tc>
        <w:tc>
          <w:tcPr>
            <w:tcW w:w="590"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440"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568"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c>
          <w:tcPr>
            <w:tcW w:w="462"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5.8</w:t>
            </w:r>
          </w:p>
        </w:tc>
        <w:tc>
          <w:tcPr>
            <w:tcW w:w="588"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442"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69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四月</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7.2</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9.7</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4.9</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3.3</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5.7</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19.0</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20.6</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8.8</w:t>
            </w:r>
          </w:p>
        </w:tc>
        <w:tc>
          <w:tcPr>
            <w:tcW w:w="590"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w:t>
            </w:r>
          </w:p>
        </w:tc>
        <w:tc>
          <w:tcPr>
            <w:tcW w:w="440"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w:t>
            </w:r>
          </w:p>
        </w:tc>
        <w:tc>
          <w:tcPr>
            <w:tcW w:w="568"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462"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3.6</w:t>
            </w:r>
          </w:p>
        </w:tc>
        <w:tc>
          <w:tcPr>
            <w:tcW w:w="588"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w:t>
            </w:r>
          </w:p>
        </w:tc>
        <w:tc>
          <w:tcPr>
            <w:tcW w:w="442"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69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五月</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6.7</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11.7</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5.4</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2.7</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5.1</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8.3</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21.9</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16.8</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4.8</w:t>
            </w:r>
          </w:p>
        </w:tc>
        <w:tc>
          <w:tcPr>
            <w:tcW w:w="590"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440"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w:t>
            </w:r>
          </w:p>
        </w:tc>
        <w:tc>
          <w:tcPr>
            <w:tcW w:w="568"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0.9</w:t>
            </w:r>
          </w:p>
        </w:tc>
        <w:tc>
          <w:tcPr>
            <w:tcW w:w="462"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w:t>
            </w:r>
          </w:p>
        </w:tc>
        <w:tc>
          <w:tcPr>
            <w:tcW w:w="588"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w:t>
            </w:r>
          </w:p>
        </w:tc>
        <w:tc>
          <w:tcPr>
            <w:tcW w:w="442"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69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六月</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5.8</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7.9</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4.6</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3.3</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6.8</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8.9</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14.2</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18.1</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10.4</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590"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w:t>
            </w:r>
          </w:p>
        </w:tc>
        <w:tc>
          <w:tcPr>
            <w:tcW w:w="440"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w:t>
            </w:r>
          </w:p>
        </w:tc>
        <w:tc>
          <w:tcPr>
            <w:tcW w:w="568"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462"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588"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w:t>
            </w:r>
          </w:p>
        </w:tc>
        <w:tc>
          <w:tcPr>
            <w:tcW w:w="442"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69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七月</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11.0</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10.9</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7.8</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2.7</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5.7</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6.7</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9.4</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10.1</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6.6</w:t>
            </w:r>
          </w:p>
        </w:tc>
        <w:tc>
          <w:tcPr>
            <w:tcW w:w="590"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440"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568"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0.8</w:t>
            </w:r>
          </w:p>
        </w:tc>
        <w:tc>
          <w:tcPr>
            <w:tcW w:w="462"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w:t>
            </w:r>
          </w:p>
        </w:tc>
        <w:tc>
          <w:tcPr>
            <w:tcW w:w="588"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w:t>
            </w:r>
          </w:p>
        </w:tc>
        <w:tc>
          <w:tcPr>
            <w:tcW w:w="442"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6.6</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69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八月</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7.9</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7.8</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3.9</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7.4</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10.6</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12.9</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13.6</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w:t>
            </w:r>
          </w:p>
        </w:tc>
        <w:tc>
          <w:tcPr>
            <w:tcW w:w="590"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440"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568"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462"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w:t>
            </w:r>
          </w:p>
        </w:tc>
        <w:tc>
          <w:tcPr>
            <w:tcW w:w="588"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w:t>
            </w:r>
          </w:p>
        </w:tc>
        <w:tc>
          <w:tcPr>
            <w:tcW w:w="442"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69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九月</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11.0</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9.4</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14.4</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15.3</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7.4</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w:t>
            </w:r>
          </w:p>
        </w:tc>
        <w:tc>
          <w:tcPr>
            <w:tcW w:w="590"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440"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568"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462"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w:t>
            </w:r>
          </w:p>
        </w:tc>
        <w:tc>
          <w:tcPr>
            <w:tcW w:w="588"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3.3</w:t>
            </w:r>
          </w:p>
        </w:tc>
        <w:tc>
          <w:tcPr>
            <w:tcW w:w="442"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9.2</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69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十月</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11.8</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4.4</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5.2</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8.7</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13.8</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12.0</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8.6</w:t>
            </w:r>
          </w:p>
        </w:tc>
        <w:tc>
          <w:tcPr>
            <w:tcW w:w="590"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w:t>
            </w:r>
          </w:p>
        </w:tc>
        <w:tc>
          <w:tcPr>
            <w:tcW w:w="440"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w:t>
            </w:r>
          </w:p>
        </w:tc>
        <w:tc>
          <w:tcPr>
            <w:tcW w:w="568"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w:t>
            </w:r>
          </w:p>
        </w:tc>
        <w:tc>
          <w:tcPr>
            <w:tcW w:w="462"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c>
          <w:tcPr>
            <w:tcW w:w="588"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442"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7.1</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698" w:type="dxa"/>
            <w:tcBorders>
              <w:tl2br w:val="nil"/>
              <w:tr2bl w:val="nil"/>
            </w:tcBorders>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十一月</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7.1</w:t>
            </w:r>
          </w:p>
        </w:tc>
        <w:tc>
          <w:tcPr>
            <w:tcW w:w="515" w:type="dxa"/>
            <w:tcBorders>
              <w:tl2br w:val="nil"/>
              <w:tr2bl w:val="nil"/>
            </w:tcBorders>
            <w:tcMar>
              <w:left w:w="0" w:type="dxa"/>
              <w:right w:w="0"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9.4</w:t>
            </w:r>
          </w:p>
        </w:tc>
        <w:tc>
          <w:tcPr>
            <w:tcW w:w="515" w:type="dxa"/>
            <w:tcBorders>
              <w:tl2br w:val="nil"/>
              <w:tr2bl w:val="nil"/>
            </w:tcBorders>
            <w:tcMar>
              <w:left w:w="0" w:type="dxa"/>
              <w:right w:w="0"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9.2</w:t>
            </w:r>
          </w:p>
        </w:tc>
        <w:tc>
          <w:tcPr>
            <w:tcW w:w="515" w:type="dxa"/>
            <w:tcBorders>
              <w:tl2br w:val="nil"/>
              <w:tr2bl w:val="nil"/>
            </w:tcBorders>
            <w:tcMar>
              <w:left w:w="0" w:type="dxa"/>
              <w:right w:w="0"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w:t>
            </w:r>
          </w:p>
        </w:tc>
        <w:tc>
          <w:tcPr>
            <w:tcW w:w="515" w:type="dxa"/>
            <w:tcBorders>
              <w:tl2br w:val="nil"/>
              <w:tr2bl w:val="nil"/>
            </w:tcBorders>
            <w:tcMar>
              <w:left w:w="0" w:type="dxa"/>
              <w:right w:w="0"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w:t>
            </w:r>
          </w:p>
        </w:tc>
        <w:tc>
          <w:tcPr>
            <w:tcW w:w="515" w:type="dxa"/>
            <w:tcBorders>
              <w:tl2br w:val="nil"/>
              <w:tr2bl w:val="nil"/>
            </w:tcBorders>
            <w:tcMar>
              <w:left w:w="0" w:type="dxa"/>
              <w:right w:w="0"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515" w:type="dxa"/>
            <w:tcBorders>
              <w:tl2br w:val="nil"/>
              <w:tr2bl w:val="nil"/>
            </w:tcBorders>
            <w:tcMar>
              <w:left w:w="0" w:type="dxa"/>
              <w:right w:w="0"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3.6</w:t>
            </w:r>
          </w:p>
        </w:tc>
        <w:tc>
          <w:tcPr>
            <w:tcW w:w="515" w:type="dxa"/>
            <w:tcBorders>
              <w:tl2br w:val="nil"/>
              <w:tr2bl w:val="nil"/>
            </w:tcBorders>
            <w:tcMar>
              <w:left w:w="0" w:type="dxa"/>
              <w:right w:w="0"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8.9</w:t>
            </w:r>
          </w:p>
        </w:tc>
        <w:tc>
          <w:tcPr>
            <w:tcW w:w="515" w:type="dxa"/>
            <w:tcBorders>
              <w:tl2br w:val="nil"/>
              <w:tr2bl w:val="nil"/>
            </w:tcBorders>
            <w:tcMar>
              <w:left w:w="0" w:type="dxa"/>
              <w:right w:w="0"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10.8</w:t>
            </w:r>
          </w:p>
        </w:tc>
        <w:tc>
          <w:tcPr>
            <w:tcW w:w="515" w:type="dxa"/>
            <w:tcBorders>
              <w:tl2br w:val="nil"/>
              <w:tr2bl w:val="nil"/>
            </w:tcBorders>
            <w:tcMar>
              <w:left w:w="0" w:type="dxa"/>
              <w:right w:w="0"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11.3</w:t>
            </w:r>
          </w:p>
        </w:tc>
        <w:tc>
          <w:tcPr>
            <w:tcW w:w="515" w:type="dxa"/>
            <w:tcBorders>
              <w:tl2br w:val="nil"/>
              <w:tr2bl w:val="nil"/>
            </w:tcBorders>
            <w:tcMar>
              <w:left w:w="0" w:type="dxa"/>
              <w:right w:w="0"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10.7</w:t>
            </w:r>
          </w:p>
        </w:tc>
        <w:tc>
          <w:tcPr>
            <w:tcW w:w="590" w:type="dxa"/>
            <w:tcBorders>
              <w:tl2br w:val="nil"/>
              <w:tr2bl w:val="nil"/>
            </w:tcBorders>
            <w:tcMar>
              <w:left w:w="0" w:type="dxa"/>
              <w:right w:w="0"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w:t>
            </w:r>
          </w:p>
        </w:tc>
        <w:tc>
          <w:tcPr>
            <w:tcW w:w="440" w:type="dxa"/>
            <w:tcBorders>
              <w:tl2br w:val="nil"/>
              <w:tr2bl w:val="nil"/>
            </w:tcBorders>
            <w:tcMar>
              <w:left w:w="0" w:type="dxa"/>
              <w:right w:w="0"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w:t>
            </w:r>
          </w:p>
        </w:tc>
        <w:tc>
          <w:tcPr>
            <w:tcW w:w="568" w:type="dxa"/>
            <w:tcBorders>
              <w:tl2br w:val="nil"/>
              <w:tr2bl w:val="nil"/>
            </w:tcBorders>
            <w:tcMar>
              <w:left w:w="0" w:type="dxa"/>
              <w:right w:w="0"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w:t>
            </w:r>
          </w:p>
        </w:tc>
        <w:tc>
          <w:tcPr>
            <w:tcW w:w="462" w:type="dxa"/>
            <w:tcBorders>
              <w:tl2br w:val="nil"/>
              <w:tr2bl w:val="nil"/>
            </w:tcBorders>
            <w:tcMar>
              <w:left w:w="0" w:type="dxa"/>
              <w:right w:w="0"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4.6</w:t>
            </w:r>
          </w:p>
        </w:tc>
        <w:tc>
          <w:tcPr>
            <w:tcW w:w="588" w:type="dxa"/>
            <w:tcBorders>
              <w:tl2br w:val="nil"/>
              <w:tr2bl w:val="nil"/>
            </w:tcBorders>
            <w:tcMar>
              <w:left w:w="0" w:type="dxa"/>
              <w:right w:w="0"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442" w:type="dxa"/>
            <w:tcBorders>
              <w:tl2br w:val="nil"/>
              <w:tr2bl w:val="nil"/>
            </w:tcBorders>
            <w:tcMar>
              <w:left w:w="0" w:type="dxa"/>
              <w:right w:w="0"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6.4</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698" w:type="dxa"/>
            <w:tcBorders>
              <w:tl2br w:val="nil"/>
              <w:tr2bl w:val="nil"/>
            </w:tcBorders>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十二月</w:t>
            </w:r>
          </w:p>
        </w:tc>
        <w:tc>
          <w:tcPr>
            <w:tcW w:w="515" w:type="dxa"/>
            <w:tcBorders>
              <w:tl2br w:val="nil"/>
              <w:tr2bl w:val="nil"/>
            </w:tcBorders>
            <w:tcMar>
              <w:left w:w="28" w:type="dxa"/>
              <w:right w:w="28"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12.4</w:t>
            </w:r>
          </w:p>
        </w:tc>
        <w:tc>
          <w:tcPr>
            <w:tcW w:w="515" w:type="dxa"/>
            <w:tcBorders>
              <w:tl2br w:val="nil"/>
              <w:tr2bl w:val="nil"/>
            </w:tcBorders>
            <w:tcMar>
              <w:left w:w="0" w:type="dxa"/>
              <w:right w:w="0"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10.4</w:t>
            </w:r>
          </w:p>
        </w:tc>
        <w:tc>
          <w:tcPr>
            <w:tcW w:w="515" w:type="dxa"/>
            <w:tcBorders>
              <w:tl2br w:val="nil"/>
              <w:tr2bl w:val="nil"/>
            </w:tcBorders>
            <w:tcMar>
              <w:left w:w="0" w:type="dxa"/>
              <w:right w:w="0"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5.9</w:t>
            </w:r>
          </w:p>
        </w:tc>
        <w:tc>
          <w:tcPr>
            <w:tcW w:w="515" w:type="dxa"/>
            <w:tcBorders>
              <w:tl2br w:val="nil"/>
              <w:tr2bl w:val="nil"/>
            </w:tcBorders>
            <w:tcMar>
              <w:left w:w="0" w:type="dxa"/>
              <w:right w:w="0"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c>
          <w:tcPr>
            <w:tcW w:w="515" w:type="dxa"/>
            <w:tcBorders>
              <w:tl2br w:val="nil"/>
              <w:tr2bl w:val="nil"/>
            </w:tcBorders>
            <w:tcMar>
              <w:left w:w="0" w:type="dxa"/>
              <w:right w:w="0"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515" w:type="dxa"/>
            <w:tcBorders>
              <w:tl2br w:val="nil"/>
              <w:tr2bl w:val="nil"/>
            </w:tcBorders>
            <w:tcMar>
              <w:left w:w="0" w:type="dxa"/>
              <w:right w:w="0"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3.9</w:t>
            </w:r>
          </w:p>
        </w:tc>
        <w:tc>
          <w:tcPr>
            <w:tcW w:w="515" w:type="dxa"/>
            <w:tcBorders>
              <w:tl2br w:val="nil"/>
              <w:tr2bl w:val="nil"/>
            </w:tcBorders>
            <w:tcMar>
              <w:left w:w="0" w:type="dxa"/>
              <w:right w:w="0"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5.4</w:t>
            </w:r>
          </w:p>
        </w:tc>
        <w:tc>
          <w:tcPr>
            <w:tcW w:w="515" w:type="dxa"/>
            <w:tcBorders>
              <w:tl2br w:val="nil"/>
              <w:tr2bl w:val="nil"/>
            </w:tcBorders>
            <w:tcMar>
              <w:left w:w="0" w:type="dxa"/>
              <w:right w:w="0"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6.3</w:t>
            </w:r>
          </w:p>
        </w:tc>
        <w:tc>
          <w:tcPr>
            <w:tcW w:w="515" w:type="dxa"/>
            <w:tcBorders>
              <w:tl2br w:val="nil"/>
              <w:tr2bl w:val="nil"/>
            </w:tcBorders>
            <w:tcMar>
              <w:left w:w="0" w:type="dxa"/>
              <w:right w:w="0"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12.8</w:t>
            </w:r>
          </w:p>
        </w:tc>
        <w:tc>
          <w:tcPr>
            <w:tcW w:w="515" w:type="dxa"/>
            <w:tcBorders>
              <w:tl2br w:val="nil"/>
              <w:tr2bl w:val="nil"/>
            </w:tcBorders>
            <w:tcMar>
              <w:left w:w="0" w:type="dxa"/>
              <w:right w:w="0"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11.4</w:t>
            </w:r>
          </w:p>
        </w:tc>
        <w:tc>
          <w:tcPr>
            <w:tcW w:w="515" w:type="dxa"/>
            <w:tcBorders>
              <w:tl2br w:val="nil"/>
              <w:tr2bl w:val="nil"/>
            </w:tcBorders>
            <w:tcMar>
              <w:left w:w="0" w:type="dxa"/>
              <w:right w:w="0"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7.8</w:t>
            </w:r>
          </w:p>
        </w:tc>
        <w:tc>
          <w:tcPr>
            <w:tcW w:w="590" w:type="dxa"/>
            <w:tcBorders>
              <w:tl2br w:val="nil"/>
              <w:tr2bl w:val="nil"/>
            </w:tcBorders>
            <w:tcMar>
              <w:left w:w="0" w:type="dxa"/>
              <w:right w:w="0"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440" w:type="dxa"/>
            <w:tcBorders>
              <w:tl2br w:val="nil"/>
              <w:tr2bl w:val="nil"/>
            </w:tcBorders>
            <w:tcMar>
              <w:left w:w="0" w:type="dxa"/>
              <w:right w:w="0"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w:t>
            </w:r>
          </w:p>
        </w:tc>
        <w:tc>
          <w:tcPr>
            <w:tcW w:w="568" w:type="dxa"/>
            <w:tcBorders>
              <w:tl2br w:val="nil"/>
              <w:tr2bl w:val="nil"/>
            </w:tcBorders>
            <w:tcMar>
              <w:left w:w="0" w:type="dxa"/>
              <w:right w:w="0"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462" w:type="dxa"/>
            <w:tcBorders>
              <w:tl2br w:val="nil"/>
              <w:tr2bl w:val="nil"/>
            </w:tcBorders>
            <w:tcMar>
              <w:left w:w="0" w:type="dxa"/>
              <w:right w:w="0"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w:t>
            </w:r>
          </w:p>
        </w:tc>
        <w:tc>
          <w:tcPr>
            <w:tcW w:w="588" w:type="dxa"/>
            <w:tcBorders>
              <w:tl2br w:val="nil"/>
              <w:tr2bl w:val="nil"/>
            </w:tcBorders>
            <w:tcMar>
              <w:left w:w="0" w:type="dxa"/>
              <w:right w:w="0"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w:t>
            </w:r>
          </w:p>
        </w:tc>
        <w:tc>
          <w:tcPr>
            <w:tcW w:w="442" w:type="dxa"/>
            <w:tcBorders>
              <w:tl2br w:val="nil"/>
              <w:tr2bl w:val="nil"/>
            </w:tcBorders>
            <w:tcMar>
              <w:left w:w="0" w:type="dxa"/>
              <w:right w:w="0" w:type="dxa"/>
            </w:tcMa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69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春季</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6.7</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10.5</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6.4</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4.2</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19.0</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15.7</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5.9</w:t>
            </w:r>
          </w:p>
        </w:tc>
        <w:tc>
          <w:tcPr>
            <w:tcW w:w="590"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w:t>
            </w:r>
          </w:p>
        </w:tc>
        <w:tc>
          <w:tcPr>
            <w:tcW w:w="440"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56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462"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3.9</w:t>
            </w:r>
          </w:p>
        </w:tc>
        <w:tc>
          <w:tcPr>
            <w:tcW w:w="58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w:t>
            </w:r>
          </w:p>
        </w:tc>
        <w:tc>
          <w:tcPr>
            <w:tcW w:w="442"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69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夏季</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8.3</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8.6</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7.8</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6.6</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8.7</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12.1</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13.9</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8.5</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w:t>
            </w:r>
          </w:p>
        </w:tc>
        <w:tc>
          <w:tcPr>
            <w:tcW w:w="590"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440"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56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462"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w:t>
            </w:r>
          </w:p>
        </w:tc>
        <w:tc>
          <w:tcPr>
            <w:tcW w:w="58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3.3</w:t>
            </w:r>
          </w:p>
        </w:tc>
        <w:tc>
          <w:tcPr>
            <w:tcW w:w="442"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4.8</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69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秋季</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8.2</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10.8</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6.2</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6.1</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10.7</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13.3</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10.2</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7.3</w:t>
            </w:r>
          </w:p>
        </w:tc>
        <w:tc>
          <w:tcPr>
            <w:tcW w:w="590"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440"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w:t>
            </w:r>
          </w:p>
        </w:tc>
        <w:tc>
          <w:tcPr>
            <w:tcW w:w="56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462"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58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w:t>
            </w:r>
          </w:p>
        </w:tc>
        <w:tc>
          <w:tcPr>
            <w:tcW w:w="442"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7.6</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69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冬季</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12.2</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12.9</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9.7</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4.8</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4.9</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5.6</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10.9</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10.3</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6.7</w:t>
            </w:r>
          </w:p>
        </w:tc>
        <w:tc>
          <w:tcPr>
            <w:tcW w:w="590"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w:t>
            </w:r>
          </w:p>
        </w:tc>
        <w:tc>
          <w:tcPr>
            <w:tcW w:w="440"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56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462"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w:t>
            </w:r>
          </w:p>
        </w:tc>
        <w:tc>
          <w:tcPr>
            <w:tcW w:w="58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3.9</w:t>
            </w:r>
          </w:p>
        </w:tc>
        <w:tc>
          <w:tcPr>
            <w:tcW w:w="442"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5" w:hRule="atLeast"/>
          <w:jc w:val="center"/>
        </w:trPr>
        <w:tc>
          <w:tcPr>
            <w:tcW w:w="69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全年</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8.9</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10.7</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3.8</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9.1</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14.3</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11.2</w:t>
            </w:r>
          </w:p>
        </w:tc>
        <w:tc>
          <w:tcPr>
            <w:tcW w:w="51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6.1</w:t>
            </w:r>
          </w:p>
        </w:tc>
        <w:tc>
          <w:tcPr>
            <w:tcW w:w="590"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w:t>
            </w:r>
          </w:p>
        </w:tc>
        <w:tc>
          <w:tcPr>
            <w:tcW w:w="440"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56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w:t>
            </w:r>
          </w:p>
        </w:tc>
        <w:tc>
          <w:tcPr>
            <w:tcW w:w="462"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58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w:t>
            </w:r>
          </w:p>
        </w:tc>
        <w:tc>
          <w:tcPr>
            <w:tcW w:w="442"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4.3</w:t>
            </w:r>
          </w:p>
        </w:tc>
      </w:tr>
    </w:tbl>
    <w:p>
      <w:pPr>
        <w:spacing w:line="500" w:lineRule="exact"/>
        <w:ind w:firstLine="480"/>
        <w:jc w:val="left"/>
        <w:rPr>
          <w:rFonts w:hint="default" w:ascii="Times New Roman" w:hAnsi="Times New Roman" w:cs="Times New Roman"/>
          <w:color w:val="auto"/>
        </w:rPr>
      </w:pPr>
      <w:r>
        <w:rPr>
          <w:rFonts w:hint="default" w:ascii="Times New Roman" w:hAnsi="Times New Roman" w:cs="Times New Roman"/>
          <w:color w:val="auto"/>
        </w:rPr>
        <w:t>由上表明，该地区主导风向为S风，频率14.3%；次主导风向SSW风，频率11.2%，全年静风频率4.3%。若将相邻风向一并统计，SSE-SSW扇形方位风向频率之和为34.6%，N-NE扇形方位风向频率之和为27.1%，偏S风最多，偏NNE风次多成为该地风向的基本格局。</w:t>
      </w:r>
    </w:p>
    <w:p>
      <w:pPr>
        <w:spacing w:line="500" w:lineRule="exact"/>
        <w:ind w:firstLine="480"/>
        <w:jc w:val="left"/>
        <w:rPr>
          <w:rFonts w:hint="default" w:ascii="Times New Roman" w:hAnsi="Times New Roman" w:cs="Times New Roman"/>
          <w:color w:val="auto"/>
        </w:rPr>
      </w:pPr>
      <w:r>
        <w:rPr>
          <w:rFonts w:hint="default" w:ascii="Times New Roman" w:hAnsi="Times New Roman" w:cs="Times New Roman"/>
          <w:color w:val="auto"/>
        </w:rPr>
        <w:t>根据清丰县气象站近三十年气象监测统计结果，清丰县年主导风向为南风，频率14%，静风频率19%，多年风向频率统计结果见表4-3，风向频率玫瑰图见图4-2。</w:t>
      </w:r>
    </w:p>
    <w:p>
      <w:pPr>
        <w:pStyle w:val="13"/>
        <w:spacing w:line="500" w:lineRule="exact"/>
        <w:ind w:firstLine="472" w:firstLineChars="196"/>
        <w:jc w:val="center"/>
        <w:rPr>
          <w:rFonts w:hint="default" w:ascii="Times New Roman" w:hAnsi="Times New Roman" w:cs="Times New Roman"/>
          <w:b/>
          <w:color w:val="auto"/>
          <w:szCs w:val="24"/>
        </w:rPr>
      </w:pPr>
      <w:r>
        <w:rPr>
          <w:rFonts w:hint="default" w:ascii="Times New Roman" w:hAnsi="Times New Roman" w:cs="Times New Roman"/>
          <w:b/>
          <w:color w:val="auto"/>
          <w:szCs w:val="24"/>
        </w:rPr>
        <w:t>表5.2-3         清丰县多年风向频率统计结果表</w:t>
      </w:r>
    </w:p>
    <w:tbl>
      <w:tblPr>
        <w:tblStyle w:val="25"/>
        <w:tblW w:w="990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9"/>
        <w:gridCol w:w="683"/>
        <w:gridCol w:w="523"/>
        <w:gridCol w:w="658"/>
        <w:gridCol w:w="363"/>
        <w:gridCol w:w="622"/>
        <w:gridCol w:w="487"/>
        <w:gridCol w:w="609"/>
        <w:gridCol w:w="449"/>
        <w:gridCol w:w="683"/>
        <w:gridCol w:w="559"/>
        <w:gridCol w:w="769"/>
        <w:gridCol w:w="438"/>
        <w:gridCol w:w="806"/>
        <w:gridCol w:w="596"/>
        <w:gridCol w:w="757"/>
        <w:gridCol w:w="4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49"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N</w:t>
            </w:r>
          </w:p>
        </w:tc>
        <w:tc>
          <w:tcPr>
            <w:tcW w:w="683"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NNE</w:t>
            </w:r>
          </w:p>
        </w:tc>
        <w:tc>
          <w:tcPr>
            <w:tcW w:w="523"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NE</w:t>
            </w:r>
          </w:p>
        </w:tc>
        <w:tc>
          <w:tcPr>
            <w:tcW w:w="658"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ENE</w:t>
            </w:r>
          </w:p>
        </w:tc>
        <w:tc>
          <w:tcPr>
            <w:tcW w:w="363"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E</w:t>
            </w:r>
          </w:p>
        </w:tc>
        <w:tc>
          <w:tcPr>
            <w:tcW w:w="622"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ESE</w:t>
            </w:r>
          </w:p>
        </w:tc>
        <w:tc>
          <w:tcPr>
            <w:tcW w:w="487"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SE</w:t>
            </w:r>
          </w:p>
        </w:tc>
        <w:tc>
          <w:tcPr>
            <w:tcW w:w="609"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SSE</w:t>
            </w:r>
          </w:p>
        </w:tc>
        <w:tc>
          <w:tcPr>
            <w:tcW w:w="449"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S</w:t>
            </w:r>
          </w:p>
        </w:tc>
        <w:tc>
          <w:tcPr>
            <w:tcW w:w="683"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SSW</w:t>
            </w:r>
          </w:p>
        </w:tc>
        <w:tc>
          <w:tcPr>
            <w:tcW w:w="559"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SW</w:t>
            </w:r>
          </w:p>
        </w:tc>
        <w:tc>
          <w:tcPr>
            <w:tcW w:w="769"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WSW</w:t>
            </w:r>
          </w:p>
        </w:tc>
        <w:tc>
          <w:tcPr>
            <w:tcW w:w="438"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w:t>
            </w:r>
          </w:p>
        </w:tc>
        <w:tc>
          <w:tcPr>
            <w:tcW w:w="806"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WNW</w:t>
            </w:r>
          </w:p>
        </w:tc>
        <w:tc>
          <w:tcPr>
            <w:tcW w:w="596"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NW</w:t>
            </w:r>
          </w:p>
        </w:tc>
        <w:tc>
          <w:tcPr>
            <w:tcW w:w="757"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NNW</w:t>
            </w:r>
          </w:p>
        </w:tc>
        <w:tc>
          <w:tcPr>
            <w:tcW w:w="449"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C</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4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68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52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65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36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62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48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60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44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68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55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76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43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80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59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75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449"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w:t>
            </w:r>
          </w:p>
        </w:tc>
      </w:tr>
    </w:tbl>
    <w:p>
      <w:pPr>
        <w:spacing w:line="500" w:lineRule="exact"/>
        <w:ind w:firstLine="480"/>
        <w:rPr>
          <w:rFonts w:hint="default" w:ascii="Times New Roman" w:hAnsi="Times New Roman" w:cs="Times New Roman"/>
          <w:color w:val="auto"/>
        </w:rPr>
      </w:pPr>
      <w:r>
        <w:rPr>
          <w:rFonts w:hint="default" w:ascii="Times New Roman" w:hAnsi="Times New Roman" w:cs="Times New Roman"/>
          <w:color w:val="auto"/>
        </w:rPr>
        <w:drawing>
          <wp:anchor distT="0" distB="0" distL="114300" distR="114300" simplePos="0" relativeHeight="251785216" behindDoc="0" locked="0" layoutInCell="1" allowOverlap="1">
            <wp:simplePos x="0" y="0"/>
            <wp:positionH relativeFrom="column">
              <wp:posOffset>1062355</wp:posOffset>
            </wp:positionH>
            <wp:positionV relativeFrom="paragraph">
              <wp:posOffset>317500</wp:posOffset>
            </wp:positionV>
            <wp:extent cx="3467735" cy="3962400"/>
            <wp:effectExtent l="0" t="0" r="18415" b="0"/>
            <wp:wrapNone/>
            <wp:docPr id="4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3"/>
                    <pic:cNvPicPr>
                      <a:picLocks noChangeAspect="1"/>
                    </pic:cNvPicPr>
                  </pic:nvPicPr>
                  <pic:blipFill>
                    <a:blip r:embed="rId47" cstate="print"/>
                    <a:srcRect b="32986"/>
                    <a:stretch>
                      <a:fillRect/>
                    </a:stretch>
                  </pic:blipFill>
                  <pic:spPr>
                    <a:xfrm>
                      <a:off x="0" y="0"/>
                      <a:ext cx="3467735" cy="3962400"/>
                    </a:xfrm>
                    <a:prstGeom prst="rect">
                      <a:avLst/>
                    </a:prstGeom>
                    <a:noFill/>
                    <a:ln>
                      <a:noFill/>
                    </a:ln>
                  </pic:spPr>
                </pic:pic>
              </a:graphicData>
            </a:graphic>
          </wp:anchor>
        </w:drawing>
      </w:r>
    </w:p>
    <w:p>
      <w:pPr>
        <w:spacing w:line="500" w:lineRule="exact"/>
        <w:ind w:firstLine="480"/>
        <w:rPr>
          <w:rFonts w:hint="default" w:ascii="Times New Roman" w:hAnsi="Times New Roman" w:cs="Times New Roman"/>
          <w:color w:val="auto"/>
        </w:rPr>
      </w:pPr>
    </w:p>
    <w:p>
      <w:pPr>
        <w:spacing w:line="500" w:lineRule="exact"/>
        <w:ind w:firstLine="480"/>
        <w:rPr>
          <w:rFonts w:hint="default" w:ascii="Times New Roman" w:hAnsi="Times New Roman" w:cs="Times New Roman"/>
          <w:color w:val="auto"/>
        </w:rPr>
      </w:pPr>
    </w:p>
    <w:p>
      <w:pPr>
        <w:spacing w:line="500" w:lineRule="exact"/>
        <w:ind w:firstLine="480"/>
        <w:rPr>
          <w:rFonts w:hint="default" w:ascii="Times New Roman" w:hAnsi="Times New Roman" w:cs="Times New Roman"/>
          <w:color w:val="auto"/>
        </w:rPr>
      </w:pPr>
    </w:p>
    <w:p>
      <w:pPr>
        <w:spacing w:line="500" w:lineRule="exact"/>
        <w:ind w:firstLine="480"/>
        <w:rPr>
          <w:rFonts w:hint="default" w:ascii="Times New Roman" w:hAnsi="Times New Roman" w:cs="Times New Roman"/>
          <w:color w:val="auto"/>
        </w:rPr>
      </w:pPr>
    </w:p>
    <w:p>
      <w:pPr>
        <w:spacing w:line="500" w:lineRule="exact"/>
        <w:ind w:firstLine="480"/>
        <w:rPr>
          <w:rFonts w:hint="default" w:ascii="Times New Roman" w:hAnsi="Times New Roman" w:cs="Times New Roman"/>
          <w:color w:val="auto"/>
        </w:rPr>
      </w:pPr>
    </w:p>
    <w:p>
      <w:pPr>
        <w:spacing w:line="500" w:lineRule="exact"/>
        <w:ind w:firstLine="480"/>
        <w:rPr>
          <w:rFonts w:hint="default" w:ascii="Times New Roman" w:hAnsi="Times New Roman" w:cs="Times New Roman"/>
          <w:color w:val="auto"/>
        </w:rPr>
      </w:pPr>
    </w:p>
    <w:p>
      <w:pPr>
        <w:spacing w:line="500" w:lineRule="exact"/>
        <w:ind w:firstLine="480"/>
        <w:rPr>
          <w:rFonts w:hint="default" w:ascii="Times New Roman" w:hAnsi="Times New Roman" w:cs="Times New Roman"/>
          <w:color w:val="auto"/>
        </w:rPr>
      </w:pPr>
    </w:p>
    <w:p>
      <w:pPr>
        <w:spacing w:line="500" w:lineRule="exact"/>
        <w:ind w:firstLine="480"/>
        <w:rPr>
          <w:rFonts w:hint="default" w:ascii="Times New Roman" w:hAnsi="Times New Roman" w:cs="Times New Roman"/>
          <w:color w:val="auto"/>
        </w:rPr>
      </w:pPr>
    </w:p>
    <w:p>
      <w:pPr>
        <w:spacing w:line="500" w:lineRule="exact"/>
        <w:ind w:firstLine="2017" w:firstLineChars="837"/>
        <w:rPr>
          <w:rFonts w:hint="default" w:ascii="Times New Roman" w:hAnsi="Times New Roman" w:cs="Times New Roman"/>
          <w:b/>
          <w:color w:val="auto"/>
        </w:rPr>
      </w:pPr>
    </w:p>
    <w:p>
      <w:pPr>
        <w:spacing w:line="500" w:lineRule="exact"/>
        <w:ind w:firstLine="2017" w:firstLineChars="837"/>
        <w:rPr>
          <w:rFonts w:hint="default" w:ascii="Times New Roman" w:hAnsi="Times New Roman" w:cs="Times New Roman"/>
          <w:b/>
          <w:color w:val="auto"/>
        </w:rPr>
      </w:pPr>
    </w:p>
    <w:p>
      <w:pPr>
        <w:spacing w:line="500" w:lineRule="exact"/>
        <w:ind w:firstLine="480"/>
        <w:rPr>
          <w:rFonts w:hint="default" w:ascii="Times New Roman" w:hAnsi="Times New Roman" w:cs="Times New Roman"/>
          <w:color w:val="auto"/>
        </w:rPr>
      </w:pPr>
    </w:p>
    <w:p>
      <w:pPr>
        <w:spacing w:line="500" w:lineRule="exact"/>
        <w:ind w:firstLine="480"/>
        <w:rPr>
          <w:rFonts w:hint="default" w:ascii="Times New Roman" w:hAnsi="Times New Roman" w:cs="Times New Roman"/>
          <w:color w:val="auto"/>
        </w:rPr>
      </w:pPr>
    </w:p>
    <w:p>
      <w:pPr>
        <w:spacing w:line="500" w:lineRule="exact"/>
        <w:ind w:firstLine="480"/>
        <w:rPr>
          <w:rFonts w:hint="default" w:ascii="Times New Roman" w:hAnsi="Times New Roman" w:cs="Times New Roman"/>
          <w:color w:val="auto"/>
        </w:rPr>
      </w:pPr>
      <w:r>
        <w:rPr>
          <w:rFonts w:hint="default" w:ascii="Times New Roman" w:hAnsi="Times New Roman" w:cs="Times New Roman"/>
          <w:color w:val="auto"/>
        </w:rPr>
        <w:drawing>
          <wp:anchor distT="0" distB="0" distL="114300" distR="114300" simplePos="0" relativeHeight="251786240" behindDoc="0" locked="0" layoutInCell="1" allowOverlap="1">
            <wp:simplePos x="0" y="0"/>
            <wp:positionH relativeFrom="column">
              <wp:posOffset>1054100</wp:posOffset>
            </wp:positionH>
            <wp:positionV relativeFrom="paragraph">
              <wp:posOffset>133985</wp:posOffset>
            </wp:positionV>
            <wp:extent cx="1737995" cy="2074545"/>
            <wp:effectExtent l="0" t="0" r="14605" b="1905"/>
            <wp:wrapNone/>
            <wp:docPr id="40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5"/>
                    <pic:cNvPicPr>
                      <a:picLocks noChangeAspect="1"/>
                    </pic:cNvPicPr>
                  </pic:nvPicPr>
                  <pic:blipFill>
                    <a:blip r:embed="rId48" cstate="print"/>
                    <a:srcRect r="49872"/>
                    <a:stretch>
                      <a:fillRect/>
                    </a:stretch>
                  </pic:blipFill>
                  <pic:spPr>
                    <a:xfrm>
                      <a:off x="0" y="0"/>
                      <a:ext cx="1737995" cy="2074545"/>
                    </a:xfrm>
                    <a:prstGeom prst="rect">
                      <a:avLst/>
                    </a:prstGeom>
                    <a:noFill/>
                    <a:ln>
                      <a:noFill/>
                    </a:ln>
                  </pic:spPr>
                </pic:pic>
              </a:graphicData>
            </a:graphic>
          </wp:anchor>
        </w:drawing>
      </w:r>
      <w:r>
        <w:rPr>
          <w:rFonts w:hint="default" w:ascii="Times New Roman" w:hAnsi="Times New Roman" w:cs="Times New Roman"/>
          <w:color w:val="auto"/>
        </w:rPr>
        <w:drawing>
          <wp:anchor distT="0" distB="0" distL="114300" distR="114300" simplePos="0" relativeHeight="251787264" behindDoc="0" locked="0" layoutInCell="1" allowOverlap="1">
            <wp:simplePos x="0" y="0"/>
            <wp:positionH relativeFrom="column">
              <wp:posOffset>2794000</wp:posOffset>
            </wp:positionH>
            <wp:positionV relativeFrom="paragraph">
              <wp:posOffset>121285</wp:posOffset>
            </wp:positionV>
            <wp:extent cx="1731645" cy="2080895"/>
            <wp:effectExtent l="0" t="0" r="1905" b="14605"/>
            <wp:wrapNone/>
            <wp:docPr id="408" name="图片 4"/>
            <wp:cNvGraphicFramePr/>
            <a:graphic xmlns:a="http://schemas.openxmlformats.org/drawingml/2006/main">
              <a:graphicData uri="http://schemas.openxmlformats.org/drawingml/2006/picture">
                <pic:pic xmlns:pic="http://schemas.openxmlformats.org/drawingml/2006/picture">
                  <pic:nvPicPr>
                    <pic:cNvPr id="408" name="图片 4"/>
                    <pic:cNvPicPr/>
                  </pic:nvPicPr>
                  <pic:blipFill>
                    <a:blip r:embed="rId49" cstate="print"/>
                    <a:srcRect r="50032"/>
                    <a:stretch>
                      <a:fillRect/>
                    </a:stretch>
                  </pic:blipFill>
                  <pic:spPr>
                    <a:xfrm>
                      <a:off x="0" y="0"/>
                      <a:ext cx="1731645" cy="2080895"/>
                    </a:xfrm>
                    <a:prstGeom prst="rect">
                      <a:avLst/>
                    </a:prstGeom>
                    <a:noFill/>
                    <a:ln>
                      <a:noFill/>
                    </a:ln>
                  </pic:spPr>
                </pic:pic>
              </a:graphicData>
            </a:graphic>
          </wp:anchor>
        </w:drawing>
      </w:r>
    </w:p>
    <w:p>
      <w:pPr>
        <w:spacing w:line="500" w:lineRule="exact"/>
        <w:ind w:firstLine="480"/>
        <w:rPr>
          <w:rFonts w:hint="default" w:ascii="Times New Roman" w:hAnsi="Times New Roman" w:cs="Times New Roman"/>
          <w:color w:val="auto"/>
        </w:rPr>
      </w:pPr>
    </w:p>
    <w:p>
      <w:pPr>
        <w:spacing w:line="500" w:lineRule="exact"/>
        <w:ind w:firstLine="480"/>
        <w:rPr>
          <w:rFonts w:hint="default" w:ascii="Times New Roman" w:hAnsi="Times New Roman" w:cs="Times New Roman"/>
          <w:color w:val="auto"/>
        </w:rPr>
      </w:pPr>
    </w:p>
    <w:p>
      <w:pPr>
        <w:spacing w:line="500" w:lineRule="exact"/>
        <w:ind w:firstLine="480"/>
        <w:rPr>
          <w:rFonts w:hint="default" w:ascii="Times New Roman" w:hAnsi="Times New Roman" w:cs="Times New Roman"/>
          <w:color w:val="auto"/>
        </w:rPr>
      </w:pPr>
    </w:p>
    <w:p>
      <w:pPr>
        <w:spacing w:line="500" w:lineRule="exact"/>
        <w:ind w:firstLine="480"/>
        <w:rPr>
          <w:rFonts w:hint="default" w:ascii="Times New Roman" w:hAnsi="Times New Roman" w:cs="Times New Roman"/>
          <w:color w:val="auto"/>
        </w:rPr>
      </w:pPr>
    </w:p>
    <w:p>
      <w:pPr>
        <w:spacing w:line="500" w:lineRule="exact"/>
        <w:ind w:firstLine="480"/>
        <w:rPr>
          <w:rFonts w:hint="default" w:ascii="Times New Roman" w:hAnsi="Times New Roman" w:cs="Times New Roman"/>
          <w:color w:val="auto"/>
        </w:rPr>
      </w:pPr>
    </w:p>
    <w:p>
      <w:pPr>
        <w:spacing w:line="360" w:lineRule="exact"/>
        <w:ind w:firstLine="480"/>
        <w:rPr>
          <w:rFonts w:hint="default" w:ascii="Times New Roman" w:hAnsi="Times New Roman" w:cs="Times New Roman"/>
          <w:color w:val="auto"/>
        </w:rPr>
      </w:pPr>
    </w:p>
    <w:p>
      <w:pPr>
        <w:spacing w:line="500" w:lineRule="exact"/>
        <w:ind w:firstLine="954" w:firstLineChars="396"/>
        <w:jc w:val="center"/>
        <w:rPr>
          <w:rFonts w:hint="default" w:ascii="Times New Roman" w:hAnsi="Times New Roman" w:cs="Times New Roman"/>
          <w:b/>
          <w:bCs/>
          <w:color w:val="auto"/>
        </w:rPr>
      </w:pPr>
      <w:r>
        <w:rPr>
          <w:rFonts w:hint="default" w:ascii="Times New Roman" w:hAnsi="Times New Roman" w:cs="Times New Roman"/>
          <w:b/>
          <w:bCs/>
          <w:color w:val="auto"/>
        </w:rPr>
        <w:t>图5-2   各季及多年平均风向频率玫瑰图</w:t>
      </w:r>
    </w:p>
    <w:p>
      <w:pPr>
        <w:spacing w:line="500" w:lineRule="exact"/>
        <w:ind w:firstLine="480"/>
        <w:rPr>
          <w:rFonts w:hint="default" w:ascii="Times New Roman" w:hAnsi="Times New Roman" w:cs="Times New Roman"/>
          <w:color w:val="auto"/>
        </w:rPr>
      </w:pPr>
      <w:r>
        <w:rPr>
          <w:rFonts w:hint="default" w:ascii="Times New Roman" w:hAnsi="Times New Roman" w:cs="Times New Roman"/>
          <w:color w:val="auto"/>
        </w:rPr>
        <w:t>地面风速</w:t>
      </w:r>
    </w:p>
    <w:p>
      <w:pPr>
        <w:spacing w:line="500" w:lineRule="exact"/>
        <w:ind w:firstLine="480"/>
        <w:rPr>
          <w:rFonts w:hint="default" w:ascii="Times New Roman" w:hAnsi="Times New Roman" w:cs="Times New Roman"/>
          <w:color w:val="auto"/>
        </w:rPr>
      </w:pPr>
      <w:r>
        <w:rPr>
          <w:rFonts w:hint="default" w:ascii="Times New Roman" w:hAnsi="Times New Roman" w:cs="Times New Roman"/>
          <w:color w:val="auto"/>
        </w:rPr>
        <w:t>对风速按不同情况统计，将全年各风向平均风速、年平均风速的月变化、季小时平均风速的日变化情况分别统计，结果见表5.2-4至表5.2-6。</w:t>
      </w:r>
    </w:p>
    <w:p>
      <w:pPr>
        <w:spacing w:line="500" w:lineRule="exact"/>
        <w:ind w:firstLine="954" w:firstLineChars="396"/>
        <w:rPr>
          <w:rFonts w:hint="default" w:ascii="Times New Roman" w:hAnsi="Times New Roman" w:cs="Times New Roman"/>
          <w:b/>
          <w:bCs/>
          <w:color w:val="auto"/>
        </w:rPr>
      </w:pPr>
      <w:r>
        <w:rPr>
          <w:rFonts w:hint="default" w:ascii="Times New Roman" w:hAnsi="Times New Roman" w:cs="Times New Roman"/>
          <w:b/>
          <w:bCs/>
          <w:color w:val="auto"/>
        </w:rPr>
        <w:t>表5.2-4          全年各风向平均风速              单位：m/s</w:t>
      </w:r>
    </w:p>
    <w:tbl>
      <w:tblPr>
        <w:tblStyle w:val="25"/>
        <w:tblW w:w="906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6"/>
        <w:gridCol w:w="517"/>
        <w:gridCol w:w="578"/>
        <w:gridCol w:w="509"/>
        <w:gridCol w:w="556"/>
        <w:gridCol w:w="517"/>
        <w:gridCol w:w="523"/>
        <w:gridCol w:w="517"/>
        <w:gridCol w:w="517"/>
        <w:gridCol w:w="517"/>
        <w:gridCol w:w="579"/>
        <w:gridCol w:w="517"/>
        <w:gridCol w:w="659"/>
        <w:gridCol w:w="424"/>
        <w:gridCol w:w="605"/>
        <w:gridCol w:w="424"/>
        <w:gridCol w:w="55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46"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风向</w:t>
            </w:r>
          </w:p>
        </w:tc>
        <w:tc>
          <w:tcPr>
            <w:tcW w:w="517"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N</w:t>
            </w:r>
          </w:p>
        </w:tc>
        <w:tc>
          <w:tcPr>
            <w:tcW w:w="57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NNE</w:t>
            </w:r>
          </w:p>
        </w:tc>
        <w:tc>
          <w:tcPr>
            <w:tcW w:w="509"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NE</w:t>
            </w:r>
          </w:p>
        </w:tc>
        <w:tc>
          <w:tcPr>
            <w:tcW w:w="556"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ENE</w:t>
            </w:r>
          </w:p>
        </w:tc>
        <w:tc>
          <w:tcPr>
            <w:tcW w:w="517"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E</w:t>
            </w:r>
          </w:p>
        </w:tc>
        <w:tc>
          <w:tcPr>
            <w:tcW w:w="523"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ESE</w:t>
            </w:r>
          </w:p>
        </w:tc>
        <w:tc>
          <w:tcPr>
            <w:tcW w:w="517"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SE</w:t>
            </w:r>
          </w:p>
        </w:tc>
        <w:tc>
          <w:tcPr>
            <w:tcW w:w="517"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SSE</w:t>
            </w:r>
          </w:p>
        </w:tc>
        <w:tc>
          <w:tcPr>
            <w:tcW w:w="517"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S</w:t>
            </w:r>
          </w:p>
        </w:tc>
        <w:tc>
          <w:tcPr>
            <w:tcW w:w="579"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SSW</w:t>
            </w:r>
          </w:p>
        </w:tc>
        <w:tc>
          <w:tcPr>
            <w:tcW w:w="517"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SW</w:t>
            </w:r>
          </w:p>
        </w:tc>
        <w:tc>
          <w:tcPr>
            <w:tcW w:w="659"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WSW</w:t>
            </w:r>
          </w:p>
        </w:tc>
        <w:tc>
          <w:tcPr>
            <w:tcW w:w="424"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w:t>
            </w:r>
          </w:p>
        </w:tc>
        <w:tc>
          <w:tcPr>
            <w:tcW w:w="60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WNW</w:t>
            </w:r>
          </w:p>
        </w:tc>
        <w:tc>
          <w:tcPr>
            <w:tcW w:w="424"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NW</w:t>
            </w:r>
          </w:p>
        </w:tc>
        <w:tc>
          <w:tcPr>
            <w:tcW w:w="55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NNW</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546"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风速</w:t>
            </w:r>
          </w:p>
        </w:tc>
        <w:tc>
          <w:tcPr>
            <w:tcW w:w="517"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2.88</w:t>
            </w:r>
          </w:p>
        </w:tc>
        <w:tc>
          <w:tcPr>
            <w:tcW w:w="57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2.67</w:t>
            </w:r>
          </w:p>
        </w:tc>
        <w:tc>
          <w:tcPr>
            <w:tcW w:w="509"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2.11</w:t>
            </w:r>
          </w:p>
        </w:tc>
        <w:tc>
          <w:tcPr>
            <w:tcW w:w="556"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1.51</w:t>
            </w:r>
          </w:p>
        </w:tc>
        <w:tc>
          <w:tcPr>
            <w:tcW w:w="517"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1.33</w:t>
            </w:r>
          </w:p>
        </w:tc>
        <w:tc>
          <w:tcPr>
            <w:tcW w:w="523"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1.29</w:t>
            </w:r>
          </w:p>
        </w:tc>
        <w:tc>
          <w:tcPr>
            <w:tcW w:w="517"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w:t>
            </w:r>
          </w:p>
        </w:tc>
        <w:tc>
          <w:tcPr>
            <w:tcW w:w="517"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w:t>
            </w:r>
          </w:p>
        </w:tc>
        <w:tc>
          <w:tcPr>
            <w:tcW w:w="517"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2.16</w:t>
            </w:r>
          </w:p>
        </w:tc>
        <w:tc>
          <w:tcPr>
            <w:tcW w:w="579"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2.61</w:t>
            </w:r>
          </w:p>
        </w:tc>
        <w:tc>
          <w:tcPr>
            <w:tcW w:w="517"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2.39</w:t>
            </w:r>
          </w:p>
        </w:tc>
        <w:tc>
          <w:tcPr>
            <w:tcW w:w="659"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1.79</w:t>
            </w:r>
          </w:p>
        </w:tc>
        <w:tc>
          <w:tcPr>
            <w:tcW w:w="424"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1.24</w:t>
            </w:r>
          </w:p>
        </w:tc>
        <w:tc>
          <w:tcPr>
            <w:tcW w:w="605"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1.62</w:t>
            </w:r>
          </w:p>
        </w:tc>
        <w:tc>
          <w:tcPr>
            <w:tcW w:w="424"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1.88</w:t>
            </w:r>
          </w:p>
        </w:tc>
        <w:tc>
          <w:tcPr>
            <w:tcW w:w="558"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2.19</w:t>
            </w:r>
          </w:p>
        </w:tc>
      </w:tr>
    </w:tbl>
    <w:p>
      <w:pPr>
        <w:spacing w:line="500" w:lineRule="exact"/>
        <w:ind w:firstLine="954" w:firstLineChars="396"/>
        <w:rPr>
          <w:rFonts w:hint="default" w:ascii="Times New Roman" w:hAnsi="Times New Roman" w:cs="Times New Roman"/>
          <w:b/>
          <w:bCs/>
          <w:color w:val="auto"/>
        </w:rPr>
      </w:pPr>
      <w:r>
        <w:rPr>
          <w:rFonts w:hint="default" w:ascii="Times New Roman" w:hAnsi="Times New Roman" w:cs="Times New Roman"/>
          <w:b/>
          <w:bCs/>
          <w:color w:val="auto"/>
        </w:rPr>
        <w:t>表5.2-5      年平均风速的月变化情况        单位：m/s</w:t>
      </w:r>
    </w:p>
    <w:tbl>
      <w:tblPr>
        <w:tblStyle w:val="25"/>
        <w:tblW w:w="903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9"/>
        <w:gridCol w:w="662"/>
        <w:gridCol w:w="741"/>
        <w:gridCol w:w="652"/>
        <w:gridCol w:w="712"/>
        <w:gridCol w:w="662"/>
        <w:gridCol w:w="669"/>
        <w:gridCol w:w="662"/>
        <w:gridCol w:w="662"/>
        <w:gridCol w:w="662"/>
        <w:gridCol w:w="741"/>
        <w:gridCol w:w="662"/>
        <w:gridCol w:w="84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709"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月份</w:t>
            </w:r>
          </w:p>
        </w:tc>
        <w:tc>
          <w:tcPr>
            <w:tcW w:w="662"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1月</w:t>
            </w:r>
          </w:p>
        </w:tc>
        <w:tc>
          <w:tcPr>
            <w:tcW w:w="741"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2月</w:t>
            </w:r>
          </w:p>
        </w:tc>
        <w:tc>
          <w:tcPr>
            <w:tcW w:w="652"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3月</w:t>
            </w:r>
          </w:p>
        </w:tc>
        <w:tc>
          <w:tcPr>
            <w:tcW w:w="712"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4月</w:t>
            </w:r>
          </w:p>
        </w:tc>
        <w:tc>
          <w:tcPr>
            <w:tcW w:w="662"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5月</w:t>
            </w:r>
          </w:p>
        </w:tc>
        <w:tc>
          <w:tcPr>
            <w:tcW w:w="669"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6月</w:t>
            </w:r>
          </w:p>
        </w:tc>
        <w:tc>
          <w:tcPr>
            <w:tcW w:w="662"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7月</w:t>
            </w:r>
          </w:p>
        </w:tc>
        <w:tc>
          <w:tcPr>
            <w:tcW w:w="662"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8月</w:t>
            </w:r>
          </w:p>
        </w:tc>
        <w:tc>
          <w:tcPr>
            <w:tcW w:w="662"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9月</w:t>
            </w:r>
          </w:p>
        </w:tc>
        <w:tc>
          <w:tcPr>
            <w:tcW w:w="741"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10月</w:t>
            </w:r>
          </w:p>
        </w:tc>
        <w:tc>
          <w:tcPr>
            <w:tcW w:w="662"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11月</w:t>
            </w:r>
          </w:p>
        </w:tc>
        <w:tc>
          <w:tcPr>
            <w:tcW w:w="843"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12月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9"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风速</w:t>
            </w:r>
          </w:p>
        </w:tc>
        <w:tc>
          <w:tcPr>
            <w:tcW w:w="662"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p>
        </w:tc>
        <w:tc>
          <w:tcPr>
            <w:tcW w:w="741"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1.95</w:t>
            </w:r>
          </w:p>
        </w:tc>
        <w:tc>
          <w:tcPr>
            <w:tcW w:w="652"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2.66</w:t>
            </w:r>
          </w:p>
        </w:tc>
        <w:tc>
          <w:tcPr>
            <w:tcW w:w="712"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2.66</w:t>
            </w:r>
          </w:p>
        </w:tc>
        <w:tc>
          <w:tcPr>
            <w:tcW w:w="662"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2.40</w:t>
            </w:r>
          </w:p>
        </w:tc>
        <w:tc>
          <w:tcPr>
            <w:tcW w:w="669"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2.09</w:t>
            </w:r>
          </w:p>
        </w:tc>
        <w:tc>
          <w:tcPr>
            <w:tcW w:w="662"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1.72</w:t>
            </w:r>
          </w:p>
        </w:tc>
        <w:tc>
          <w:tcPr>
            <w:tcW w:w="662"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1.62</w:t>
            </w:r>
          </w:p>
        </w:tc>
        <w:tc>
          <w:tcPr>
            <w:tcW w:w="662"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1.56</w:t>
            </w:r>
          </w:p>
        </w:tc>
        <w:tc>
          <w:tcPr>
            <w:tcW w:w="741"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1.67</w:t>
            </w:r>
          </w:p>
        </w:tc>
        <w:tc>
          <w:tcPr>
            <w:tcW w:w="662"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1.71</w:t>
            </w:r>
          </w:p>
        </w:tc>
        <w:tc>
          <w:tcPr>
            <w:tcW w:w="843" w:type="dxa"/>
            <w:tcBorders>
              <w:tl2br w:val="nil"/>
              <w:tr2bl w:val="nil"/>
            </w:tcBorders>
            <w:tcMar>
              <w:left w:w="28" w:type="dxa"/>
              <w:right w:w="28"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2.31</w:t>
            </w:r>
          </w:p>
        </w:tc>
      </w:tr>
    </w:tbl>
    <w:p>
      <w:pPr>
        <w:spacing w:line="500" w:lineRule="exact"/>
        <w:ind w:firstLine="954" w:firstLineChars="396"/>
        <w:rPr>
          <w:rFonts w:hint="default" w:ascii="Times New Roman" w:hAnsi="Times New Roman" w:cs="Times New Roman"/>
          <w:b/>
          <w:bCs/>
          <w:color w:val="auto"/>
        </w:rPr>
      </w:pPr>
      <w:r>
        <w:rPr>
          <w:rFonts w:hint="default" w:ascii="Times New Roman" w:hAnsi="Times New Roman" w:cs="Times New Roman"/>
          <w:b/>
          <w:bCs/>
          <w:color w:val="auto"/>
        </w:rPr>
        <w:t>表5.2-6   季小时平均风速的日变化情况         单位：m/s</w:t>
      </w:r>
    </w:p>
    <w:tbl>
      <w:tblPr>
        <w:tblStyle w:val="25"/>
        <w:tblW w:w="8916"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565"/>
        <w:gridCol w:w="612"/>
        <w:gridCol w:w="613"/>
        <w:gridCol w:w="612"/>
        <w:gridCol w:w="613"/>
        <w:gridCol w:w="612"/>
        <w:gridCol w:w="613"/>
        <w:gridCol w:w="612"/>
        <w:gridCol w:w="613"/>
        <w:gridCol w:w="613"/>
        <w:gridCol w:w="612"/>
        <w:gridCol w:w="612"/>
        <w:gridCol w:w="614"/>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95" w:hRule="exact"/>
          <w:jc w:val="center"/>
        </w:trPr>
        <w:tc>
          <w:tcPr>
            <w:tcW w:w="1565"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小时(h)</w:t>
            </w:r>
          </w:p>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 xml:space="preserve">风速(m/s)  </w:t>
            </w:r>
          </w:p>
        </w:tc>
        <w:tc>
          <w:tcPr>
            <w:tcW w:w="612"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w:t>
            </w:r>
          </w:p>
        </w:tc>
        <w:tc>
          <w:tcPr>
            <w:tcW w:w="613"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2</w:t>
            </w:r>
          </w:p>
        </w:tc>
        <w:tc>
          <w:tcPr>
            <w:tcW w:w="612"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3</w:t>
            </w:r>
          </w:p>
        </w:tc>
        <w:tc>
          <w:tcPr>
            <w:tcW w:w="613"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4</w:t>
            </w:r>
          </w:p>
        </w:tc>
        <w:tc>
          <w:tcPr>
            <w:tcW w:w="612"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5</w:t>
            </w:r>
          </w:p>
        </w:tc>
        <w:tc>
          <w:tcPr>
            <w:tcW w:w="613"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6</w:t>
            </w:r>
          </w:p>
        </w:tc>
        <w:tc>
          <w:tcPr>
            <w:tcW w:w="612"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7</w:t>
            </w:r>
          </w:p>
        </w:tc>
        <w:tc>
          <w:tcPr>
            <w:tcW w:w="613"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8</w:t>
            </w:r>
          </w:p>
        </w:tc>
        <w:tc>
          <w:tcPr>
            <w:tcW w:w="613"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9</w:t>
            </w:r>
          </w:p>
        </w:tc>
        <w:tc>
          <w:tcPr>
            <w:tcW w:w="612"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10</w:t>
            </w:r>
          </w:p>
        </w:tc>
        <w:tc>
          <w:tcPr>
            <w:tcW w:w="612"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11</w:t>
            </w:r>
          </w:p>
        </w:tc>
        <w:tc>
          <w:tcPr>
            <w:tcW w:w="614"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5" w:hRule="exact"/>
          <w:jc w:val="center"/>
        </w:trPr>
        <w:tc>
          <w:tcPr>
            <w:tcW w:w="1565"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春季                </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1.87</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1.99</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1.92</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1.96</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1.95</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2.04</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2.39</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2.91</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3.17</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3.49</w:t>
            </w:r>
          </w:p>
        </w:tc>
        <w:tc>
          <w:tcPr>
            <w:tcW w:w="614"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3.72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exact"/>
          <w:jc w:val="center"/>
        </w:trPr>
        <w:tc>
          <w:tcPr>
            <w:tcW w:w="1565"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夏季                </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1.38</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1.61</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1.61</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1.51</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1.48</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1.34</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1.66</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1.95</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2.12</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2.34</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2.31</w:t>
            </w:r>
          </w:p>
        </w:tc>
        <w:tc>
          <w:tcPr>
            <w:tcW w:w="614"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exact"/>
          <w:jc w:val="center"/>
        </w:trPr>
        <w:tc>
          <w:tcPr>
            <w:tcW w:w="1565"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秋季                </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1.23</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1.26</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1.31</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1.33</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1.31</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1.17</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1.32</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1.47</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1.93</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2.21</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2.43</w:t>
            </w:r>
          </w:p>
        </w:tc>
        <w:tc>
          <w:tcPr>
            <w:tcW w:w="614"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5" w:hRule="exact"/>
          <w:jc w:val="center"/>
        </w:trPr>
        <w:tc>
          <w:tcPr>
            <w:tcW w:w="1565"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冬季                </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1.77</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1.74</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1.69</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1.70</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1.71</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1.73</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1.73</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1.86</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2.05</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2.58</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2.78</w:t>
            </w:r>
          </w:p>
        </w:tc>
        <w:tc>
          <w:tcPr>
            <w:tcW w:w="614"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9" w:hRule="exact"/>
          <w:jc w:val="center"/>
        </w:trPr>
        <w:tc>
          <w:tcPr>
            <w:tcW w:w="1565"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小时</w:t>
            </w:r>
          </w:p>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风速(m/s)</w:t>
            </w:r>
          </w:p>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 xml:space="preserve"> </w:t>
            </w:r>
          </w:p>
        </w:tc>
        <w:tc>
          <w:tcPr>
            <w:tcW w:w="612"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13</w:t>
            </w:r>
          </w:p>
        </w:tc>
        <w:tc>
          <w:tcPr>
            <w:tcW w:w="613"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14</w:t>
            </w:r>
          </w:p>
        </w:tc>
        <w:tc>
          <w:tcPr>
            <w:tcW w:w="612"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15</w:t>
            </w:r>
          </w:p>
        </w:tc>
        <w:tc>
          <w:tcPr>
            <w:tcW w:w="613"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16</w:t>
            </w:r>
          </w:p>
        </w:tc>
        <w:tc>
          <w:tcPr>
            <w:tcW w:w="612"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17</w:t>
            </w:r>
          </w:p>
        </w:tc>
        <w:tc>
          <w:tcPr>
            <w:tcW w:w="613"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18</w:t>
            </w:r>
          </w:p>
        </w:tc>
        <w:tc>
          <w:tcPr>
            <w:tcW w:w="612"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19</w:t>
            </w:r>
          </w:p>
        </w:tc>
        <w:tc>
          <w:tcPr>
            <w:tcW w:w="613"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20</w:t>
            </w:r>
          </w:p>
        </w:tc>
        <w:tc>
          <w:tcPr>
            <w:tcW w:w="613"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21</w:t>
            </w:r>
          </w:p>
        </w:tc>
        <w:tc>
          <w:tcPr>
            <w:tcW w:w="612"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22</w:t>
            </w:r>
          </w:p>
        </w:tc>
        <w:tc>
          <w:tcPr>
            <w:tcW w:w="612"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23</w:t>
            </w:r>
          </w:p>
        </w:tc>
        <w:tc>
          <w:tcPr>
            <w:tcW w:w="614"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24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exact"/>
          <w:jc w:val="center"/>
        </w:trPr>
        <w:tc>
          <w:tcPr>
            <w:tcW w:w="1565"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春季                </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3.76</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3.68</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3.60</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3.26</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3.13</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2.49</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2.11</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2.07</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2.05</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2.13</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2.04</w:t>
            </w:r>
          </w:p>
        </w:tc>
        <w:tc>
          <w:tcPr>
            <w:tcW w:w="614"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exact"/>
          <w:jc w:val="center"/>
        </w:trPr>
        <w:tc>
          <w:tcPr>
            <w:tcW w:w="1565"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夏季                </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2.45</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2.37</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2.43</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2.33</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2.13</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1.76</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1.43</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1.28</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1.42</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1.31</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1.39</w:t>
            </w:r>
          </w:p>
        </w:tc>
        <w:tc>
          <w:tcPr>
            <w:tcW w:w="614"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exact"/>
          <w:jc w:val="center"/>
        </w:trPr>
        <w:tc>
          <w:tcPr>
            <w:tcW w:w="1565"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秋季                </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2.54</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2.51</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2.46</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1.48</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1.30</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1.22</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1.33</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1.41</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1.27</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1.28</w:t>
            </w:r>
          </w:p>
        </w:tc>
        <w:tc>
          <w:tcPr>
            <w:tcW w:w="614"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8" w:hRule="exact"/>
          <w:jc w:val="center"/>
        </w:trPr>
        <w:tc>
          <w:tcPr>
            <w:tcW w:w="1565"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冬季                </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2.99</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2.81</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2.81</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2.54</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2.14</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1.88</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1.80</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1.89</w:t>
            </w:r>
          </w:p>
        </w:tc>
        <w:tc>
          <w:tcPr>
            <w:tcW w:w="613"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1.81</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1.78</w:t>
            </w:r>
          </w:p>
        </w:tc>
        <w:tc>
          <w:tcPr>
            <w:tcW w:w="612"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1.70</w:t>
            </w:r>
          </w:p>
        </w:tc>
        <w:tc>
          <w:tcPr>
            <w:tcW w:w="614" w:type="dxa"/>
            <w:tcBorders>
              <w:tl2br w:val="nil"/>
              <w:tr2bl w:val="nil"/>
            </w:tcBorders>
            <w:vAlign w:val="bottom"/>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1.84</w:t>
            </w:r>
          </w:p>
        </w:tc>
      </w:tr>
    </w:tbl>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rPr>
        <w:drawing>
          <wp:anchor distT="0" distB="0" distL="114300" distR="114300" simplePos="0" relativeHeight="251783168" behindDoc="0" locked="0" layoutInCell="1" allowOverlap="1">
            <wp:simplePos x="0" y="0"/>
            <wp:positionH relativeFrom="column">
              <wp:posOffset>22860</wp:posOffset>
            </wp:positionH>
            <wp:positionV relativeFrom="paragraph">
              <wp:posOffset>55245</wp:posOffset>
            </wp:positionV>
            <wp:extent cx="5412740" cy="1978660"/>
            <wp:effectExtent l="0" t="0" r="16510" b="2540"/>
            <wp:wrapNone/>
            <wp:docPr id="40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6"/>
                    <pic:cNvPicPr>
                      <a:picLocks noChangeAspect="1"/>
                    </pic:cNvPicPr>
                  </pic:nvPicPr>
                  <pic:blipFill>
                    <a:blip r:embed="rId50" cstate="print"/>
                    <a:srcRect t="6299"/>
                    <a:stretch>
                      <a:fillRect/>
                    </a:stretch>
                  </pic:blipFill>
                  <pic:spPr>
                    <a:xfrm>
                      <a:off x="0" y="0"/>
                      <a:ext cx="5412740" cy="1978660"/>
                    </a:xfrm>
                    <a:prstGeom prst="rect">
                      <a:avLst/>
                    </a:prstGeom>
                    <a:noFill/>
                    <a:ln>
                      <a:noFill/>
                    </a:ln>
                  </pic:spPr>
                </pic:pic>
              </a:graphicData>
            </a:graphic>
          </wp:anchor>
        </w:drawing>
      </w:r>
    </w:p>
    <w:p>
      <w:pPr>
        <w:spacing w:line="500" w:lineRule="exact"/>
        <w:ind w:firstLine="480"/>
        <w:rPr>
          <w:rFonts w:hint="default" w:ascii="Times New Roman" w:hAnsi="Times New Roman" w:cs="Times New Roman"/>
          <w:color w:val="auto"/>
        </w:rPr>
      </w:pPr>
    </w:p>
    <w:p>
      <w:pPr>
        <w:spacing w:line="500" w:lineRule="exact"/>
        <w:ind w:firstLine="480"/>
        <w:rPr>
          <w:rFonts w:hint="default" w:ascii="Times New Roman" w:hAnsi="Times New Roman" w:cs="Times New Roman"/>
          <w:color w:val="auto"/>
        </w:rPr>
      </w:pPr>
    </w:p>
    <w:p>
      <w:pPr>
        <w:spacing w:line="500" w:lineRule="exact"/>
        <w:ind w:firstLine="480"/>
        <w:rPr>
          <w:rFonts w:hint="default" w:ascii="Times New Roman" w:hAnsi="Times New Roman" w:cs="Times New Roman"/>
          <w:color w:val="auto"/>
        </w:rPr>
      </w:pPr>
    </w:p>
    <w:p>
      <w:pPr>
        <w:spacing w:line="500" w:lineRule="exact"/>
        <w:ind w:firstLine="480"/>
        <w:rPr>
          <w:rFonts w:hint="default" w:ascii="Times New Roman" w:hAnsi="Times New Roman" w:cs="Times New Roman"/>
          <w:color w:val="auto"/>
        </w:rPr>
      </w:pPr>
    </w:p>
    <w:p>
      <w:pPr>
        <w:spacing w:line="500" w:lineRule="exact"/>
        <w:ind w:firstLine="480"/>
        <w:rPr>
          <w:rFonts w:hint="default" w:ascii="Times New Roman" w:hAnsi="Times New Roman" w:cs="Times New Roman"/>
          <w:color w:val="auto"/>
        </w:rPr>
      </w:pPr>
    </w:p>
    <w:p>
      <w:pPr>
        <w:ind w:firstLine="480"/>
        <w:rPr>
          <w:rFonts w:hint="default" w:ascii="Times New Roman" w:hAnsi="Times New Roman" w:cs="Times New Roman"/>
          <w:color w:val="auto"/>
        </w:rPr>
      </w:pPr>
    </w:p>
    <w:p>
      <w:pPr>
        <w:spacing w:beforeLines="50"/>
        <w:ind w:firstLine="1807" w:firstLineChars="750"/>
        <w:rPr>
          <w:rFonts w:hint="default" w:ascii="Times New Roman" w:hAnsi="Times New Roman" w:cs="Times New Roman"/>
          <w:b/>
          <w:bCs/>
          <w:color w:val="auto"/>
        </w:rPr>
      </w:pPr>
      <w:r>
        <w:rPr>
          <w:rFonts w:hint="default" w:ascii="Times New Roman" w:hAnsi="Times New Roman" w:cs="Times New Roman"/>
          <w:b/>
          <w:bCs/>
          <w:color w:val="auto"/>
        </w:rPr>
        <w:t>图5-3        年平均风速月变化曲线图</w:t>
      </w:r>
    </w:p>
    <w:p>
      <w:pPr>
        <w:ind w:firstLine="482"/>
        <w:rPr>
          <w:rFonts w:hint="default" w:ascii="Times New Roman" w:hAnsi="Times New Roman" w:cs="Times New Roman"/>
          <w:b/>
          <w:bCs/>
          <w:color w:val="auto"/>
          <w:szCs w:val="32"/>
        </w:rPr>
      </w:pPr>
      <w:r>
        <w:rPr>
          <w:rFonts w:hint="default" w:ascii="Times New Roman" w:hAnsi="Times New Roman" w:cs="Times New Roman"/>
          <w:b/>
          <w:bCs/>
          <w:color w:val="auto"/>
          <w:szCs w:val="32"/>
        </w:rPr>
        <w:t>5.2.1.5环境空气影响预测及评价</w:t>
      </w:r>
    </w:p>
    <w:bookmarkEnd w:id="525"/>
    <w:p>
      <w:pPr>
        <w:bidi w:val="0"/>
        <w:rPr>
          <w:rFonts w:hint="default" w:ascii="Times New Roman" w:hAnsi="Times New Roman" w:cs="Times New Roman"/>
          <w:color w:val="auto"/>
        </w:rPr>
      </w:pPr>
      <w:bookmarkStart w:id="528" w:name="_Toc354421685"/>
      <w:bookmarkStart w:id="529" w:name="_Toc477357249"/>
      <w:bookmarkStart w:id="530" w:name="_Toc477187434"/>
      <w:bookmarkStart w:id="531" w:name="_Toc476923286"/>
      <w:bookmarkStart w:id="532" w:name="_Toc366760262"/>
      <w:bookmarkStart w:id="533" w:name="_Toc476921968"/>
      <w:r>
        <w:rPr>
          <w:rFonts w:hint="default" w:ascii="Times New Roman" w:hAnsi="Times New Roman" w:cs="Times New Roman"/>
          <w:color w:val="auto"/>
        </w:rPr>
        <w:t>5.2.1.</w:t>
      </w:r>
      <w:r>
        <w:rPr>
          <w:rFonts w:hint="default" w:ascii="Times New Roman" w:hAnsi="Times New Roman" w:eastAsia="宋体" w:cs="Times New Roman"/>
          <w:color w:val="auto"/>
          <w:lang w:val="en-US" w:eastAsia="zh-CN"/>
        </w:rPr>
        <w:t>2</w:t>
      </w:r>
      <w:r>
        <w:rPr>
          <w:rFonts w:hint="default" w:ascii="Times New Roman" w:hAnsi="Times New Roman" w:cs="Times New Roman"/>
          <w:color w:val="auto"/>
        </w:rPr>
        <w:t>环境空气影响预测及评价</w:t>
      </w:r>
    </w:p>
    <w:p>
      <w:pPr>
        <w:keepNext w:val="0"/>
        <w:keepLines w:val="0"/>
        <w:pageBreakBefore w:val="0"/>
        <w:widowControl w:val="0"/>
        <w:kinsoku/>
        <w:wordWrap/>
        <w:overflowPunct/>
        <w:topLinePunct w:val="0"/>
        <w:autoSpaceDE/>
        <w:autoSpaceDN/>
        <w:bidi w:val="0"/>
        <w:adjustRightInd/>
        <w:snapToGrid w:val="0"/>
        <w:spacing w:line="360" w:lineRule="auto"/>
        <w:ind w:firstLine="360" w:firstLineChars="15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（1）预测因子</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根据导则要求，按照《建设项目环境影响评价技术导则总纲》（HJ2.1-2016）的要求识别大气环境影响因素，并筛选出大气环境影响评价因子。大气环境影响评价因子主要为项目排放的基本污染物及其他污染物。</w:t>
      </w:r>
    </w:p>
    <w:p>
      <w:pPr>
        <w:keepNext w:val="0"/>
        <w:keepLines w:val="0"/>
        <w:pageBreakBefore w:val="0"/>
        <w:widowControl w:val="0"/>
        <w:kinsoku/>
        <w:wordWrap/>
        <w:overflowPunct/>
        <w:topLinePunct w:val="0"/>
        <w:autoSpaceDE/>
        <w:autoSpaceDN/>
        <w:bidi w:val="0"/>
        <w:adjustRightInd/>
        <w:snapToGrid w:val="0"/>
        <w:spacing w:line="360" w:lineRule="auto"/>
        <w:ind w:firstLine="484" w:firstLineChars="202"/>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根据工程分析和污染源调查确定的评价因子，选取有环境空气质量标准的评价因子作为预测因子，确定拟建工程的预测因子为H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（2）评价标准</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的评价标准见表5.</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表5.2-7  评价标准                        单位：μg/m</w:t>
      </w:r>
      <w:r>
        <w:rPr>
          <w:rFonts w:hint="default" w:ascii="Times New Roman" w:hAnsi="Times New Roman" w:eastAsia="宋体" w:cs="Times New Roman"/>
          <w:b/>
          <w:bCs/>
          <w:color w:val="auto"/>
          <w:sz w:val="24"/>
          <w:szCs w:val="24"/>
          <w:vertAlign w:val="superscript"/>
        </w:rPr>
        <w:t>3</w:t>
      </w:r>
    </w:p>
    <w:tbl>
      <w:tblPr>
        <w:tblStyle w:val="25"/>
        <w:tblW w:w="8312" w:type="dxa"/>
        <w:jc w:val="center"/>
        <w:tblBorders>
          <w:top w:val="single" w:color="auto" w:sz="2" w:space="0"/>
          <w:left w:val="none" w:color="auto" w:sz="0" w:space="0"/>
          <w:bottom w:val="single" w:color="auto" w:sz="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181"/>
        <w:gridCol w:w="2121"/>
        <w:gridCol w:w="2098"/>
        <w:gridCol w:w="1531"/>
        <w:gridCol w:w="1381"/>
      </w:tblGrid>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jc w:val="center"/>
        </w:trPr>
        <w:tc>
          <w:tcPr>
            <w:tcW w:w="1181" w:type="dxa"/>
            <w:noWrap w:val="0"/>
            <w:vAlign w:val="center"/>
          </w:tcPr>
          <w:p>
            <w:pPr>
              <w:adjustRightInd/>
              <w:snapToGrid/>
              <w:spacing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2121" w:type="dxa"/>
            <w:noWrap w:val="0"/>
            <w:vAlign w:val="center"/>
          </w:tcPr>
          <w:p>
            <w:pPr>
              <w:adjustRightInd/>
              <w:snapToGrid/>
              <w:spacing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评价因子</w:t>
            </w:r>
          </w:p>
        </w:tc>
        <w:tc>
          <w:tcPr>
            <w:tcW w:w="2098" w:type="dxa"/>
            <w:noWrap w:val="0"/>
            <w:vAlign w:val="center"/>
          </w:tcPr>
          <w:p>
            <w:pPr>
              <w:adjustRightInd/>
              <w:snapToGrid/>
              <w:spacing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一小时平均</w:t>
            </w:r>
          </w:p>
        </w:tc>
        <w:tc>
          <w:tcPr>
            <w:tcW w:w="1531" w:type="dxa"/>
            <w:noWrap w:val="0"/>
            <w:vAlign w:val="center"/>
          </w:tcPr>
          <w:p>
            <w:pPr>
              <w:adjustRightInd/>
              <w:snapToGrid/>
              <w:spacing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日平均</w:t>
            </w:r>
          </w:p>
        </w:tc>
        <w:tc>
          <w:tcPr>
            <w:tcW w:w="1381" w:type="dxa"/>
            <w:noWrap w:val="0"/>
            <w:vAlign w:val="center"/>
          </w:tcPr>
          <w:p>
            <w:pPr>
              <w:adjustRightInd/>
              <w:snapToGrid/>
              <w:spacing w:line="320" w:lineRule="exac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年均值</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10" w:hRule="atLeast"/>
          <w:tblHeader/>
          <w:jc w:val="center"/>
        </w:trPr>
        <w:tc>
          <w:tcPr>
            <w:tcW w:w="1181" w:type="dxa"/>
            <w:noWrap w:val="0"/>
            <w:vAlign w:val="center"/>
          </w:tcPr>
          <w:p>
            <w:pPr>
              <w:adjustRightInd/>
              <w:snapToGrid/>
              <w:spacing w:line="320" w:lineRule="exact"/>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w:t>
            </w:r>
          </w:p>
        </w:tc>
        <w:tc>
          <w:tcPr>
            <w:tcW w:w="2121" w:type="dxa"/>
            <w:noWrap w:val="0"/>
            <w:vAlign w:val="center"/>
          </w:tcPr>
          <w:p>
            <w:pPr>
              <w:adjustRightInd/>
              <w:snapToGrid/>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p>
        </w:tc>
        <w:tc>
          <w:tcPr>
            <w:tcW w:w="2098" w:type="dxa"/>
            <w:noWrap w:val="0"/>
            <w:vAlign w:val="center"/>
          </w:tcPr>
          <w:p>
            <w:pPr>
              <w:adjustRightInd/>
              <w:snapToGrid/>
              <w:spacing w:line="320" w:lineRule="exact"/>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200</w:t>
            </w:r>
          </w:p>
        </w:tc>
        <w:tc>
          <w:tcPr>
            <w:tcW w:w="1531" w:type="dxa"/>
            <w:noWrap w:val="0"/>
            <w:vAlign w:val="center"/>
          </w:tcPr>
          <w:p>
            <w:pPr>
              <w:adjustRightInd/>
              <w:snapToGrid/>
              <w:spacing w:line="320" w:lineRule="exact"/>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1381" w:type="dxa"/>
            <w:noWrap w:val="0"/>
            <w:vAlign w:val="center"/>
          </w:tcPr>
          <w:p>
            <w:pPr>
              <w:adjustRightInd/>
              <w:snapToGrid/>
              <w:spacing w:line="320" w:lineRule="exact"/>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10" w:hRule="atLeast"/>
          <w:tblHeader/>
          <w:jc w:val="center"/>
        </w:trPr>
        <w:tc>
          <w:tcPr>
            <w:tcW w:w="1181" w:type="dxa"/>
            <w:noWrap w:val="0"/>
            <w:vAlign w:val="center"/>
          </w:tcPr>
          <w:p>
            <w:pPr>
              <w:adjustRightInd/>
              <w:snapToGrid/>
              <w:spacing w:line="320" w:lineRule="exact"/>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w:t>
            </w:r>
          </w:p>
        </w:tc>
        <w:tc>
          <w:tcPr>
            <w:tcW w:w="2121" w:type="dxa"/>
            <w:noWrap w:val="0"/>
            <w:vAlign w:val="center"/>
          </w:tcPr>
          <w:p>
            <w:pPr>
              <w:adjustRightInd/>
              <w:snapToGrid/>
              <w:spacing w:line="32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S</w:t>
            </w:r>
          </w:p>
        </w:tc>
        <w:tc>
          <w:tcPr>
            <w:tcW w:w="2098" w:type="dxa"/>
            <w:noWrap w:val="0"/>
            <w:vAlign w:val="center"/>
          </w:tcPr>
          <w:p>
            <w:pPr>
              <w:adjustRightInd/>
              <w:snapToGrid/>
              <w:spacing w:line="320" w:lineRule="exact"/>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10</w:t>
            </w:r>
          </w:p>
        </w:tc>
        <w:tc>
          <w:tcPr>
            <w:tcW w:w="1531" w:type="dxa"/>
            <w:noWrap w:val="0"/>
            <w:vAlign w:val="center"/>
          </w:tcPr>
          <w:p>
            <w:pPr>
              <w:adjustRightInd/>
              <w:snapToGrid/>
              <w:spacing w:line="320" w:lineRule="exact"/>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1381" w:type="dxa"/>
            <w:noWrap w:val="0"/>
            <w:vAlign w:val="center"/>
          </w:tcPr>
          <w:p>
            <w:pPr>
              <w:adjustRightInd/>
              <w:snapToGrid/>
              <w:spacing w:line="320" w:lineRule="exact"/>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r>
    </w:tbl>
    <w:p>
      <w:pPr>
        <w:bidi w:val="0"/>
        <w:rPr>
          <w:rFonts w:hint="default" w:ascii="Times New Roman" w:hAnsi="Times New Roman" w:cs="Times New Roman"/>
          <w:color w:val="auto"/>
        </w:rPr>
      </w:pPr>
      <w:r>
        <w:rPr>
          <w:rFonts w:hint="default" w:ascii="Times New Roman" w:hAnsi="Times New Roman" w:cs="Times New Roman"/>
          <w:color w:val="auto"/>
        </w:rPr>
        <w:t>5.</w:t>
      </w:r>
      <w:r>
        <w:rPr>
          <w:rFonts w:hint="default" w:ascii="Times New Roman" w:hAnsi="Times New Roman" w:cs="Times New Roman"/>
          <w:color w:val="auto"/>
          <w:lang w:val="en-US" w:eastAsia="zh-CN"/>
        </w:rPr>
        <w:t>2</w:t>
      </w:r>
      <w:r>
        <w:rPr>
          <w:rFonts w:hint="default" w:ascii="Times New Roman" w:hAnsi="Times New Roman" w:cs="Times New Roman"/>
          <w:color w:val="auto"/>
        </w:rPr>
        <w:t>.1.3预测范围</w:t>
      </w:r>
    </w:p>
    <w:p>
      <w:pPr>
        <w:keepNext w:val="0"/>
        <w:keepLines w:val="0"/>
        <w:pageBreakBefore w:val="0"/>
        <w:widowControl w:val="0"/>
        <w:kinsoku/>
        <w:wordWrap/>
        <w:overflowPunct/>
        <w:topLinePunct w:val="0"/>
        <w:autoSpaceDE w:val="0"/>
        <w:autoSpaceDN w:val="0"/>
        <w:bidi w:val="0"/>
        <w:adjustRightInd/>
        <w:snapToGrid w:val="0"/>
        <w:spacing w:before="0" w:beforeLines="0" w:line="360" w:lineRule="auto"/>
        <w:ind w:firstLine="480" w:firstLineChars="200"/>
        <w:jc w:val="both"/>
        <w:textAlignment w:val="baseline"/>
        <w:rPr>
          <w:rFonts w:hint="default" w:ascii="Times New Roman" w:hAnsi="Times New Roman" w:eastAsia="宋体" w:cs="Times New Roman"/>
          <w:bCs/>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根据《环境影响评价技术导则大气环境》(HJ 2.2-2018)中评价工作等级划分及评价范围确定的原则，采用导则推荐的估算模式对每一个污染物排放源下风向的轴线浓度及相应浓度占标率进行了计算，</w:t>
      </w:r>
      <w:r>
        <w:rPr>
          <w:rFonts w:hint="default" w:ascii="Times New Roman" w:hAnsi="Times New Roman" w:eastAsia="宋体" w:cs="Times New Roman"/>
          <w:color w:val="auto"/>
          <w:kern w:val="0"/>
          <w:sz w:val="24"/>
          <w:szCs w:val="28"/>
          <w:lang w:val="en-US" w:eastAsia="zh-CN" w:bidi="ar-SA"/>
        </w:rPr>
        <w:t>本项目大气环境影响评价等级为一级，评价范围为以</w:t>
      </w:r>
      <w:r>
        <w:rPr>
          <w:rFonts w:hint="default" w:ascii="Times New Roman" w:hAnsi="Times New Roman" w:eastAsia="宋体" w:cs="Times New Roman"/>
          <w:bCs/>
          <w:color w:val="auto"/>
          <w:kern w:val="0"/>
          <w:sz w:val="24"/>
          <w:szCs w:val="24"/>
          <w:lang w:val="en-US" w:eastAsia="zh-CN" w:bidi="ar-SA"/>
        </w:rPr>
        <w:t>养殖场为中心区域，自场界外延2500m的矩形区域。</w:t>
      </w:r>
    </w:p>
    <w:p>
      <w:pPr>
        <w:bidi w:val="0"/>
        <w:rPr>
          <w:rFonts w:hint="default" w:ascii="Times New Roman" w:hAnsi="Times New Roman" w:cs="Times New Roman"/>
          <w:color w:val="auto"/>
        </w:rPr>
      </w:pPr>
      <w:r>
        <w:rPr>
          <w:rFonts w:hint="default" w:ascii="Times New Roman" w:hAnsi="Times New Roman" w:cs="Times New Roman"/>
          <w:color w:val="auto"/>
        </w:rPr>
        <w:t>5.</w:t>
      </w:r>
      <w:r>
        <w:rPr>
          <w:rFonts w:hint="default" w:ascii="Times New Roman" w:hAnsi="Times New Roman" w:eastAsia="宋体" w:cs="Times New Roman"/>
          <w:color w:val="auto"/>
          <w:lang w:val="en-US" w:eastAsia="zh-CN"/>
        </w:rPr>
        <w:t>2</w:t>
      </w:r>
      <w:r>
        <w:rPr>
          <w:rFonts w:hint="default" w:ascii="Times New Roman" w:hAnsi="Times New Roman" w:cs="Times New Roman"/>
          <w:color w:val="auto"/>
        </w:rPr>
        <w:t>.1.4预测周期</w:t>
      </w:r>
    </w:p>
    <w:p>
      <w:pPr>
        <w:keepNext w:val="0"/>
        <w:keepLines w:val="0"/>
        <w:pageBreakBefore w:val="0"/>
        <w:widowControl w:val="0"/>
        <w:kinsoku/>
        <w:wordWrap/>
        <w:overflowPunct/>
        <w:topLinePunct w:val="0"/>
        <w:bidi w:val="0"/>
        <w:adjustRightInd/>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依据评价所需环境空气质量现状、气象资料等数据的可获得性、数据质量、代表性等因素，选择近3年中数据相对完整的1个日历年作为评价基准年。</w:t>
      </w:r>
    </w:p>
    <w:p>
      <w:pPr>
        <w:keepNext w:val="0"/>
        <w:keepLines w:val="0"/>
        <w:pageBreakBefore w:val="0"/>
        <w:widowControl w:val="0"/>
        <w:kinsoku/>
        <w:wordWrap/>
        <w:overflowPunct/>
        <w:topLinePunct w:val="0"/>
        <w:bidi w:val="0"/>
        <w:adjustRightInd/>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拟建工程评价基准年为201</w:t>
      </w:r>
      <w:r>
        <w:rPr>
          <w:rFonts w:hint="default" w:ascii="Times New Roman" w:hAnsi="Times New Roman" w:cs="Times New Roman"/>
          <w:color w:val="auto"/>
          <w:sz w:val="24"/>
          <w:szCs w:val="24"/>
          <w:lang w:val="en-US" w:eastAsia="zh-CN"/>
        </w:rPr>
        <w:t>9</w:t>
      </w:r>
      <w:r>
        <w:rPr>
          <w:rFonts w:hint="default" w:ascii="Times New Roman" w:hAnsi="Times New Roman" w:eastAsia="宋体" w:cs="Times New Roman"/>
          <w:color w:val="auto"/>
          <w:sz w:val="24"/>
          <w:szCs w:val="24"/>
        </w:rPr>
        <w:t>年，本次评价选取201</w:t>
      </w:r>
      <w:r>
        <w:rPr>
          <w:rFonts w:hint="default" w:ascii="Times New Roman" w:hAnsi="Times New Roman" w:cs="Times New Roman"/>
          <w:color w:val="auto"/>
          <w:sz w:val="24"/>
          <w:szCs w:val="24"/>
          <w:lang w:val="en-US" w:eastAsia="zh-CN"/>
        </w:rPr>
        <w:t>9</w:t>
      </w:r>
      <w:r>
        <w:rPr>
          <w:rFonts w:hint="default" w:ascii="Times New Roman" w:hAnsi="Times New Roman" w:eastAsia="宋体" w:cs="Times New Roman"/>
          <w:color w:val="auto"/>
          <w:sz w:val="24"/>
          <w:szCs w:val="24"/>
        </w:rPr>
        <w:t>年为预测周期，预测时段取连续1年。</w:t>
      </w:r>
    </w:p>
    <w:p>
      <w:pPr>
        <w:bidi w:val="0"/>
        <w:rPr>
          <w:rFonts w:hint="default" w:ascii="Times New Roman" w:hAnsi="Times New Roman" w:cs="Times New Roman"/>
          <w:color w:val="auto"/>
        </w:rPr>
      </w:pPr>
      <w:r>
        <w:rPr>
          <w:rFonts w:hint="default" w:ascii="Times New Roman" w:hAnsi="Times New Roman" w:cs="Times New Roman"/>
          <w:color w:val="auto"/>
        </w:rPr>
        <w:t>5.</w:t>
      </w:r>
      <w:r>
        <w:rPr>
          <w:rFonts w:hint="default" w:ascii="Times New Roman" w:hAnsi="Times New Roman" w:eastAsia="宋体" w:cs="Times New Roman"/>
          <w:color w:val="auto"/>
          <w:lang w:val="en-US" w:eastAsia="zh-CN"/>
        </w:rPr>
        <w:t>2</w:t>
      </w:r>
      <w:r>
        <w:rPr>
          <w:rFonts w:hint="default" w:ascii="Times New Roman" w:hAnsi="Times New Roman" w:cs="Times New Roman"/>
          <w:color w:val="auto"/>
        </w:rPr>
        <w:t>.1.5预测模型选取及选取依据</w:t>
      </w:r>
    </w:p>
    <w:p>
      <w:pPr>
        <w:keepNext w:val="0"/>
        <w:keepLines w:val="0"/>
        <w:pageBreakBefore w:val="0"/>
        <w:widowControl w:val="0"/>
        <w:kinsoku/>
        <w:wordWrap/>
        <w:overflowPunct/>
        <w:topLinePunct w:val="0"/>
        <w:bidi w:val="0"/>
        <w:adjustRightInd/>
        <w:snapToGrid w:val="0"/>
        <w:spacing w:line="360" w:lineRule="auto"/>
        <w:ind w:firstLine="48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评价等级计算，本次大气评价等级为一级。因此，需采用进一步预测模型开展大气环境影响预测与评价。根据《环境影响评价技术导则-大气环境》HJ2.2-2018）表3推荐模型适用范围，满足拟建工程进一步预测的模型有AREMOD、ADMS。根据</w:t>
      </w:r>
      <w:r>
        <w:rPr>
          <w:rFonts w:hint="default" w:ascii="Times New Roman" w:hAnsi="Times New Roman" w:cs="Times New Roman"/>
          <w:color w:val="auto"/>
          <w:sz w:val="24"/>
          <w:szCs w:val="24"/>
          <w:lang w:eastAsia="zh-CN"/>
        </w:rPr>
        <w:t>濮阳</w:t>
      </w:r>
      <w:r>
        <w:rPr>
          <w:rFonts w:hint="default" w:ascii="Times New Roman" w:hAnsi="Times New Roman" w:eastAsia="宋体" w:cs="Times New Roman"/>
          <w:color w:val="auto"/>
          <w:sz w:val="24"/>
          <w:szCs w:val="24"/>
        </w:rPr>
        <w:t>气象站201</w:t>
      </w:r>
      <w:r>
        <w:rPr>
          <w:rFonts w:hint="default" w:ascii="Times New Roman" w:hAnsi="Times New Roman" w:cs="Times New Roman"/>
          <w:color w:val="auto"/>
          <w:sz w:val="24"/>
          <w:szCs w:val="24"/>
          <w:lang w:val="en-US" w:eastAsia="zh-CN"/>
        </w:rPr>
        <w:t>9</w:t>
      </w:r>
      <w:r>
        <w:rPr>
          <w:rFonts w:hint="default" w:ascii="Times New Roman" w:hAnsi="Times New Roman" w:eastAsia="宋体" w:cs="Times New Roman"/>
          <w:color w:val="auto"/>
          <w:sz w:val="24"/>
          <w:szCs w:val="24"/>
        </w:rPr>
        <w:t>年的气象统计结果：201</w:t>
      </w:r>
      <w:r>
        <w:rPr>
          <w:rFonts w:hint="default" w:ascii="Times New Roman" w:hAnsi="Times New Roman" w:cs="Times New Roman"/>
          <w:color w:val="auto"/>
          <w:sz w:val="24"/>
          <w:szCs w:val="24"/>
          <w:lang w:val="en-US" w:eastAsia="zh-CN"/>
        </w:rPr>
        <w:t>9</w:t>
      </w:r>
      <w:r>
        <w:rPr>
          <w:rFonts w:hint="default" w:ascii="Times New Roman" w:hAnsi="Times New Roman" w:eastAsia="宋体" w:cs="Times New Roman"/>
          <w:color w:val="auto"/>
          <w:sz w:val="24"/>
          <w:szCs w:val="24"/>
        </w:rPr>
        <w:t>年出现风速≤0.5m/s的持续时间为16h，未超过72h</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另根据现场调查，拟建工程2.5km范围内无大型水体（海或湖），不会发生熏烟现象。因此，本次评价不需要采用CALPUFF模型进行进一步预测。根据以上模型比选，本次采用AERMOD模型对拟建工程进行进一步预测。</w:t>
      </w:r>
    </w:p>
    <w:p>
      <w:pPr>
        <w:keepNext w:val="0"/>
        <w:keepLines w:val="0"/>
        <w:pageBreakBefore w:val="0"/>
        <w:widowControl w:val="0"/>
        <w:kinsoku/>
        <w:wordWrap/>
        <w:overflowPunct/>
        <w:topLinePunct w:val="0"/>
        <w:bidi w:val="0"/>
        <w:adjustRightInd/>
        <w:snapToGrid w:val="0"/>
        <w:spacing w:line="360" w:lineRule="auto"/>
        <w:ind w:firstLine="48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AERMOD模式是美国国家环保署与美国气象学会联合开发的新扩散模型，主要包括三个模块：AERMOD（AERMIC扩散模型）、AERMAP（AERMOD地形预处理）和AERMET（AERMOD气象预处理）。</w:t>
      </w:r>
    </w:p>
    <w:p>
      <w:pPr>
        <w:keepNext w:val="0"/>
        <w:keepLines w:val="0"/>
        <w:pageBreakBefore w:val="0"/>
        <w:widowControl w:val="0"/>
        <w:kinsoku/>
        <w:wordWrap/>
        <w:overflowPunct/>
        <w:topLinePunct w:val="0"/>
        <w:bidi w:val="0"/>
        <w:adjustRightInd/>
        <w:snapToGrid w:val="0"/>
        <w:spacing w:line="360" w:lineRule="auto"/>
        <w:ind w:firstLine="48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ERMOD是一个稳态烟羽扩散模式，可基于大气边界层数据特征模拟点源、面源、体源等排放出的污染物在短期（小时平均、日平均）、长期（年平均）的浓度分布，适用于农村或城市地区、简单或复杂地形。AERMOD考虑了建筑物尾流的影响，即烟羽下洗。模式使用每小时连续预处理气象数据模拟大于等于1小时平均时间的浓度分布。AERMOD包括两个预处理模式，即AERMET气象预处理和AERMAP地形预处理模式。</w:t>
      </w:r>
    </w:p>
    <w:p>
      <w:pPr>
        <w:bidi w:val="0"/>
        <w:rPr>
          <w:rFonts w:hint="default" w:ascii="Times New Roman" w:hAnsi="Times New Roman" w:cs="Times New Roman"/>
          <w:color w:val="auto"/>
        </w:rPr>
      </w:pPr>
      <w:r>
        <w:rPr>
          <w:rFonts w:hint="default" w:ascii="Times New Roman" w:hAnsi="Times New Roman" w:cs="Times New Roman"/>
          <w:color w:val="auto"/>
        </w:rPr>
        <w:t>5.</w:t>
      </w:r>
      <w:r>
        <w:rPr>
          <w:rFonts w:hint="default" w:ascii="Times New Roman" w:hAnsi="Times New Roman" w:eastAsia="宋体" w:cs="Times New Roman"/>
          <w:color w:val="auto"/>
          <w:lang w:val="en-US" w:eastAsia="zh-CN"/>
        </w:rPr>
        <w:t>2</w:t>
      </w:r>
      <w:r>
        <w:rPr>
          <w:rFonts w:hint="default" w:ascii="Times New Roman" w:hAnsi="Times New Roman" w:cs="Times New Roman"/>
          <w:color w:val="auto"/>
        </w:rPr>
        <w:t>.1.6气象数据</w:t>
      </w:r>
    </w:p>
    <w:p>
      <w:pPr>
        <w:keepNext w:val="0"/>
        <w:keepLines w:val="0"/>
        <w:pageBreakBefore w:val="0"/>
        <w:widowControl w:val="0"/>
        <w:kinsoku/>
        <w:wordWrap/>
        <w:overflowPunct/>
        <w:topLinePunct w:val="0"/>
        <w:bidi w:val="0"/>
        <w:adjustRightInd/>
        <w:snapToGrid w:val="0"/>
        <w:spacing w:line="360" w:lineRule="auto"/>
        <w:ind w:firstLine="480" w:firstLineChars="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本数据中地面及高空气象数据均来源于</w:t>
      </w:r>
      <w:r>
        <w:rPr>
          <w:rFonts w:hint="default" w:ascii="Times New Roman" w:hAnsi="Times New Roman" w:cs="Times New Roman"/>
          <w:color w:val="auto"/>
          <w:sz w:val="24"/>
          <w:szCs w:val="24"/>
          <w:lang w:eastAsia="zh-CN"/>
        </w:rPr>
        <w:t>濮阳</w:t>
      </w:r>
      <w:r>
        <w:rPr>
          <w:rFonts w:hint="default" w:ascii="Times New Roman" w:hAnsi="Times New Roman" w:eastAsia="宋体" w:cs="Times New Roman"/>
          <w:color w:val="auto"/>
          <w:sz w:val="24"/>
          <w:szCs w:val="24"/>
        </w:rPr>
        <w:t>气象站，对于观测数据中存在个别数据缺失的时段，采用线性插值方式予以补充。对于低云量的缺失（低云量主要影响气象统计分析，不参与模型计算），采用总云量代替的方式予以补充。</w:t>
      </w:r>
    </w:p>
    <w:p>
      <w:pPr>
        <w:keepNext w:val="0"/>
        <w:keepLines w:val="0"/>
        <w:pageBreakBefore w:val="0"/>
        <w:widowControl w:val="0"/>
        <w:kinsoku/>
        <w:wordWrap/>
        <w:overflowPunct/>
        <w:topLinePunct w:val="0"/>
        <w:bidi w:val="0"/>
        <w:adjustRightInd/>
        <w:snapToGrid w:val="0"/>
        <w:spacing w:line="360" w:lineRule="auto"/>
        <w:ind w:firstLine="480" w:firstLineChars="0"/>
        <w:rPr>
          <w:rFonts w:hint="default" w:ascii="Times New Roman" w:hAnsi="Times New Roman" w:eastAsia="宋体" w:cs="Times New Roman"/>
          <w:color w:val="auto"/>
          <w:sz w:val="21"/>
          <w:szCs w:val="22"/>
        </w:rPr>
      </w:pPr>
      <w:r>
        <w:rPr>
          <w:rFonts w:hint="default" w:ascii="Times New Roman" w:hAnsi="Times New Roman" w:eastAsia="宋体" w:cs="Times New Roman"/>
          <w:color w:val="auto"/>
          <w:sz w:val="24"/>
          <w:szCs w:val="24"/>
        </w:rPr>
        <w:t>拟建工程采用的气象站数据见表5.</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w:t>
      </w:r>
    </w:p>
    <w:p>
      <w:pPr>
        <w:numPr>
          <w:ilvl w:val="0"/>
          <w:numId w:val="0"/>
        </w:numPr>
        <w:adjustRightInd/>
        <w:snapToGrid/>
        <w:spacing w:before="120" w:beforeLines="50" w:after="120" w:afterLines="5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表5.2-8             观测气象数据信息一览表</w:t>
      </w:r>
    </w:p>
    <w:tbl>
      <w:tblPr>
        <w:tblStyle w:val="25"/>
        <w:tblW w:w="8730"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67"/>
        <w:gridCol w:w="725"/>
        <w:gridCol w:w="744"/>
        <w:gridCol w:w="1041"/>
        <w:gridCol w:w="892"/>
        <w:gridCol w:w="744"/>
        <w:gridCol w:w="892"/>
        <w:gridCol w:w="1041"/>
        <w:gridCol w:w="1884"/>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236" w:type="dxa"/>
            <w:gridSpan w:val="3"/>
            <w:noWrap w:val="0"/>
            <w:vAlign w:val="center"/>
          </w:tcPr>
          <w:p>
            <w:pPr>
              <w:kinsoku w:val="0"/>
              <w:overflowPunct w:val="0"/>
              <w:autoSpaceDE w:val="0"/>
              <w:autoSpaceDN w:val="0"/>
              <w:adjustRightInd w:val="0"/>
              <w:snapToGrid/>
              <w:spacing w:line="240" w:lineRule="auto"/>
              <w:ind w:firstLine="0" w:firstLineChars="0"/>
              <w:jc w:val="center"/>
              <w:rPr>
                <w:rFonts w:hint="default" w:ascii="Times New Roman" w:hAnsi="Times New Roman" w:eastAsia="宋体" w:cs="Times New Roman"/>
                <w:b/>
                <w:color w:val="auto"/>
                <w:spacing w:val="3"/>
                <w:kern w:val="0"/>
                <w:sz w:val="21"/>
                <w:szCs w:val="21"/>
              </w:rPr>
            </w:pPr>
            <w:r>
              <w:rPr>
                <w:rFonts w:hint="default" w:ascii="Times New Roman" w:hAnsi="Times New Roman" w:eastAsia="宋体" w:cs="Times New Roman"/>
                <w:b/>
                <w:color w:val="auto"/>
                <w:spacing w:val="3"/>
                <w:kern w:val="0"/>
                <w:sz w:val="21"/>
                <w:szCs w:val="21"/>
              </w:rPr>
              <w:t>气象站</w:t>
            </w:r>
          </w:p>
        </w:tc>
        <w:tc>
          <w:tcPr>
            <w:tcW w:w="1933" w:type="dxa"/>
            <w:gridSpan w:val="2"/>
            <w:noWrap w:val="0"/>
            <w:vAlign w:val="center"/>
          </w:tcPr>
          <w:p>
            <w:pPr>
              <w:kinsoku w:val="0"/>
              <w:overflowPunct w:val="0"/>
              <w:autoSpaceDE w:val="0"/>
              <w:autoSpaceDN w:val="0"/>
              <w:adjustRightInd w:val="0"/>
              <w:snapToGrid/>
              <w:spacing w:line="240" w:lineRule="auto"/>
              <w:ind w:firstLine="0" w:firstLineChars="0"/>
              <w:jc w:val="center"/>
              <w:rPr>
                <w:rFonts w:hint="default" w:ascii="Times New Roman" w:hAnsi="Times New Roman" w:eastAsia="宋体" w:cs="Times New Roman"/>
                <w:b/>
                <w:color w:val="auto"/>
                <w:spacing w:val="6"/>
                <w:kern w:val="0"/>
                <w:sz w:val="21"/>
                <w:szCs w:val="21"/>
              </w:rPr>
            </w:pPr>
            <w:r>
              <w:rPr>
                <w:rFonts w:hint="default" w:ascii="Times New Roman" w:hAnsi="Times New Roman" w:eastAsia="宋体" w:cs="Times New Roman"/>
                <w:b/>
                <w:color w:val="auto"/>
                <w:spacing w:val="6"/>
                <w:kern w:val="0"/>
                <w:sz w:val="21"/>
                <w:szCs w:val="21"/>
              </w:rPr>
              <w:t>位置</w:t>
            </w:r>
          </w:p>
        </w:tc>
        <w:tc>
          <w:tcPr>
            <w:tcW w:w="744" w:type="dxa"/>
            <w:vMerge w:val="restart"/>
            <w:noWrap w:val="0"/>
            <w:vAlign w:val="center"/>
          </w:tcPr>
          <w:p>
            <w:pPr>
              <w:kinsoku w:val="0"/>
              <w:overflowPunct w:val="0"/>
              <w:autoSpaceDE w:val="0"/>
              <w:autoSpaceDN w:val="0"/>
              <w:adjustRightInd w:val="0"/>
              <w:snapToGrid/>
              <w:spacing w:line="240" w:lineRule="auto"/>
              <w:ind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spacing w:val="6"/>
                <w:kern w:val="0"/>
                <w:sz w:val="21"/>
                <w:szCs w:val="21"/>
              </w:rPr>
              <w:t>距离</w:t>
            </w:r>
          </w:p>
        </w:tc>
        <w:tc>
          <w:tcPr>
            <w:tcW w:w="892" w:type="dxa"/>
            <w:vMerge w:val="restart"/>
            <w:noWrap w:val="0"/>
            <w:vAlign w:val="center"/>
          </w:tcPr>
          <w:p>
            <w:pPr>
              <w:kinsoku w:val="0"/>
              <w:overflowPunct w:val="0"/>
              <w:autoSpaceDE w:val="0"/>
              <w:autoSpaceDN w:val="0"/>
              <w:adjustRightInd w:val="0"/>
              <w:snapToGrid/>
              <w:spacing w:line="240" w:lineRule="auto"/>
              <w:ind w:firstLine="0" w:firstLineChars="0"/>
              <w:jc w:val="center"/>
              <w:rPr>
                <w:rFonts w:hint="default" w:ascii="Times New Roman" w:hAnsi="Times New Roman" w:eastAsia="宋体" w:cs="Times New Roman"/>
                <w:b/>
                <w:color w:val="auto"/>
                <w:spacing w:val="6"/>
                <w:kern w:val="0"/>
                <w:sz w:val="21"/>
                <w:szCs w:val="21"/>
              </w:rPr>
            </w:pPr>
            <w:r>
              <w:rPr>
                <w:rFonts w:hint="default" w:ascii="Times New Roman" w:hAnsi="Times New Roman" w:eastAsia="宋体" w:cs="Times New Roman"/>
                <w:b/>
                <w:color w:val="auto"/>
                <w:spacing w:val="6"/>
                <w:kern w:val="0"/>
                <w:sz w:val="21"/>
                <w:szCs w:val="21"/>
              </w:rPr>
              <w:t>海拔</w:t>
            </w:r>
          </w:p>
          <w:p>
            <w:pPr>
              <w:kinsoku w:val="0"/>
              <w:overflowPunct w:val="0"/>
              <w:autoSpaceDE w:val="0"/>
              <w:autoSpaceDN w:val="0"/>
              <w:adjustRightInd w:val="0"/>
              <w:snapToGrid/>
              <w:spacing w:line="240" w:lineRule="auto"/>
              <w:ind w:firstLine="0" w:firstLineChars="0"/>
              <w:jc w:val="center"/>
              <w:rPr>
                <w:rFonts w:hint="default" w:ascii="Times New Roman" w:hAnsi="Times New Roman" w:eastAsia="宋体" w:cs="Times New Roman"/>
                <w:b/>
                <w:color w:val="auto"/>
                <w:spacing w:val="6"/>
                <w:kern w:val="0"/>
                <w:sz w:val="21"/>
                <w:szCs w:val="21"/>
              </w:rPr>
            </w:pPr>
            <w:r>
              <w:rPr>
                <w:rFonts w:hint="default" w:ascii="Times New Roman" w:hAnsi="Times New Roman" w:eastAsia="宋体" w:cs="Times New Roman"/>
                <w:b/>
                <w:color w:val="auto"/>
                <w:spacing w:val="6"/>
                <w:kern w:val="0"/>
                <w:sz w:val="21"/>
                <w:szCs w:val="21"/>
              </w:rPr>
              <w:t>高度</w:t>
            </w:r>
          </w:p>
        </w:tc>
        <w:tc>
          <w:tcPr>
            <w:tcW w:w="1041" w:type="dxa"/>
            <w:vMerge w:val="restart"/>
            <w:noWrap w:val="0"/>
            <w:vAlign w:val="center"/>
          </w:tcPr>
          <w:p>
            <w:pPr>
              <w:kinsoku w:val="0"/>
              <w:overflowPunct w:val="0"/>
              <w:autoSpaceDE w:val="0"/>
              <w:autoSpaceDN w:val="0"/>
              <w:adjustRightInd w:val="0"/>
              <w:snapToGrid/>
              <w:spacing w:line="240" w:lineRule="auto"/>
              <w:ind w:firstLine="0" w:firstLineChars="0"/>
              <w:jc w:val="center"/>
              <w:rPr>
                <w:rFonts w:hint="default" w:ascii="Times New Roman" w:hAnsi="Times New Roman" w:eastAsia="宋体" w:cs="Times New Roman"/>
                <w:b/>
                <w:color w:val="auto"/>
                <w:spacing w:val="6"/>
                <w:kern w:val="0"/>
                <w:sz w:val="21"/>
                <w:szCs w:val="21"/>
              </w:rPr>
            </w:pPr>
            <w:r>
              <w:rPr>
                <w:rFonts w:hint="default" w:ascii="Times New Roman" w:hAnsi="Times New Roman" w:eastAsia="宋体" w:cs="Times New Roman"/>
                <w:b/>
                <w:color w:val="auto"/>
                <w:spacing w:val="6"/>
                <w:kern w:val="0"/>
                <w:sz w:val="21"/>
                <w:szCs w:val="21"/>
              </w:rPr>
              <w:t>数据年份</w:t>
            </w:r>
          </w:p>
        </w:tc>
        <w:tc>
          <w:tcPr>
            <w:tcW w:w="1884" w:type="dxa"/>
            <w:vMerge w:val="restart"/>
            <w:noWrap w:val="0"/>
            <w:vAlign w:val="center"/>
          </w:tcPr>
          <w:p>
            <w:pPr>
              <w:kinsoku w:val="0"/>
              <w:overflowPunct w:val="0"/>
              <w:autoSpaceDE w:val="0"/>
              <w:autoSpaceDN w:val="0"/>
              <w:adjustRightInd w:val="0"/>
              <w:snapToGrid/>
              <w:spacing w:line="240" w:lineRule="auto"/>
              <w:ind w:firstLine="0" w:firstLineChars="0"/>
              <w:jc w:val="center"/>
              <w:rPr>
                <w:rFonts w:hint="default" w:ascii="Times New Roman" w:hAnsi="Times New Roman" w:eastAsia="宋体" w:cs="Times New Roman"/>
                <w:b/>
                <w:color w:val="auto"/>
                <w:spacing w:val="6"/>
                <w:kern w:val="0"/>
                <w:sz w:val="21"/>
                <w:szCs w:val="21"/>
              </w:rPr>
            </w:pPr>
            <w:r>
              <w:rPr>
                <w:rFonts w:hint="default" w:ascii="Times New Roman" w:hAnsi="Times New Roman" w:eastAsia="宋体" w:cs="Times New Roman"/>
                <w:b/>
                <w:color w:val="auto"/>
                <w:spacing w:val="6"/>
                <w:kern w:val="0"/>
                <w:sz w:val="21"/>
                <w:szCs w:val="21"/>
              </w:rPr>
              <w:t>气象要素</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67" w:type="dxa"/>
            <w:noWrap w:val="0"/>
            <w:vAlign w:val="center"/>
          </w:tcPr>
          <w:p>
            <w:pPr>
              <w:kinsoku w:val="0"/>
              <w:overflowPunct w:val="0"/>
              <w:autoSpaceDE w:val="0"/>
              <w:autoSpaceDN w:val="0"/>
              <w:adjustRightInd w:val="0"/>
              <w:snapToGrid/>
              <w:spacing w:line="240" w:lineRule="auto"/>
              <w:ind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名称</w:t>
            </w:r>
          </w:p>
        </w:tc>
        <w:tc>
          <w:tcPr>
            <w:tcW w:w="725" w:type="dxa"/>
            <w:noWrap w:val="0"/>
            <w:vAlign w:val="center"/>
          </w:tcPr>
          <w:p>
            <w:pPr>
              <w:kinsoku w:val="0"/>
              <w:overflowPunct w:val="0"/>
              <w:autoSpaceDE w:val="0"/>
              <w:autoSpaceDN w:val="0"/>
              <w:adjustRightInd w:val="0"/>
              <w:snapToGrid/>
              <w:spacing w:line="240" w:lineRule="auto"/>
              <w:ind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编号</w:t>
            </w:r>
          </w:p>
        </w:tc>
        <w:tc>
          <w:tcPr>
            <w:tcW w:w="744" w:type="dxa"/>
            <w:noWrap w:val="0"/>
            <w:vAlign w:val="center"/>
          </w:tcPr>
          <w:p>
            <w:pPr>
              <w:kinsoku w:val="0"/>
              <w:overflowPunct w:val="0"/>
              <w:autoSpaceDE w:val="0"/>
              <w:autoSpaceDN w:val="0"/>
              <w:adjustRightInd w:val="0"/>
              <w:snapToGrid/>
              <w:spacing w:line="240" w:lineRule="auto"/>
              <w:ind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等级</w:t>
            </w:r>
          </w:p>
        </w:tc>
        <w:tc>
          <w:tcPr>
            <w:tcW w:w="1041" w:type="dxa"/>
            <w:noWrap w:val="0"/>
            <w:vAlign w:val="center"/>
          </w:tcPr>
          <w:p>
            <w:pPr>
              <w:kinsoku w:val="0"/>
              <w:overflowPunct w:val="0"/>
              <w:autoSpaceDE w:val="0"/>
              <w:autoSpaceDN w:val="0"/>
              <w:adjustRightInd w:val="0"/>
              <w:snapToGrid/>
              <w:spacing w:line="240" w:lineRule="auto"/>
              <w:ind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spacing w:val="3"/>
                <w:kern w:val="0"/>
                <w:sz w:val="21"/>
                <w:szCs w:val="21"/>
              </w:rPr>
              <w:t>经度</w:t>
            </w:r>
          </w:p>
        </w:tc>
        <w:tc>
          <w:tcPr>
            <w:tcW w:w="892" w:type="dxa"/>
            <w:noWrap w:val="0"/>
            <w:vAlign w:val="center"/>
          </w:tcPr>
          <w:p>
            <w:pPr>
              <w:kinsoku w:val="0"/>
              <w:overflowPunct w:val="0"/>
              <w:autoSpaceDE w:val="0"/>
              <w:autoSpaceDN w:val="0"/>
              <w:adjustRightInd w:val="0"/>
              <w:snapToGrid/>
              <w:spacing w:line="240" w:lineRule="auto"/>
              <w:ind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spacing w:val="3"/>
                <w:kern w:val="0"/>
                <w:sz w:val="21"/>
                <w:szCs w:val="21"/>
              </w:rPr>
              <w:t>纬度</w:t>
            </w:r>
          </w:p>
        </w:tc>
        <w:tc>
          <w:tcPr>
            <w:tcW w:w="744" w:type="dxa"/>
            <w:vMerge w:val="continue"/>
            <w:noWrap w:val="0"/>
            <w:vAlign w:val="center"/>
          </w:tcPr>
          <w:p>
            <w:pPr>
              <w:kinsoku w:val="0"/>
              <w:overflowPunct w:val="0"/>
              <w:autoSpaceDE w:val="0"/>
              <w:autoSpaceDN w:val="0"/>
              <w:adjustRightInd w:val="0"/>
              <w:snapToGrid/>
              <w:spacing w:line="240" w:lineRule="auto"/>
              <w:ind w:firstLine="0" w:firstLineChars="0"/>
              <w:jc w:val="center"/>
              <w:rPr>
                <w:rFonts w:hint="default" w:ascii="Times New Roman" w:hAnsi="Times New Roman" w:eastAsia="宋体" w:cs="Times New Roman"/>
                <w:color w:val="auto"/>
                <w:spacing w:val="6"/>
                <w:kern w:val="0"/>
                <w:sz w:val="21"/>
                <w:szCs w:val="21"/>
              </w:rPr>
            </w:pPr>
          </w:p>
        </w:tc>
        <w:tc>
          <w:tcPr>
            <w:tcW w:w="892" w:type="dxa"/>
            <w:vMerge w:val="continue"/>
            <w:noWrap w:val="0"/>
            <w:vAlign w:val="center"/>
          </w:tcPr>
          <w:p>
            <w:pPr>
              <w:kinsoku w:val="0"/>
              <w:overflowPunct w:val="0"/>
              <w:autoSpaceDE w:val="0"/>
              <w:autoSpaceDN w:val="0"/>
              <w:adjustRightInd w:val="0"/>
              <w:snapToGrid/>
              <w:spacing w:line="240" w:lineRule="auto"/>
              <w:ind w:firstLine="0" w:firstLineChars="0"/>
              <w:jc w:val="center"/>
              <w:rPr>
                <w:rFonts w:hint="default" w:ascii="Times New Roman" w:hAnsi="Times New Roman" w:eastAsia="宋体" w:cs="Times New Roman"/>
                <w:color w:val="auto"/>
                <w:spacing w:val="6"/>
                <w:kern w:val="0"/>
                <w:sz w:val="21"/>
                <w:szCs w:val="21"/>
              </w:rPr>
            </w:pPr>
          </w:p>
        </w:tc>
        <w:tc>
          <w:tcPr>
            <w:tcW w:w="1041" w:type="dxa"/>
            <w:vMerge w:val="continue"/>
            <w:noWrap w:val="0"/>
            <w:vAlign w:val="center"/>
          </w:tcPr>
          <w:p>
            <w:pPr>
              <w:kinsoku w:val="0"/>
              <w:overflowPunct w:val="0"/>
              <w:autoSpaceDE w:val="0"/>
              <w:autoSpaceDN w:val="0"/>
              <w:adjustRightInd w:val="0"/>
              <w:snapToGrid/>
              <w:spacing w:line="240" w:lineRule="auto"/>
              <w:ind w:firstLine="0" w:firstLineChars="0"/>
              <w:jc w:val="center"/>
              <w:rPr>
                <w:rFonts w:hint="default" w:ascii="Times New Roman" w:hAnsi="Times New Roman" w:eastAsia="宋体" w:cs="Times New Roman"/>
                <w:color w:val="auto"/>
                <w:spacing w:val="6"/>
                <w:kern w:val="0"/>
                <w:sz w:val="21"/>
                <w:szCs w:val="21"/>
              </w:rPr>
            </w:pPr>
          </w:p>
        </w:tc>
        <w:tc>
          <w:tcPr>
            <w:tcW w:w="1884" w:type="dxa"/>
            <w:vMerge w:val="continue"/>
            <w:noWrap w:val="0"/>
            <w:vAlign w:val="center"/>
          </w:tcPr>
          <w:p>
            <w:pPr>
              <w:kinsoku w:val="0"/>
              <w:overflowPunct w:val="0"/>
              <w:autoSpaceDE w:val="0"/>
              <w:autoSpaceDN w:val="0"/>
              <w:adjustRightInd w:val="0"/>
              <w:snapToGrid/>
              <w:spacing w:line="240" w:lineRule="auto"/>
              <w:ind w:firstLine="0" w:firstLineChars="0"/>
              <w:jc w:val="center"/>
              <w:rPr>
                <w:rFonts w:hint="default" w:ascii="Times New Roman" w:hAnsi="Times New Roman" w:eastAsia="宋体" w:cs="Times New Roman"/>
                <w:color w:val="auto"/>
                <w:spacing w:val="6"/>
                <w:kern w:val="0"/>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767" w:type="dxa"/>
            <w:noWrap w:val="0"/>
            <w:vAlign w:val="center"/>
          </w:tcPr>
          <w:p>
            <w:pPr>
              <w:kinsoku w:val="0"/>
              <w:overflowPunct w:val="0"/>
              <w:autoSpaceDE w:val="0"/>
              <w:autoSpaceDN w:val="0"/>
              <w:adjustRightInd w:val="0"/>
              <w:snapToGrid/>
              <w:spacing w:line="240" w:lineRule="auto"/>
              <w:ind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spacing w:val="3"/>
                <w:kern w:val="0"/>
                <w:sz w:val="21"/>
                <w:szCs w:val="21"/>
                <w:lang w:eastAsia="zh-CN"/>
              </w:rPr>
              <w:t>濮阳</w:t>
            </w:r>
          </w:p>
        </w:tc>
        <w:tc>
          <w:tcPr>
            <w:tcW w:w="725" w:type="dxa"/>
            <w:noWrap w:val="0"/>
            <w:vAlign w:val="center"/>
          </w:tcPr>
          <w:p>
            <w:pPr>
              <w:kinsoku w:val="0"/>
              <w:overflowPunct w:val="0"/>
              <w:autoSpaceDE w:val="0"/>
              <w:autoSpaceDN w:val="0"/>
              <w:adjustRightInd w:val="0"/>
              <w:snapToGrid/>
              <w:spacing w:line="240" w:lineRule="auto"/>
              <w:ind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5490</w:t>
            </w:r>
            <w:r>
              <w:rPr>
                <w:rFonts w:hint="default" w:ascii="Times New Roman" w:hAnsi="Times New Roman" w:cs="Times New Roman"/>
                <w:color w:val="auto"/>
                <w:kern w:val="0"/>
                <w:sz w:val="21"/>
                <w:szCs w:val="21"/>
                <w:lang w:val="en-US" w:eastAsia="zh-CN"/>
              </w:rPr>
              <w:t>0</w:t>
            </w:r>
          </w:p>
        </w:tc>
        <w:tc>
          <w:tcPr>
            <w:tcW w:w="744" w:type="dxa"/>
            <w:noWrap w:val="0"/>
            <w:vAlign w:val="center"/>
          </w:tcPr>
          <w:p>
            <w:pPr>
              <w:kinsoku w:val="0"/>
              <w:overflowPunct w:val="0"/>
              <w:autoSpaceDE w:val="0"/>
              <w:autoSpaceDN w:val="0"/>
              <w:adjustRightInd w:val="0"/>
              <w:snapToGrid/>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一般站</w:t>
            </w:r>
          </w:p>
        </w:tc>
        <w:tc>
          <w:tcPr>
            <w:tcW w:w="1041" w:type="dxa"/>
            <w:noWrap w:val="0"/>
            <w:vAlign w:val="center"/>
          </w:tcPr>
          <w:p>
            <w:pPr>
              <w:kinsoku w:val="0"/>
              <w:overflowPunct w:val="0"/>
              <w:autoSpaceDE w:val="0"/>
              <w:autoSpaceDN w:val="0"/>
              <w:adjustRightInd w:val="0"/>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shd w:val="clear" w:color="auto" w:fill="F5F5F5"/>
              </w:rPr>
              <w:t>115.</w:t>
            </w:r>
            <w:r>
              <w:rPr>
                <w:rFonts w:hint="default" w:ascii="Times New Roman" w:hAnsi="Times New Roman" w:cs="Times New Roman"/>
                <w:color w:val="auto"/>
                <w:sz w:val="21"/>
                <w:szCs w:val="21"/>
                <w:shd w:val="clear" w:color="auto" w:fill="F5F5F5"/>
                <w:lang w:val="en-US" w:eastAsia="zh-CN"/>
              </w:rPr>
              <w:t>0167</w:t>
            </w:r>
          </w:p>
        </w:tc>
        <w:tc>
          <w:tcPr>
            <w:tcW w:w="892" w:type="dxa"/>
            <w:noWrap w:val="0"/>
            <w:vAlign w:val="center"/>
          </w:tcPr>
          <w:p>
            <w:pPr>
              <w:kinsoku w:val="0"/>
              <w:overflowPunct w:val="0"/>
              <w:autoSpaceDE w:val="0"/>
              <w:autoSpaceDN w:val="0"/>
              <w:adjustRightInd w:val="0"/>
              <w:snapToGrid/>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sz w:val="21"/>
                <w:szCs w:val="21"/>
                <w:shd w:val="clear" w:color="auto" w:fill="F5F5F5"/>
                <w:lang w:val="en-US" w:eastAsia="zh-CN"/>
              </w:rPr>
              <w:t>35.7000</w:t>
            </w:r>
          </w:p>
        </w:tc>
        <w:tc>
          <w:tcPr>
            <w:tcW w:w="744" w:type="dxa"/>
            <w:noWrap w:val="0"/>
            <w:vAlign w:val="center"/>
          </w:tcPr>
          <w:p>
            <w:pPr>
              <w:kinsoku w:val="0"/>
              <w:overflowPunct w:val="0"/>
              <w:autoSpaceDE w:val="0"/>
              <w:autoSpaceDN w:val="0"/>
              <w:adjustRightInd w:val="0"/>
              <w:snapToGrid/>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cs="Times New Roman"/>
                <w:color w:val="auto"/>
                <w:kern w:val="0"/>
                <w:sz w:val="21"/>
                <w:szCs w:val="21"/>
                <w:lang w:val="en-US" w:eastAsia="zh-CN"/>
              </w:rPr>
              <w:t>25</w:t>
            </w:r>
            <w:r>
              <w:rPr>
                <w:rFonts w:hint="default" w:ascii="Times New Roman" w:hAnsi="Times New Roman" w:eastAsia="宋体" w:cs="Times New Roman"/>
                <w:color w:val="auto"/>
                <w:kern w:val="0"/>
                <w:sz w:val="21"/>
                <w:szCs w:val="21"/>
              </w:rPr>
              <w:t>km</w:t>
            </w:r>
          </w:p>
        </w:tc>
        <w:tc>
          <w:tcPr>
            <w:tcW w:w="892" w:type="dxa"/>
            <w:noWrap w:val="0"/>
            <w:vAlign w:val="center"/>
          </w:tcPr>
          <w:p>
            <w:pPr>
              <w:kinsoku w:val="0"/>
              <w:overflowPunct w:val="0"/>
              <w:autoSpaceDE w:val="0"/>
              <w:autoSpaceDN w:val="0"/>
              <w:adjustRightInd w:val="0"/>
              <w:snapToGrid/>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w:t>
            </w:r>
            <w:r>
              <w:rPr>
                <w:rFonts w:hint="default" w:ascii="Times New Roman" w:hAnsi="Times New Roman" w:cs="Times New Roman"/>
                <w:color w:val="auto"/>
                <w:kern w:val="0"/>
                <w:sz w:val="21"/>
                <w:szCs w:val="21"/>
                <w:lang w:val="en-US" w:eastAsia="zh-CN"/>
              </w:rPr>
              <w:t>5</w:t>
            </w:r>
            <w:r>
              <w:rPr>
                <w:rFonts w:hint="default" w:ascii="Times New Roman" w:hAnsi="Times New Roman" w:eastAsia="宋体" w:cs="Times New Roman"/>
                <w:color w:val="auto"/>
                <w:kern w:val="0"/>
                <w:sz w:val="21"/>
                <w:szCs w:val="21"/>
              </w:rPr>
              <w:t>m</w:t>
            </w:r>
          </w:p>
        </w:tc>
        <w:tc>
          <w:tcPr>
            <w:tcW w:w="1041" w:type="dxa"/>
            <w:noWrap w:val="0"/>
            <w:vAlign w:val="center"/>
          </w:tcPr>
          <w:p>
            <w:pPr>
              <w:kinsoku w:val="0"/>
              <w:overflowPunct w:val="0"/>
              <w:autoSpaceDE w:val="0"/>
              <w:autoSpaceDN w:val="0"/>
              <w:adjustRightInd w:val="0"/>
              <w:snapToGrid/>
              <w:spacing w:line="240" w:lineRule="auto"/>
              <w:ind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201</w:t>
            </w:r>
            <w:r>
              <w:rPr>
                <w:rFonts w:hint="default" w:ascii="Times New Roman" w:hAnsi="Times New Roman" w:cs="Times New Roman"/>
                <w:color w:val="auto"/>
                <w:kern w:val="0"/>
                <w:sz w:val="21"/>
                <w:szCs w:val="21"/>
                <w:lang w:val="en-US" w:eastAsia="zh-CN"/>
              </w:rPr>
              <w:t>9</w:t>
            </w:r>
          </w:p>
        </w:tc>
        <w:tc>
          <w:tcPr>
            <w:tcW w:w="1884" w:type="dxa"/>
            <w:noWrap w:val="0"/>
            <w:vAlign w:val="center"/>
          </w:tcPr>
          <w:p>
            <w:pPr>
              <w:kinsoku w:val="0"/>
              <w:overflowPunct w:val="0"/>
              <w:autoSpaceDE w:val="0"/>
              <w:autoSpaceDN w:val="0"/>
              <w:adjustRightInd w:val="0"/>
              <w:snapToGrid/>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pacing w:val="3"/>
                <w:kern w:val="0"/>
                <w:sz w:val="21"/>
                <w:szCs w:val="21"/>
              </w:rPr>
              <w:t>风向、风速、温度、低云量、总云量、探空层数、气压、干球温度</w:t>
            </w:r>
          </w:p>
        </w:tc>
      </w:tr>
    </w:tbl>
    <w:p>
      <w:pPr>
        <w:bidi w:val="0"/>
        <w:rPr>
          <w:rFonts w:hint="default" w:ascii="Times New Roman" w:hAnsi="Times New Roman" w:cs="Times New Roman"/>
          <w:color w:val="auto"/>
        </w:rPr>
      </w:pPr>
      <w:r>
        <w:rPr>
          <w:rFonts w:hint="default" w:ascii="Times New Roman" w:hAnsi="Times New Roman" w:cs="Times New Roman"/>
          <w:color w:val="auto"/>
        </w:rPr>
        <w:t>5.</w:t>
      </w:r>
      <w:r>
        <w:rPr>
          <w:rFonts w:hint="default" w:ascii="Times New Roman" w:hAnsi="Times New Roman" w:eastAsia="宋体" w:cs="Times New Roman"/>
          <w:color w:val="auto"/>
          <w:lang w:val="en-US" w:eastAsia="zh-CN"/>
        </w:rPr>
        <w:t>2</w:t>
      </w:r>
      <w:r>
        <w:rPr>
          <w:rFonts w:hint="default" w:ascii="Times New Roman" w:hAnsi="Times New Roman" w:cs="Times New Roman"/>
          <w:color w:val="auto"/>
        </w:rPr>
        <w:t xml:space="preserve">.1.7地形数据 </w:t>
      </w:r>
    </w:p>
    <w:p>
      <w:pPr>
        <w:adjustRightInd/>
        <w:snapToGrid/>
        <w:spacing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本项目地形数据采用SRTM（Shuttle Radar Topography Mission）90m分辨率地形数据。数据来源为：http://srtm.csi.cgiar.org。地形数据范围为srtm60-05。</w:t>
      </w:r>
    </w:p>
    <w:p>
      <w:pPr>
        <w:adjustRightInd/>
        <w:snapToGrid/>
        <w:spacing w:line="240" w:lineRule="auto"/>
        <w:ind w:firstLine="0" w:firstLineChars="0"/>
        <w:jc w:val="center"/>
        <w:rPr>
          <w:rFonts w:hint="default" w:ascii="Times New Roman" w:hAnsi="Times New Roman" w:eastAsia="宋体" w:cs="Times New Roman"/>
          <w:color w:val="auto"/>
          <w:sz w:val="21"/>
          <w:szCs w:val="22"/>
        </w:rPr>
      </w:pPr>
    </w:p>
    <w:p>
      <w:pPr>
        <w:adjustRightInd/>
        <w:snapToGrid/>
        <w:spacing w:line="240" w:lineRule="auto"/>
        <w:ind w:firstLine="0" w:firstLineChars="0"/>
        <w:jc w:val="center"/>
        <w:rPr>
          <w:rFonts w:hint="default" w:ascii="Times New Roman" w:hAnsi="Times New Roman" w:eastAsia="宋体" w:cs="Times New Roman"/>
          <w:color w:val="auto"/>
          <w:sz w:val="21"/>
          <w:szCs w:val="22"/>
          <w:lang w:eastAsia="zh-CN"/>
        </w:rPr>
      </w:pPr>
      <w:r>
        <w:rPr>
          <w:rFonts w:hint="default" w:ascii="Times New Roman" w:hAnsi="Times New Roman" w:eastAsia="宋体" w:cs="Times New Roman"/>
          <w:color w:val="auto"/>
          <w:sz w:val="21"/>
          <w:szCs w:val="22"/>
          <w:lang w:eastAsia="zh-CN"/>
        </w:rPr>
        <w:drawing>
          <wp:inline distT="0" distB="0" distL="114300" distR="114300">
            <wp:extent cx="5277485" cy="3745230"/>
            <wp:effectExtent l="0" t="0" r="18415" b="7620"/>
            <wp:docPr id="26" name="图片 26" descr="049daeab5ebec3249e4309930fdf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49daeab5ebec3249e4309930fdf104"/>
                    <pic:cNvPicPr>
                      <a:picLocks noChangeAspect="1"/>
                    </pic:cNvPicPr>
                  </pic:nvPicPr>
                  <pic:blipFill>
                    <a:blip r:embed="rId51"/>
                    <a:stretch>
                      <a:fillRect/>
                    </a:stretch>
                  </pic:blipFill>
                  <pic:spPr>
                    <a:xfrm>
                      <a:off x="0" y="0"/>
                      <a:ext cx="5277485" cy="3745230"/>
                    </a:xfrm>
                    <a:prstGeom prst="rect">
                      <a:avLst/>
                    </a:prstGeom>
                  </pic:spPr>
                </pic:pic>
              </a:graphicData>
            </a:graphic>
          </wp:inline>
        </w:drawing>
      </w:r>
    </w:p>
    <w:p>
      <w:pPr>
        <w:numPr>
          <w:ilvl w:val="0"/>
          <w:numId w:val="0"/>
        </w:numPr>
        <w:adjustRightInd w:val="0"/>
        <w:snapToGrid w:val="0"/>
        <w:spacing w:before="120" w:beforeLines="50" w:after="120" w:afterLines="50" w:line="240" w:lineRule="auto"/>
        <w:ind w:left="420" w:leftChars="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eastAsia="zh-CN"/>
        </w:rPr>
        <w:t>图</w:t>
      </w:r>
      <w:r>
        <w:rPr>
          <w:rFonts w:hint="default" w:ascii="Times New Roman" w:hAnsi="Times New Roman" w:cs="Times New Roman"/>
          <w:b/>
          <w:color w:val="auto"/>
          <w:sz w:val="21"/>
          <w:szCs w:val="21"/>
          <w:lang w:val="en-US" w:eastAsia="zh-CN"/>
        </w:rPr>
        <w:t>5-4</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评价区域地形图</w:t>
      </w:r>
    </w:p>
    <w:p>
      <w:pPr>
        <w:bidi w:val="0"/>
        <w:rPr>
          <w:rFonts w:hint="default" w:ascii="Times New Roman" w:hAnsi="Times New Roman" w:cs="Times New Roman"/>
          <w:color w:val="auto"/>
        </w:rPr>
      </w:pPr>
      <w:r>
        <w:rPr>
          <w:rFonts w:hint="default" w:ascii="Times New Roman" w:hAnsi="Times New Roman" w:cs="Times New Roman"/>
          <w:color w:val="auto"/>
        </w:rPr>
        <w:t>5.</w:t>
      </w:r>
      <w:r>
        <w:rPr>
          <w:rFonts w:hint="default" w:ascii="Times New Roman" w:hAnsi="Times New Roman" w:eastAsia="宋体" w:cs="Times New Roman"/>
          <w:color w:val="auto"/>
          <w:lang w:val="en-US" w:eastAsia="zh-CN"/>
        </w:rPr>
        <w:t>2</w:t>
      </w:r>
      <w:r>
        <w:rPr>
          <w:rFonts w:hint="default" w:ascii="Times New Roman" w:hAnsi="Times New Roman" w:cs="Times New Roman"/>
          <w:color w:val="auto"/>
        </w:rPr>
        <w:t>.1.8模型主要参数设置</w:t>
      </w:r>
    </w:p>
    <w:p>
      <w:pPr>
        <w:adjustRightInd/>
        <w:snapToGrid/>
        <w:spacing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（1）预测网格设置及计算点</w:t>
      </w:r>
    </w:p>
    <w:p>
      <w:pPr>
        <w:adjustRightInd/>
        <w:snapToGrid/>
        <w:spacing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预测范围为5km×5km的矩形范围，覆盖了评价范围及各污染物短期浓度贡献值占标率大于10%的区域、大部分削减源。为了准确描述各污染源及评价点（敏感点）的位置，定量预测污染程度，对预测区域进行网格化处理，以拟建项目厂址为中心，边长为5×5km的矩形网格，网格点采用100m，共计4487个网格点，能够保证预测网格具有足够的分辨率，尽可能的精确预测污染源对评价范围的环境影响。</w:t>
      </w:r>
    </w:p>
    <w:p>
      <w:pPr>
        <w:adjustRightInd/>
        <w:snapToGrid/>
        <w:spacing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拟建工程设置多个离散点，为项目预测范围内的主要敏感点，见表5.</w:t>
      </w:r>
      <w:r>
        <w:rPr>
          <w:rFonts w:hint="default"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rPr>
        <w:t>-</w:t>
      </w:r>
      <w:r>
        <w:rPr>
          <w:rFonts w:hint="default" w:ascii="Times New Roman" w:hAnsi="Times New Roman" w:cs="Times New Roman"/>
          <w:color w:val="auto"/>
          <w:sz w:val="24"/>
          <w:szCs w:val="24"/>
          <w:lang w:val="en-US" w:eastAsia="zh-CN"/>
        </w:rPr>
        <w:t>9</w:t>
      </w:r>
      <w:r>
        <w:rPr>
          <w:rFonts w:hint="default" w:ascii="Times New Roman" w:hAnsi="Times New Roman" w:eastAsia="宋体" w:cs="Times New Roman"/>
          <w:color w:val="auto"/>
          <w:sz w:val="24"/>
          <w:szCs w:val="24"/>
        </w:rPr>
        <w:t>。</w:t>
      </w:r>
    </w:p>
    <w:p>
      <w:pPr>
        <w:numPr>
          <w:ilvl w:val="0"/>
          <w:numId w:val="0"/>
        </w:numPr>
        <w:adjustRightInd/>
        <w:snapToGrid/>
        <w:spacing w:before="120" w:beforeLines="50" w:after="120" w:afterLines="5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eastAsia="zh-CN"/>
        </w:rPr>
        <w:t>表</w:t>
      </w:r>
      <w:r>
        <w:rPr>
          <w:rFonts w:hint="default" w:ascii="Times New Roman" w:hAnsi="Times New Roman" w:eastAsia="宋体" w:cs="Times New Roman"/>
          <w:b/>
          <w:color w:val="auto"/>
          <w:sz w:val="21"/>
          <w:szCs w:val="21"/>
          <w:lang w:val="en-US" w:eastAsia="zh-CN"/>
        </w:rPr>
        <w:t>5.2-9</w:t>
      </w:r>
      <w:r>
        <w:rPr>
          <w:rFonts w:hint="default" w:ascii="Times New Roman" w:hAnsi="Times New Roman" w:eastAsia="宋体" w:cs="Times New Roman"/>
          <w:b/>
          <w:color w:val="auto"/>
          <w:sz w:val="21"/>
          <w:szCs w:val="21"/>
        </w:rPr>
        <w:t xml:space="preserve">                离散点设置情况一览表</w:t>
      </w:r>
    </w:p>
    <w:tbl>
      <w:tblPr>
        <w:tblStyle w:val="25"/>
        <w:tblW w:w="8946" w:type="dxa"/>
        <w:jc w:val="center"/>
        <w:tblBorders>
          <w:top w:val="single" w:color="auto" w:sz="2" w:space="0"/>
          <w:left w:val="none" w:color="auto" w:sz="0" w:space="0"/>
          <w:bottom w:val="single" w:color="auto" w:sz="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1017"/>
        <w:gridCol w:w="1017"/>
        <w:gridCol w:w="1307"/>
        <w:gridCol w:w="904"/>
        <w:gridCol w:w="657"/>
        <w:gridCol w:w="861"/>
        <w:gridCol w:w="861"/>
        <w:gridCol w:w="1072"/>
      </w:tblGrid>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dxa"/>
            <w:vMerge w:val="restart"/>
            <w:tcBorders>
              <w:top w:val="single" w:color="auto" w:sz="2"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名称</w:t>
            </w:r>
          </w:p>
        </w:tc>
        <w:tc>
          <w:tcPr>
            <w:tcW w:w="3341" w:type="dxa"/>
            <w:gridSpan w:val="3"/>
            <w:tcBorders>
              <w:top w:val="single" w:color="auto" w:sz="2"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坐标（m）</w:t>
            </w:r>
          </w:p>
        </w:tc>
        <w:tc>
          <w:tcPr>
            <w:tcW w:w="904" w:type="dxa"/>
            <w:vMerge w:val="restart"/>
            <w:tcBorders>
              <w:top w:val="single" w:color="auto" w:sz="2"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保护对象</w:t>
            </w:r>
          </w:p>
        </w:tc>
        <w:tc>
          <w:tcPr>
            <w:tcW w:w="657" w:type="dxa"/>
            <w:vMerge w:val="restart"/>
            <w:tcBorders>
              <w:top w:val="single" w:color="auto" w:sz="2"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保护内容</w:t>
            </w:r>
          </w:p>
        </w:tc>
        <w:tc>
          <w:tcPr>
            <w:tcW w:w="861" w:type="dxa"/>
            <w:vMerge w:val="restart"/>
            <w:tcBorders>
              <w:top w:val="single" w:color="auto" w:sz="2"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环境功能区</w:t>
            </w:r>
          </w:p>
        </w:tc>
        <w:tc>
          <w:tcPr>
            <w:tcW w:w="861" w:type="dxa"/>
            <w:vMerge w:val="restart"/>
            <w:tcBorders>
              <w:top w:val="single" w:color="auto" w:sz="2"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相对厂址方位</w:t>
            </w:r>
          </w:p>
        </w:tc>
        <w:tc>
          <w:tcPr>
            <w:tcW w:w="1072" w:type="dxa"/>
            <w:vMerge w:val="restart"/>
            <w:tcBorders>
              <w:top w:val="single" w:color="auto" w:sz="2"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相对厂界距离/m</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dxa"/>
            <w:vMerge w:val="continue"/>
            <w:tcBorders>
              <w:top w:val="single" w:color="auto" w:sz="2"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p>
        </w:tc>
        <w:tc>
          <w:tcPr>
            <w:tcW w:w="10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X</w:t>
            </w:r>
          </w:p>
        </w:tc>
        <w:tc>
          <w:tcPr>
            <w:tcW w:w="10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Y</w:t>
            </w:r>
          </w:p>
        </w:tc>
        <w:tc>
          <w:tcPr>
            <w:tcW w:w="1307" w:type="dxa"/>
            <w:tcBorders>
              <w:top w:val="single" w:color="auto" w:sz="2"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Z</w:t>
            </w:r>
          </w:p>
        </w:tc>
        <w:tc>
          <w:tcPr>
            <w:tcW w:w="904" w:type="dxa"/>
            <w:vMerge w:val="continue"/>
            <w:tcBorders>
              <w:top w:val="single" w:color="auto" w:sz="2"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p>
        </w:tc>
        <w:tc>
          <w:tcPr>
            <w:tcW w:w="657" w:type="dxa"/>
            <w:vMerge w:val="continue"/>
            <w:tcBorders>
              <w:top w:val="single" w:color="auto" w:sz="2"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p>
        </w:tc>
        <w:tc>
          <w:tcPr>
            <w:tcW w:w="861" w:type="dxa"/>
            <w:vMerge w:val="continue"/>
            <w:tcBorders>
              <w:top w:val="single" w:color="auto" w:sz="2"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p>
        </w:tc>
        <w:tc>
          <w:tcPr>
            <w:tcW w:w="861" w:type="dxa"/>
            <w:vMerge w:val="continue"/>
            <w:tcBorders>
              <w:top w:val="single" w:color="auto" w:sz="2"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p>
        </w:tc>
        <w:tc>
          <w:tcPr>
            <w:tcW w:w="1072" w:type="dxa"/>
            <w:vMerge w:val="continue"/>
            <w:tcBorders>
              <w:top w:val="single" w:color="auto" w:sz="2" w:space="0"/>
              <w:left w:val="single" w:color="auto" w:sz="4" w:space="0"/>
              <w:bottom w:val="single" w:color="auto" w:sz="4" w:space="0"/>
              <w:right w:val="nil"/>
            </w:tcBorders>
            <w:noWrap w:val="0"/>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i w:val="0"/>
                <w:color w:val="auto"/>
                <w:kern w:val="0"/>
                <w:sz w:val="21"/>
                <w:szCs w:val="21"/>
                <w:u w:val="none"/>
                <w:lang w:val="en-US" w:eastAsia="zh-CN" w:bidi="ar"/>
              </w:rPr>
              <w:t>杨韩村</w:t>
            </w:r>
          </w:p>
        </w:tc>
        <w:tc>
          <w:tcPr>
            <w:tcW w:w="10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337</w:t>
            </w:r>
          </w:p>
        </w:tc>
        <w:tc>
          <w:tcPr>
            <w:tcW w:w="10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-825</w:t>
            </w:r>
          </w:p>
        </w:tc>
        <w:tc>
          <w:tcPr>
            <w:tcW w:w="13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eastAsia="zh-CN"/>
              </w:rPr>
            </w:pPr>
            <w:r>
              <w:rPr>
                <w:rFonts w:hint="default" w:ascii="Times New Roman" w:hAnsi="Times New Roman" w:eastAsia="宋体" w:cs="Times New Roman"/>
                <w:color w:val="auto"/>
                <w:kern w:val="0"/>
                <w:sz w:val="21"/>
                <w:szCs w:val="21"/>
                <w:lang w:val="en-US" w:eastAsia="zh-CN"/>
              </w:rPr>
              <w:t>51.75</w:t>
            </w:r>
          </w:p>
        </w:tc>
        <w:tc>
          <w:tcPr>
            <w:tcW w:w="9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居民区</w:t>
            </w:r>
          </w:p>
        </w:tc>
        <w:tc>
          <w:tcPr>
            <w:tcW w:w="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居民</w:t>
            </w:r>
          </w:p>
        </w:tc>
        <w:tc>
          <w:tcPr>
            <w:tcW w:w="8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二类区</w:t>
            </w:r>
          </w:p>
        </w:tc>
        <w:tc>
          <w:tcPr>
            <w:tcW w:w="86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sz w:val="21"/>
                <w:szCs w:val="21"/>
              </w:rPr>
              <w:t>S</w:t>
            </w:r>
          </w:p>
        </w:tc>
        <w:tc>
          <w:tcPr>
            <w:tcW w:w="1072" w:type="dxa"/>
            <w:tcBorders>
              <w:top w:val="single" w:color="auto" w:sz="4" w:space="0"/>
              <w:left w:val="single" w:color="auto" w:sz="4" w:space="0"/>
              <w:bottom w:val="single" w:color="auto" w:sz="4" w:space="0"/>
              <w:right w:val="nil"/>
            </w:tcBorders>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bCs/>
                <w:color w:val="auto"/>
                <w:sz w:val="21"/>
                <w:szCs w:val="21"/>
              </w:rPr>
              <w:t>510</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i w:val="0"/>
                <w:color w:val="auto"/>
                <w:kern w:val="0"/>
                <w:sz w:val="21"/>
                <w:szCs w:val="21"/>
                <w:u w:val="none"/>
                <w:lang w:val="en-US" w:eastAsia="zh-CN" w:bidi="ar"/>
              </w:rPr>
              <w:t>库韩村</w:t>
            </w:r>
          </w:p>
        </w:tc>
        <w:tc>
          <w:tcPr>
            <w:tcW w:w="10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-124</w:t>
            </w:r>
          </w:p>
        </w:tc>
        <w:tc>
          <w:tcPr>
            <w:tcW w:w="10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-1545</w:t>
            </w:r>
          </w:p>
        </w:tc>
        <w:tc>
          <w:tcPr>
            <w:tcW w:w="13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eastAsia="zh-CN"/>
              </w:rPr>
            </w:pPr>
            <w:r>
              <w:rPr>
                <w:rFonts w:hint="default" w:ascii="Times New Roman" w:hAnsi="Times New Roman" w:eastAsia="宋体" w:cs="Times New Roman"/>
                <w:color w:val="auto"/>
                <w:kern w:val="0"/>
                <w:sz w:val="21"/>
                <w:szCs w:val="21"/>
                <w:lang w:val="en-US" w:eastAsia="zh-CN"/>
              </w:rPr>
              <w:t>52.26</w:t>
            </w:r>
          </w:p>
        </w:tc>
        <w:tc>
          <w:tcPr>
            <w:tcW w:w="9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居民区</w:t>
            </w:r>
          </w:p>
        </w:tc>
        <w:tc>
          <w:tcPr>
            <w:tcW w:w="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居民</w:t>
            </w:r>
          </w:p>
        </w:tc>
        <w:tc>
          <w:tcPr>
            <w:tcW w:w="8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二类区</w:t>
            </w:r>
          </w:p>
        </w:tc>
        <w:tc>
          <w:tcPr>
            <w:tcW w:w="86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sz w:val="21"/>
                <w:szCs w:val="21"/>
              </w:rPr>
              <w:t>S</w:t>
            </w:r>
          </w:p>
        </w:tc>
        <w:tc>
          <w:tcPr>
            <w:tcW w:w="1072" w:type="dxa"/>
            <w:tcBorders>
              <w:top w:val="single" w:color="auto" w:sz="4" w:space="0"/>
              <w:left w:val="single" w:color="auto" w:sz="4" w:space="0"/>
              <w:bottom w:val="single" w:color="auto" w:sz="4" w:space="0"/>
              <w:right w:val="nil"/>
            </w:tcBorders>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bCs/>
                <w:color w:val="auto"/>
                <w:sz w:val="21"/>
                <w:szCs w:val="21"/>
              </w:rPr>
              <w:t>1320</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i w:val="0"/>
                <w:color w:val="auto"/>
                <w:kern w:val="0"/>
                <w:sz w:val="21"/>
                <w:szCs w:val="21"/>
                <w:u w:val="none"/>
                <w:lang w:val="en-US" w:eastAsia="zh-CN" w:bidi="ar"/>
              </w:rPr>
              <w:t>苏二庄村</w:t>
            </w:r>
          </w:p>
        </w:tc>
        <w:tc>
          <w:tcPr>
            <w:tcW w:w="10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-1498</w:t>
            </w:r>
          </w:p>
        </w:tc>
        <w:tc>
          <w:tcPr>
            <w:tcW w:w="10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-1788</w:t>
            </w:r>
          </w:p>
        </w:tc>
        <w:tc>
          <w:tcPr>
            <w:tcW w:w="13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eastAsia="zh-CN"/>
              </w:rPr>
            </w:pPr>
            <w:r>
              <w:rPr>
                <w:rFonts w:hint="default" w:ascii="Times New Roman" w:hAnsi="Times New Roman" w:eastAsia="宋体" w:cs="Times New Roman"/>
                <w:color w:val="auto"/>
                <w:kern w:val="0"/>
                <w:sz w:val="21"/>
                <w:szCs w:val="21"/>
                <w:lang w:val="en-US" w:eastAsia="zh-CN"/>
              </w:rPr>
              <w:t>53.39</w:t>
            </w:r>
          </w:p>
        </w:tc>
        <w:tc>
          <w:tcPr>
            <w:tcW w:w="9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居民区</w:t>
            </w:r>
          </w:p>
        </w:tc>
        <w:tc>
          <w:tcPr>
            <w:tcW w:w="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居民</w:t>
            </w:r>
          </w:p>
        </w:tc>
        <w:tc>
          <w:tcPr>
            <w:tcW w:w="8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二类区</w:t>
            </w:r>
          </w:p>
        </w:tc>
        <w:tc>
          <w:tcPr>
            <w:tcW w:w="86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sz w:val="21"/>
                <w:szCs w:val="21"/>
              </w:rPr>
              <w:t>SW</w:t>
            </w:r>
          </w:p>
        </w:tc>
        <w:tc>
          <w:tcPr>
            <w:tcW w:w="1072" w:type="dxa"/>
            <w:tcBorders>
              <w:top w:val="single" w:color="auto" w:sz="4" w:space="0"/>
              <w:left w:val="single" w:color="auto" w:sz="4" w:space="0"/>
              <w:bottom w:val="single" w:color="auto" w:sz="4" w:space="0"/>
              <w:right w:val="nil"/>
            </w:tcBorders>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bCs/>
                <w:color w:val="auto"/>
                <w:sz w:val="21"/>
                <w:szCs w:val="21"/>
              </w:rPr>
              <w:t>1900</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i w:val="0"/>
                <w:color w:val="auto"/>
                <w:kern w:val="0"/>
                <w:sz w:val="21"/>
                <w:szCs w:val="21"/>
                <w:u w:val="none"/>
                <w:lang w:val="en-US" w:eastAsia="zh-CN" w:bidi="ar"/>
              </w:rPr>
              <w:t>杨庄窑村</w:t>
            </w:r>
          </w:p>
        </w:tc>
        <w:tc>
          <w:tcPr>
            <w:tcW w:w="10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-1590</w:t>
            </w:r>
          </w:p>
        </w:tc>
        <w:tc>
          <w:tcPr>
            <w:tcW w:w="10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283</w:t>
            </w:r>
          </w:p>
        </w:tc>
        <w:tc>
          <w:tcPr>
            <w:tcW w:w="13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eastAsia="zh-CN"/>
              </w:rPr>
            </w:pPr>
            <w:r>
              <w:rPr>
                <w:rFonts w:hint="default" w:ascii="Times New Roman" w:hAnsi="Times New Roman" w:eastAsia="宋体" w:cs="Times New Roman"/>
                <w:color w:val="auto"/>
                <w:kern w:val="0"/>
                <w:sz w:val="21"/>
                <w:szCs w:val="21"/>
                <w:lang w:val="en-US" w:eastAsia="zh-CN"/>
              </w:rPr>
              <w:t>51.97</w:t>
            </w:r>
          </w:p>
        </w:tc>
        <w:tc>
          <w:tcPr>
            <w:tcW w:w="9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居民区</w:t>
            </w:r>
          </w:p>
        </w:tc>
        <w:tc>
          <w:tcPr>
            <w:tcW w:w="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居民</w:t>
            </w:r>
          </w:p>
        </w:tc>
        <w:tc>
          <w:tcPr>
            <w:tcW w:w="8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二类区</w:t>
            </w:r>
          </w:p>
        </w:tc>
        <w:tc>
          <w:tcPr>
            <w:tcW w:w="86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sz w:val="21"/>
                <w:szCs w:val="21"/>
              </w:rPr>
              <w:t>W</w:t>
            </w:r>
          </w:p>
        </w:tc>
        <w:tc>
          <w:tcPr>
            <w:tcW w:w="1072" w:type="dxa"/>
            <w:tcBorders>
              <w:top w:val="single" w:color="auto" w:sz="4" w:space="0"/>
              <w:left w:val="single" w:color="auto" w:sz="4" w:space="0"/>
              <w:bottom w:val="single" w:color="auto" w:sz="4" w:space="0"/>
              <w:right w:val="nil"/>
            </w:tcBorders>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bCs/>
                <w:color w:val="auto"/>
                <w:sz w:val="21"/>
                <w:szCs w:val="21"/>
              </w:rPr>
              <w:t>1400</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i w:val="0"/>
                <w:color w:val="auto"/>
                <w:kern w:val="0"/>
                <w:sz w:val="21"/>
                <w:szCs w:val="21"/>
                <w:u w:val="none"/>
                <w:lang w:val="en-US" w:eastAsia="zh-CN" w:bidi="ar"/>
              </w:rPr>
              <w:t>雷家村</w:t>
            </w:r>
          </w:p>
        </w:tc>
        <w:tc>
          <w:tcPr>
            <w:tcW w:w="10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-4582</w:t>
            </w:r>
          </w:p>
        </w:tc>
        <w:tc>
          <w:tcPr>
            <w:tcW w:w="10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899</w:t>
            </w:r>
          </w:p>
        </w:tc>
        <w:tc>
          <w:tcPr>
            <w:tcW w:w="13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eastAsia="zh-CN"/>
              </w:rPr>
            </w:pPr>
            <w:r>
              <w:rPr>
                <w:rFonts w:hint="default" w:ascii="Times New Roman" w:hAnsi="Times New Roman" w:eastAsia="宋体" w:cs="Times New Roman"/>
                <w:color w:val="auto"/>
                <w:kern w:val="0"/>
                <w:sz w:val="21"/>
                <w:szCs w:val="21"/>
                <w:lang w:val="en-US" w:eastAsia="zh-CN"/>
              </w:rPr>
              <w:t>49.81</w:t>
            </w:r>
          </w:p>
        </w:tc>
        <w:tc>
          <w:tcPr>
            <w:tcW w:w="9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居民区</w:t>
            </w:r>
          </w:p>
        </w:tc>
        <w:tc>
          <w:tcPr>
            <w:tcW w:w="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居民</w:t>
            </w:r>
          </w:p>
        </w:tc>
        <w:tc>
          <w:tcPr>
            <w:tcW w:w="8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二类区</w:t>
            </w:r>
          </w:p>
        </w:tc>
        <w:tc>
          <w:tcPr>
            <w:tcW w:w="86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sz w:val="21"/>
                <w:szCs w:val="21"/>
              </w:rPr>
              <w:t>N</w:t>
            </w:r>
          </w:p>
        </w:tc>
        <w:tc>
          <w:tcPr>
            <w:tcW w:w="1072" w:type="dxa"/>
            <w:tcBorders>
              <w:top w:val="single" w:color="auto" w:sz="4" w:space="0"/>
              <w:left w:val="single" w:color="auto" w:sz="4" w:space="0"/>
              <w:bottom w:val="single" w:color="auto" w:sz="4" w:space="0"/>
              <w:right w:val="nil"/>
            </w:tcBorders>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bCs/>
                <w:color w:val="auto"/>
                <w:sz w:val="21"/>
                <w:szCs w:val="21"/>
              </w:rPr>
              <w:t>2300</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南召市村</w:t>
            </w:r>
          </w:p>
        </w:tc>
        <w:tc>
          <w:tcPr>
            <w:tcW w:w="10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624</w:t>
            </w:r>
          </w:p>
        </w:tc>
        <w:tc>
          <w:tcPr>
            <w:tcW w:w="10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918</w:t>
            </w:r>
          </w:p>
        </w:tc>
        <w:tc>
          <w:tcPr>
            <w:tcW w:w="13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eastAsia="zh-CN"/>
              </w:rPr>
            </w:pPr>
            <w:r>
              <w:rPr>
                <w:rFonts w:hint="default" w:ascii="Times New Roman" w:hAnsi="Times New Roman" w:eastAsia="宋体" w:cs="Times New Roman"/>
                <w:color w:val="auto"/>
                <w:kern w:val="0"/>
                <w:sz w:val="21"/>
                <w:szCs w:val="21"/>
                <w:lang w:val="en-US" w:eastAsia="zh-CN"/>
              </w:rPr>
              <w:t>50.95</w:t>
            </w:r>
          </w:p>
        </w:tc>
        <w:tc>
          <w:tcPr>
            <w:tcW w:w="9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居民区</w:t>
            </w:r>
          </w:p>
        </w:tc>
        <w:tc>
          <w:tcPr>
            <w:tcW w:w="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居民</w:t>
            </w:r>
          </w:p>
        </w:tc>
        <w:tc>
          <w:tcPr>
            <w:tcW w:w="8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二类区</w:t>
            </w:r>
          </w:p>
        </w:tc>
        <w:tc>
          <w:tcPr>
            <w:tcW w:w="86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sz w:val="21"/>
                <w:szCs w:val="21"/>
              </w:rPr>
              <w:t>N</w:t>
            </w:r>
          </w:p>
        </w:tc>
        <w:tc>
          <w:tcPr>
            <w:tcW w:w="1072" w:type="dxa"/>
            <w:tcBorders>
              <w:top w:val="single" w:color="auto" w:sz="4" w:space="0"/>
              <w:left w:val="single" w:color="auto" w:sz="4" w:space="0"/>
              <w:bottom w:val="single" w:color="auto" w:sz="4" w:space="0"/>
              <w:right w:val="nil"/>
            </w:tcBorders>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bCs/>
                <w:color w:val="auto"/>
                <w:sz w:val="21"/>
                <w:szCs w:val="21"/>
              </w:rPr>
              <w:t>1200</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北召市村</w:t>
            </w:r>
          </w:p>
        </w:tc>
        <w:tc>
          <w:tcPr>
            <w:tcW w:w="10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6582</w:t>
            </w:r>
          </w:p>
        </w:tc>
        <w:tc>
          <w:tcPr>
            <w:tcW w:w="10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882</w:t>
            </w:r>
          </w:p>
        </w:tc>
        <w:tc>
          <w:tcPr>
            <w:tcW w:w="13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eastAsia="zh-CN"/>
              </w:rPr>
            </w:pPr>
            <w:r>
              <w:rPr>
                <w:rFonts w:hint="default" w:ascii="Times New Roman" w:hAnsi="Times New Roman" w:eastAsia="宋体" w:cs="Times New Roman"/>
                <w:color w:val="auto"/>
                <w:kern w:val="0"/>
                <w:sz w:val="21"/>
                <w:szCs w:val="21"/>
                <w:lang w:val="en-US" w:eastAsia="zh-CN"/>
              </w:rPr>
              <w:t>49.74</w:t>
            </w:r>
          </w:p>
        </w:tc>
        <w:tc>
          <w:tcPr>
            <w:tcW w:w="9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居民区</w:t>
            </w:r>
          </w:p>
        </w:tc>
        <w:tc>
          <w:tcPr>
            <w:tcW w:w="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居民</w:t>
            </w:r>
          </w:p>
        </w:tc>
        <w:tc>
          <w:tcPr>
            <w:tcW w:w="8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二类区</w:t>
            </w:r>
          </w:p>
        </w:tc>
        <w:tc>
          <w:tcPr>
            <w:tcW w:w="86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sz w:val="21"/>
                <w:szCs w:val="21"/>
              </w:rPr>
              <w:t>N</w:t>
            </w:r>
          </w:p>
        </w:tc>
        <w:tc>
          <w:tcPr>
            <w:tcW w:w="1072" w:type="dxa"/>
            <w:tcBorders>
              <w:top w:val="single" w:color="auto" w:sz="4" w:space="0"/>
              <w:left w:val="single" w:color="auto" w:sz="4" w:space="0"/>
              <w:bottom w:val="single" w:color="auto" w:sz="4" w:space="0"/>
              <w:right w:val="nil"/>
            </w:tcBorders>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bCs/>
                <w:color w:val="auto"/>
                <w:sz w:val="21"/>
                <w:szCs w:val="21"/>
              </w:rPr>
              <w:t>2400</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贺庄村</w:t>
            </w:r>
          </w:p>
        </w:tc>
        <w:tc>
          <w:tcPr>
            <w:tcW w:w="10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14471</w:t>
            </w:r>
          </w:p>
        </w:tc>
        <w:tc>
          <w:tcPr>
            <w:tcW w:w="10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189</w:t>
            </w:r>
          </w:p>
        </w:tc>
        <w:tc>
          <w:tcPr>
            <w:tcW w:w="13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eastAsia="zh-CN"/>
              </w:rPr>
            </w:pPr>
            <w:r>
              <w:rPr>
                <w:rFonts w:hint="default" w:ascii="Times New Roman" w:hAnsi="Times New Roman" w:eastAsia="宋体" w:cs="Times New Roman"/>
                <w:color w:val="auto"/>
                <w:kern w:val="0"/>
                <w:sz w:val="21"/>
                <w:szCs w:val="21"/>
                <w:lang w:val="en-US" w:eastAsia="zh-CN"/>
              </w:rPr>
              <w:t>50.79</w:t>
            </w:r>
          </w:p>
        </w:tc>
        <w:tc>
          <w:tcPr>
            <w:tcW w:w="9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居民区</w:t>
            </w:r>
          </w:p>
        </w:tc>
        <w:tc>
          <w:tcPr>
            <w:tcW w:w="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居民</w:t>
            </w:r>
          </w:p>
        </w:tc>
        <w:tc>
          <w:tcPr>
            <w:tcW w:w="8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二类区</w:t>
            </w:r>
          </w:p>
        </w:tc>
        <w:tc>
          <w:tcPr>
            <w:tcW w:w="86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sz w:val="21"/>
                <w:szCs w:val="21"/>
              </w:rPr>
              <w:t>NE</w:t>
            </w:r>
          </w:p>
        </w:tc>
        <w:tc>
          <w:tcPr>
            <w:tcW w:w="1072" w:type="dxa"/>
            <w:tcBorders>
              <w:top w:val="single" w:color="auto" w:sz="4" w:space="0"/>
              <w:left w:val="single" w:color="auto" w:sz="4" w:space="0"/>
              <w:bottom w:val="single" w:color="auto" w:sz="4" w:space="0"/>
              <w:right w:val="nil"/>
            </w:tcBorders>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bCs/>
                <w:color w:val="auto"/>
                <w:sz w:val="21"/>
                <w:szCs w:val="21"/>
              </w:rPr>
              <w:t>960</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刘庄村</w:t>
            </w:r>
          </w:p>
        </w:tc>
        <w:tc>
          <w:tcPr>
            <w:tcW w:w="10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18582</w:t>
            </w:r>
          </w:p>
        </w:tc>
        <w:tc>
          <w:tcPr>
            <w:tcW w:w="10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673</w:t>
            </w:r>
          </w:p>
        </w:tc>
        <w:tc>
          <w:tcPr>
            <w:tcW w:w="13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eastAsia="zh-CN"/>
              </w:rPr>
            </w:pPr>
            <w:r>
              <w:rPr>
                <w:rFonts w:hint="default" w:ascii="Times New Roman" w:hAnsi="Times New Roman" w:eastAsia="宋体" w:cs="Times New Roman"/>
                <w:color w:val="auto"/>
                <w:kern w:val="0"/>
                <w:sz w:val="21"/>
                <w:szCs w:val="21"/>
                <w:lang w:val="en-US" w:eastAsia="zh-CN"/>
              </w:rPr>
              <w:t>54</w:t>
            </w:r>
          </w:p>
        </w:tc>
        <w:tc>
          <w:tcPr>
            <w:tcW w:w="9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居民区</w:t>
            </w:r>
          </w:p>
        </w:tc>
        <w:tc>
          <w:tcPr>
            <w:tcW w:w="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居民</w:t>
            </w:r>
          </w:p>
        </w:tc>
        <w:tc>
          <w:tcPr>
            <w:tcW w:w="8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二类区</w:t>
            </w:r>
          </w:p>
        </w:tc>
        <w:tc>
          <w:tcPr>
            <w:tcW w:w="86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sz w:val="21"/>
                <w:szCs w:val="21"/>
              </w:rPr>
              <w:t>NE</w:t>
            </w:r>
          </w:p>
        </w:tc>
        <w:tc>
          <w:tcPr>
            <w:tcW w:w="1072" w:type="dxa"/>
            <w:tcBorders>
              <w:top w:val="single" w:color="auto" w:sz="4" w:space="0"/>
              <w:left w:val="single" w:color="auto" w:sz="4" w:space="0"/>
              <w:bottom w:val="single" w:color="auto" w:sz="4" w:space="0"/>
              <w:right w:val="nil"/>
            </w:tcBorders>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bCs/>
                <w:color w:val="auto"/>
                <w:sz w:val="21"/>
                <w:szCs w:val="21"/>
              </w:rPr>
              <w:t>2300</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王韩村</w:t>
            </w:r>
          </w:p>
        </w:tc>
        <w:tc>
          <w:tcPr>
            <w:tcW w:w="10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1547</w:t>
            </w:r>
          </w:p>
        </w:tc>
        <w:tc>
          <w:tcPr>
            <w:tcW w:w="10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-2241</w:t>
            </w:r>
          </w:p>
        </w:tc>
        <w:tc>
          <w:tcPr>
            <w:tcW w:w="130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eastAsia="zh-CN"/>
              </w:rPr>
            </w:pPr>
            <w:r>
              <w:rPr>
                <w:rFonts w:hint="default" w:ascii="Times New Roman" w:hAnsi="Times New Roman" w:eastAsia="宋体" w:cs="Times New Roman"/>
                <w:color w:val="auto"/>
                <w:kern w:val="0"/>
                <w:sz w:val="21"/>
                <w:szCs w:val="21"/>
                <w:lang w:val="en-US" w:eastAsia="zh-CN"/>
              </w:rPr>
              <w:t>52.38</w:t>
            </w:r>
          </w:p>
        </w:tc>
        <w:tc>
          <w:tcPr>
            <w:tcW w:w="90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居民区</w:t>
            </w:r>
          </w:p>
        </w:tc>
        <w:tc>
          <w:tcPr>
            <w:tcW w:w="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居民</w:t>
            </w:r>
          </w:p>
        </w:tc>
        <w:tc>
          <w:tcPr>
            <w:tcW w:w="86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kern w:val="0"/>
                <w:sz w:val="21"/>
                <w:szCs w:val="21"/>
                <w:lang w:val="zh-CN"/>
              </w:rPr>
              <w:t>二类区</w:t>
            </w:r>
          </w:p>
        </w:tc>
        <w:tc>
          <w:tcPr>
            <w:tcW w:w="86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color w:val="auto"/>
                <w:sz w:val="21"/>
                <w:szCs w:val="21"/>
              </w:rPr>
              <w:t>S</w:t>
            </w:r>
          </w:p>
        </w:tc>
        <w:tc>
          <w:tcPr>
            <w:tcW w:w="1072" w:type="dxa"/>
            <w:tcBorders>
              <w:top w:val="single" w:color="auto" w:sz="4" w:space="0"/>
              <w:left w:val="single" w:color="auto" w:sz="4" w:space="0"/>
              <w:bottom w:val="single" w:color="auto" w:sz="4" w:space="0"/>
              <w:right w:val="nil"/>
            </w:tcBorders>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lang w:val="zh-CN"/>
              </w:rPr>
            </w:pPr>
            <w:r>
              <w:rPr>
                <w:rFonts w:hint="default" w:ascii="Times New Roman" w:hAnsi="Times New Roman" w:eastAsia="宋体" w:cs="Times New Roman"/>
                <w:bCs/>
                <w:color w:val="auto"/>
                <w:sz w:val="21"/>
                <w:szCs w:val="21"/>
              </w:rPr>
              <w:t>1840</w:t>
            </w:r>
          </w:p>
        </w:tc>
      </w:tr>
    </w:tbl>
    <w:p>
      <w:pPr>
        <w:adjustRightInd/>
        <w:snapToGrid/>
        <w:spacing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本次评价大气影响预测点位为预测范围内主要敏感点及网格点。</w:t>
      </w:r>
    </w:p>
    <w:p>
      <w:pPr>
        <w:adjustRightInd/>
        <w:snapToGrid/>
        <w:spacing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（2）AERMOD 选用的预测参数</w:t>
      </w:r>
    </w:p>
    <w:p>
      <w:pPr>
        <w:adjustRightInd/>
        <w:snapToGrid/>
        <w:spacing w:line="460" w:lineRule="exact"/>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结合现场调查，拟建工程周边2.5km范围内地表主要为农田，因此，地表参数（反照率、波文比和表面粗糙度等）选用耕地地表的推荐值，如表5.</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 xml:space="preserve"> 所示</w:t>
      </w:r>
      <w:r>
        <w:rPr>
          <w:rFonts w:hint="default" w:ascii="Times New Roman" w:hAnsi="Times New Roman" w:eastAsia="宋体" w:cs="Times New Roman"/>
          <w:color w:val="auto"/>
          <w:sz w:val="24"/>
          <w:szCs w:val="24"/>
          <w:lang w:val="en-US" w:eastAsia="zh-CN"/>
        </w:rPr>
        <w:t>。</w:t>
      </w:r>
    </w:p>
    <w:p>
      <w:pPr>
        <w:numPr>
          <w:ilvl w:val="0"/>
          <w:numId w:val="0"/>
        </w:numPr>
        <w:adjustRightInd/>
        <w:snapToGrid/>
        <w:spacing w:before="120" w:beforeLines="50" w:after="120" w:afterLines="5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表5.2-10            拟建工程进一步预测使用的地表参数一览表</w:t>
      </w:r>
    </w:p>
    <w:tbl>
      <w:tblPr>
        <w:tblStyle w:val="25"/>
        <w:tblW w:w="8946" w:type="dxa"/>
        <w:tblInd w:w="0" w:type="dxa"/>
        <w:tblBorders>
          <w:top w:val="single" w:color="auto" w:sz="2" w:space="0"/>
          <w:left w:val="none" w:color="auto" w:sz="0" w:space="0"/>
          <w:bottom w:val="single" w:color="auto" w:sz="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337"/>
        <w:gridCol w:w="2387"/>
        <w:gridCol w:w="1710"/>
        <w:gridCol w:w="1369"/>
        <w:gridCol w:w="1138"/>
      </w:tblGrid>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lang w:val="zh-CN" w:eastAsia="zh-CN" w:bidi="ar-SA"/>
              </w:rPr>
            </w:pPr>
            <w:r>
              <w:rPr>
                <w:rFonts w:hint="default" w:ascii="Times New Roman" w:hAnsi="Times New Roman" w:eastAsia="宋体" w:cs="Times New Roman"/>
                <w:b/>
                <w:color w:val="auto"/>
                <w:kern w:val="0"/>
                <w:sz w:val="21"/>
                <w:szCs w:val="21"/>
                <w:lang w:val="zh-CN" w:eastAsia="zh-CN" w:bidi="ar-SA"/>
              </w:rPr>
              <w:t>序号</w:t>
            </w:r>
          </w:p>
        </w:tc>
        <w:tc>
          <w:tcPr>
            <w:tcW w:w="13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lang w:val="zh-CN" w:eastAsia="zh-CN" w:bidi="ar-SA"/>
              </w:rPr>
            </w:pPr>
            <w:r>
              <w:rPr>
                <w:rFonts w:hint="default" w:ascii="Times New Roman" w:hAnsi="Times New Roman" w:eastAsia="宋体" w:cs="Times New Roman"/>
                <w:b/>
                <w:color w:val="auto"/>
                <w:kern w:val="0"/>
                <w:sz w:val="21"/>
                <w:szCs w:val="21"/>
                <w:lang w:val="zh-CN" w:eastAsia="zh-CN" w:bidi="ar-SA"/>
              </w:rPr>
              <w:t>扇区</w:t>
            </w:r>
          </w:p>
        </w:tc>
        <w:tc>
          <w:tcPr>
            <w:tcW w:w="23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lang w:val="zh-CN" w:eastAsia="zh-CN" w:bidi="ar-SA"/>
              </w:rPr>
            </w:pPr>
            <w:r>
              <w:rPr>
                <w:rFonts w:hint="default" w:ascii="Times New Roman" w:hAnsi="Times New Roman" w:eastAsia="宋体" w:cs="Times New Roman"/>
                <w:b/>
                <w:color w:val="auto"/>
                <w:kern w:val="0"/>
                <w:sz w:val="21"/>
                <w:szCs w:val="21"/>
                <w:lang w:val="zh-CN" w:eastAsia="zh-CN" w:bidi="ar-SA"/>
              </w:rPr>
              <w:t>时段</w:t>
            </w:r>
          </w:p>
        </w:tc>
        <w:tc>
          <w:tcPr>
            <w:tcW w:w="17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lang w:val="zh-CN" w:eastAsia="zh-CN" w:bidi="ar-SA"/>
              </w:rPr>
            </w:pPr>
            <w:r>
              <w:rPr>
                <w:rFonts w:hint="default" w:ascii="Times New Roman" w:hAnsi="Times New Roman" w:eastAsia="宋体" w:cs="Times New Roman"/>
                <w:b/>
                <w:color w:val="auto"/>
                <w:kern w:val="0"/>
                <w:sz w:val="21"/>
                <w:szCs w:val="21"/>
                <w:lang w:val="zh-CN" w:eastAsia="zh-CN" w:bidi="ar-SA"/>
              </w:rPr>
              <w:t>正午反照率</w:t>
            </w:r>
          </w:p>
        </w:tc>
        <w:tc>
          <w:tcPr>
            <w:tcW w:w="13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lang w:val="zh-CN" w:eastAsia="zh-CN" w:bidi="ar-SA"/>
              </w:rPr>
            </w:pPr>
            <w:r>
              <w:rPr>
                <w:rFonts w:hint="default" w:ascii="Times New Roman" w:hAnsi="Times New Roman" w:eastAsia="宋体" w:cs="Times New Roman"/>
                <w:b/>
                <w:color w:val="auto"/>
                <w:kern w:val="0"/>
                <w:sz w:val="21"/>
                <w:szCs w:val="21"/>
                <w:lang w:val="zh-CN" w:eastAsia="zh-CN" w:bidi="ar-SA"/>
              </w:rPr>
              <w:t>波文比</w:t>
            </w:r>
          </w:p>
        </w:tc>
        <w:tc>
          <w:tcPr>
            <w:tcW w:w="11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kern w:val="0"/>
                <w:sz w:val="21"/>
                <w:szCs w:val="21"/>
                <w:lang w:val="zh-CN" w:eastAsia="zh-CN" w:bidi="ar-SA"/>
              </w:rPr>
            </w:pPr>
            <w:r>
              <w:rPr>
                <w:rFonts w:hint="default" w:ascii="Times New Roman" w:hAnsi="Times New Roman" w:eastAsia="宋体" w:cs="Times New Roman"/>
                <w:b/>
                <w:color w:val="auto"/>
                <w:kern w:val="0"/>
                <w:sz w:val="21"/>
                <w:szCs w:val="21"/>
                <w:lang w:val="zh-CN" w:eastAsia="zh-CN" w:bidi="ar-SA"/>
              </w:rPr>
              <w:t>粗糙度</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1</w:t>
            </w:r>
          </w:p>
        </w:tc>
        <w:tc>
          <w:tcPr>
            <w:tcW w:w="13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0~360</w:t>
            </w:r>
          </w:p>
        </w:tc>
        <w:tc>
          <w:tcPr>
            <w:tcW w:w="23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春季（3/4/5月）</w:t>
            </w:r>
          </w:p>
        </w:tc>
        <w:tc>
          <w:tcPr>
            <w:tcW w:w="17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0.6</w:t>
            </w:r>
          </w:p>
        </w:tc>
        <w:tc>
          <w:tcPr>
            <w:tcW w:w="13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1.5</w:t>
            </w:r>
          </w:p>
        </w:tc>
        <w:tc>
          <w:tcPr>
            <w:tcW w:w="11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0.01</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2</w:t>
            </w:r>
          </w:p>
        </w:tc>
        <w:tc>
          <w:tcPr>
            <w:tcW w:w="13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0~360</w:t>
            </w:r>
          </w:p>
        </w:tc>
        <w:tc>
          <w:tcPr>
            <w:tcW w:w="23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夏季（6/7/8月）</w:t>
            </w:r>
          </w:p>
        </w:tc>
        <w:tc>
          <w:tcPr>
            <w:tcW w:w="17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0.14</w:t>
            </w:r>
          </w:p>
        </w:tc>
        <w:tc>
          <w:tcPr>
            <w:tcW w:w="13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0.3</w:t>
            </w:r>
          </w:p>
        </w:tc>
        <w:tc>
          <w:tcPr>
            <w:tcW w:w="11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0.03</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3</w:t>
            </w:r>
          </w:p>
        </w:tc>
        <w:tc>
          <w:tcPr>
            <w:tcW w:w="13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0~360</w:t>
            </w:r>
          </w:p>
        </w:tc>
        <w:tc>
          <w:tcPr>
            <w:tcW w:w="23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秋季（9/10/11月）</w:t>
            </w:r>
          </w:p>
        </w:tc>
        <w:tc>
          <w:tcPr>
            <w:tcW w:w="17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0.2</w:t>
            </w:r>
          </w:p>
        </w:tc>
        <w:tc>
          <w:tcPr>
            <w:tcW w:w="13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0.5</w:t>
            </w:r>
          </w:p>
        </w:tc>
        <w:tc>
          <w:tcPr>
            <w:tcW w:w="11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0.2</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4</w:t>
            </w:r>
          </w:p>
        </w:tc>
        <w:tc>
          <w:tcPr>
            <w:tcW w:w="13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0~360</w:t>
            </w:r>
          </w:p>
        </w:tc>
        <w:tc>
          <w:tcPr>
            <w:tcW w:w="23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冬季</w:t>
            </w:r>
            <w:r>
              <w:rPr>
                <w:rFonts w:hint="default" w:ascii="Times New Roman" w:hAnsi="Times New Roman" w:eastAsia="宋体" w:cs="Times New Roman"/>
                <w:color w:val="auto"/>
                <w:kern w:val="0"/>
                <w:sz w:val="21"/>
                <w:szCs w:val="21"/>
                <w:lang w:val="en-US" w:eastAsia="zh-CN" w:bidi="ar-SA"/>
              </w:rPr>
              <w:t>（12/1/2月）</w:t>
            </w:r>
          </w:p>
        </w:tc>
        <w:tc>
          <w:tcPr>
            <w:tcW w:w="17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0.18</w:t>
            </w:r>
          </w:p>
        </w:tc>
        <w:tc>
          <w:tcPr>
            <w:tcW w:w="13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0.7</w:t>
            </w:r>
          </w:p>
        </w:tc>
        <w:tc>
          <w:tcPr>
            <w:tcW w:w="113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0.05</w:t>
            </w:r>
          </w:p>
        </w:tc>
      </w:tr>
    </w:tbl>
    <w:p>
      <w:pPr>
        <w:adjustRightInd/>
        <w:snapToGrid/>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（3）背景浓度参数</w:t>
      </w:r>
    </w:p>
    <w:p>
      <w:pPr>
        <w:adjustRightInd/>
        <w:snapToGrid/>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背景值浓度采用评价范围内</w:t>
      </w:r>
      <w:r>
        <w:rPr>
          <w:rFonts w:hint="default" w:ascii="Times New Roman" w:hAnsi="Times New Roman" w:eastAsia="宋体" w:cs="Times New Roman"/>
          <w:color w:val="auto"/>
          <w:sz w:val="24"/>
          <w:szCs w:val="24"/>
          <w:lang w:eastAsia="zh-CN"/>
        </w:rPr>
        <w:t>清丰县</w:t>
      </w:r>
      <w:r>
        <w:rPr>
          <w:rFonts w:hint="default" w:ascii="Times New Roman" w:hAnsi="Times New Roman" w:eastAsia="宋体" w:cs="Times New Roman"/>
          <w:color w:val="auto"/>
          <w:sz w:val="24"/>
          <w:szCs w:val="24"/>
        </w:rPr>
        <w:t>201</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年平均质量浓度和24小时平均第98位百分数的监测浓度；其他因子H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采用现状补充监测数据。</w:t>
      </w:r>
    </w:p>
    <w:p>
      <w:pPr>
        <w:bidi w:val="0"/>
        <w:spacing w:line="360" w:lineRule="auto"/>
        <w:rPr>
          <w:rFonts w:hint="default" w:ascii="Times New Roman" w:hAnsi="Times New Roman" w:cs="Times New Roman"/>
          <w:color w:val="auto"/>
        </w:rPr>
      </w:pPr>
      <w:bookmarkStart w:id="534" w:name="_Toc525047089"/>
      <w:bookmarkStart w:id="535" w:name="_Toc528933653"/>
      <w:bookmarkStart w:id="536" w:name="_Toc525047836"/>
      <w:bookmarkStart w:id="537" w:name="_Toc523084374"/>
      <w:r>
        <w:rPr>
          <w:rFonts w:hint="default" w:ascii="Times New Roman" w:hAnsi="Times New Roman" w:cs="Times New Roman"/>
          <w:color w:val="auto"/>
        </w:rPr>
        <w:t>5.</w:t>
      </w:r>
      <w:r>
        <w:rPr>
          <w:rFonts w:hint="default" w:ascii="Times New Roman" w:hAnsi="Times New Roman" w:eastAsia="宋体" w:cs="Times New Roman"/>
          <w:color w:val="auto"/>
          <w:lang w:val="en-US" w:eastAsia="zh-CN"/>
        </w:rPr>
        <w:t>2</w:t>
      </w:r>
      <w:r>
        <w:rPr>
          <w:rFonts w:hint="default" w:ascii="Times New Roman" w:hAnsi="Times New Roman" w:cs="Times New Roman"/>
          <w:color w:val="auto"/>
        </w:rPr>
        <w:t>.1.</w:t>
      </w:r>
      <w:bookmarkEnd w:id="534"/>
      <w:bookmarkEnd w:id="535"/>
      <w:bookmarkEnd w:id="536"/>
      <w:bookmarkEnd w:id="537"/>
      <w:r>
        <w:rPr>
          <w:rFonts w:hint="default" w:ascii="Times New Roman" w:hAnsi="Times New Roman" w:cs="Times New Roman"/>
          <w:color w:val="auto"/>
        </w:rPr>
        <w:t>9预测内容和预测情景</w:t>
      </w:r>
    </w:p>
    <w:p>
      <w:pPr>
        <w:adjustRightInd/>
        <w:snapToGrid/>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根据环境现状质量章节，拟建工程属于不达标区，因此主要进行不达标区的评价，对照《环境影响评价技术导则-大气环境》（HJ2.2-2018）表5预测内容和评价要求，本次预测内容如下：</w:t>
      </w:r>
    </w:p>
    <w:p>
      <w:pPr>
        <w:adjustRightInd/>
        <w:snapToGrid/>
        <w:spacing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项目正常排放条件下，预测拟建项目对环境空气保护目标和网格点主要污染物的短期浓度和长期浓度贡献值，并评价其最大浓度占标率；排序得到环境空气保护目标和网格点最大浓度值，分析出现区域浓度最大值时的气象条件，出现位置。</w:t>
      </w:r>
    </w:p>
    <w:p>
      <w:pPr>
        <w:adjustRightInd/>
        <w:snapToGrid/>
        <w:spacing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项目正常排放条件下，对现状达标的污染物，预测拟建项目叠加评价范围内在建、拟建项目和现状值减去削减源后，环境空气保护目标和网格点处保证率日平均质量浓度和年平均质量浓度的达标情况；排序得到环境空气保护目标和网格点保证率日平均浓度及年均最大浓度值，分析其出现的气象条件，出现位置，是否达标并绘制拟建工程区域短期浓度和长期浓度等值线图。</w:t>
      </w:r>
    </w:p>
    <w:p>
      <w:pPr>
        <w:adjustRightInd/>
        <w:snapToGrid/>
        <w:spacing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（3）项目正常排放条件下，对现状超标的污染物，评价区域环境质量的整体变化情况。</w:t>
      </w:r>
    </w:p>
    <w:p>
      <w:pPr>
        <w:adjustRightInd/>
        <w:snapToGrid/>
        <w:spacing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）厂界浓度达标分析。</w:t>
      </w:r>
    </w:p>
    <w:p>
      <w:pPr>
        <w:adjustRightInd/>
        <w:snapToGrid/>
        <w:spacing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）大气环境防护距离。</w:t>
      </w:r>
    </w:p>
    <w:p>
      <w:pPr>
        <w:adjustRightInd/>
        <w:snapToGrid/>
        <w:spacing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rPr>
        <w:t>）污染物排放量核算。</w:t>
      </w:r>
    </w:p>
    <w:p>
      <w:pPr>
        <w:adjustRightInd/>
        <w:snapToGrid/>
        <w:spacing w:line="46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拟建工程预测情景组合见表 5.</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rPr>
        <w:t>。</w:t>
      </w:r>
    </w:p>
    <w:p>
      <w:pPr>
        <w:numPr>
          <w:ilvl w:val="0"/>
          <w:numId w:val="0"/>
        </w:numPr>
        <w:adjustRightInd/>
        <w:snapToGrid/>
        <w:spacing w:before="120" w:beforeLines="50" w:after="120" w:afterLines="50"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 5.2-11                 拟建工程预测情景组合</w:t>
      </w:r>
    </w:p>
    <w:tbl>
      <w:tblPr>
        <w:tblStyle w:val="25"/>
        <w:tblW w:w="8730" w:type="dxa"/>
        <w:tblInd w:w="0" w:type="dxa"/>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042"/>
        <w:gridCol w:w="1636"/>
        <w:gridCol w:w="1636"/>
        <w:gridCol w:w="2081"/>
        <w:gridCol w:w="2335"/>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04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en-US" w:bidi="ar-SA"/>
              </w:rPr>
            </w:pPr>
            <w:r>
              <w:rPr>
                <w:rFonts w:hint="default" w:ascii="Times New Roman" w:hAnsi="Times New Roman" w:eastAsia="宋体" w:cs="Times New Roman"/>
                <w:color w:val="auto"/>
                <w:kern w:val="0"/>
                <w:sz w:val="21"/>
                <w:szCs w:val="21"/>
                <w:lang w:val="zh-CN" w:eastAsia="en-US" w:bidi="ar-SA"/>
              </w:rPr>
              <w:t>评价对象</w:t>
            </w:r>
          </w:p>
        </w:tc>
        <w:tc>
          <w:tcPr>
            <w:tcW w:w="163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en-US" w:bidi="ar-SA"/>
              </w:rPr>
            </w:pPr>
            <w:r>
              <w:rPr>
                <w:rFonts w:hint="default" w:ascii="Times New Roman" w:hAnsi="Times New Roman" w:eastAsia="宋体" w:cs="Times New Roman"/>
                <w:color w:val="auto"/>
                <w:kern w:val="0"/>
                <w:sz w:val="21"/>
                <w:szCs w:val="21"/>
                <w:lang w:val="zh-CN" w:eastAsia="en-US" w:bidi="ar-SA"/>
              </w:rPr>
              <w:t>污染源</w:t>
            </w:r>
          </w:p>
        </w:tc>
        <w:tc>
          <w:tcPr>
            <w:tcW w:w="163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en-US" w:bidi="ar-SA"/>
              </w:rPr>
            </w:pPr>
            <w:r>
              <w:rPr>
                <w:rFonts w:hint="default" w:ascii="Times New Roman" w:hAnsi="Times New Roman" w:eastAsia="宋体" w:cs="Times New Roman"/>
                <w:color w:val="auto"/>
                <w:kern w:val="0"/>
                <w:sz w:val="21"/>
                <w:szCs w:val="21"/>
                <w:lang w:val="zh-CN" w:eastAsia="en-US" w:bidi="ar-SA"/>
              </w:rPr>
              <w:t>污染源排放形式</w:t>
            </w:r>
          </w:p>
        </w:tc>
        <w:tc>
          <w:tcPr>
            <w:tcW w:w="208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en-US" w:bidi="ar-SA"/>
              </w:rPr>
            </w:pPr>
            <w:r>
              <w:rPr>
                <w:rFonts w:hint="default" w:ascii="Times New Roman" w:hAnsi="Times New Roman" w:eastAsia="宋体" w:cs="Times New Roman"/>
                <w:color w:val="auto"/>
                <w:kern w:val="0"/>
                <w:sz w:val="21"/>
                <w:szCs w:val="21"/>
                <w:lang w:val="zh-CN" w:eastAsia="en-US" w:bidi="ar-SA"/>
              </w:rPr>
              <w:t>预测内容</w:t>
            </w:r>
          </w:p>
        </w:tc>
        <w:tc>
          <w:tcPr>
            <w:tcW w:w="233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en-US" w:bidi="ar-SA"/>
              </w:rPr>
            </w:pPr>
            <w:r>
              <w:rPr>
                <w:rFonts w:hint="default" w:ascii="Times New Roman" w:hAnsi="Times New Roman" w:eastAsia="宋体" w:cs="Times New Roman"/>
                <w:color w:val="auto"/>
                <w:kern w:val="0"/>
                <w:sz w:val="21"/>
                <w:szCs w:val="21"/>
                <w:lang w:val="zh-CN" w:eastAsia="en-US" w:bidi="ar-SA"/>
              </w:rPr>
              <w:t>评价内容</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042"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en-US" w:bidi="ar-SA"/>
              </w:rPr>
            </w:pPr>
            <w:r>
              <w:rPr>
                <w:rFonts w:hint="default" w:ascii="Times New Roman" w:hAnsi="Times New Roman" w:eastAsia="宋体" w:cs="Times New Roman"/>
                <w:color w:val="auto"/>
                <w:kern w:val="0"/>
                <w:sz w:val="21"/>
                <w:szCs w:val="21"/>
                <w:lang w:val="zh-CN" w:eastAsia="en-US" w:bidi="ar-SA"/>
              </w:rPr>
              <w:t>不达标区评价</w:t>
            </w:r>
          </w:p>
        </w:tc>
        <w:tc>
          <w:tcPr>
            <w:tcW w:w="163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en-US" w:bidi="ar-SA"/>
              </w:rPr>
            </w:pPr>
            <w:r>
              <w:rPr>
                <w:rFonts w:hint="default" w:ascii="Times New Roman" w:hAnsi="Times New Roman" w:eastAsia="宋体" w:cs="Times New Roman"/>
                <w:color w:val="auto"/>
                <w:kern w:val="0"/>
                <w:sz w:val="21"/>
                <w:szCs w:val="21"/>
                <w:lang w:val="zh-CN" w:eastAsia="en-US" w:bidi="ar-SA"/>
              </w:rPr>
              <w:t>新增污染源</w:t>
            </w:r>
          </w:p>
        </w:tc>
        <w:tc>
          <w:tcPr>
            <w:tcW w:w="163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en-US" w:bidi="ar-SA"/>
              </w:rPr>
            </w:pPr>
            <w:r>
              <w:rPr>
                <w:rFonts w:hint="default" w:ascii="Times New Roman" w:hAnsi="Times New Roman" w:eastAsia="宋体" w:cs="Times New Roman"/>
                <w:color w:val="auto"/>
                <w:kern w:val="0"/>
                <w:sz w:val="21"/>
                <w:szCs w:val="21"/>
                <w:lang w:val="zh-CN" w:eastAsia="en-US" w:bidi="ar-SA"/>
              </w:rPr>
              <w:t>正常排放</w:t>
            </w:r>
          </w:p>
        </w:tc>
        <w:tc>
          <w:tcPr>
            <w:tcW w:w="208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en-US" w:bidi="ar-SA"/>
              </w:rPr>
            </w:pPr>
            <w:r>
              <w:rPr>
                <w:rFonts w:hint="default" w:ascii="Times New Roman" w:hAnsi="Times New Roman" w:eastAsia="宋体" w:cs="Times New Roman"/>
                <w:color w:val="auto"/>
                <w:kern w:val="0"/>
                <w:sz w:val="21"/>
                <w:szCs w:val="21"/>
                <w:lang w:val="zh-CN" w:eastAsia="en-US" w:bidi="ar-SA"/>
              </w:rPr>
              <w:t>短期浓度长期浓度</w:t>
            </w:r>
          </w:p>
        </w:tc>
        <w:tc>
          <w:tcPr>
            <w:tcW w:w="233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en-US" w:bidi="ar-SA"/>
              </w:rPr>
            </w:pPr>
            <w:r>
              <w:rPr>
                <w:rFonts w:hint="default" w:ascii="Times New Roman" w:hAnsi="Times New Roman" w:eastAsia="宋体" w:cs="Times New Roman"/>
                <w:color w:val="auto"/>
                <w:kern w:val="0"/>
                <w:sz w:val="21"/>
                <w:szCs w:val="21"/>
                <w:lang w:val="zh-CN" w:eastAsia="en-US" w:bidi="ar-SA"/>
              </w:rPr>
              <w:t>最大浓度占标率</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042"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en-US" w:bidi="ar-SA"/>
              </w:rPr>
            </w:pPr>
          </w:p>
        </w:tc>
        <w:tc>
          <w:tcPr>
            <w:tcW w:w="163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新增污染源</w:t>
            </w:r>
            <w:r>
              <w:rPr>
                <w:rFonts w:hint="default" w:ascii="Times New Roman" w:hAnsi="Times New Roman" w:eastAsia="Times New Roman" w:cs="Times New Roman"/>
                <w:color w:val="auto"/>
                <w:kern w:val="0"/>
                <w:sz w:val="21"/>
                <w:szCs w:val="21"/>
                <w:lang w:val="zh-CN" w:eastAsia="zh-CN" w:bidi="ar-SA"/>
              </w:rPr>
              <w:t>-</w:t>
            </w:r>
            <w:r>
              <w:rPr>
                <w:rFonts w:hint="default" w:ascii="Times New Roman" w:hAnsi="Times New Roman" w:eastAsia="宋体" w:cs="Times New Roman"/>
                <w:color w:val="auto"/>
                <w:kern w:val="0"/>
                <w:sz w:val="21"/>
                <w:szCs w:val="21"/>
                <w:lang w:val="zh-CN" w:eastAsia="zh-CN" w:bidi="ar-SA"/>
              </w:rPr>
              <w:t>区域削减污染源+其他在建、拟建污染源</w:t>
            </w:r>
          </w:p>
        </w:tc>
        <w:tc>
          <w:tcPr>
            <w:tcW w:w="163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en-US" w:bidi="ar-SA"/>
              </w:rPr>
            </w:pPr>
            <w:r>
              <w:rPr>
                <w:rFonts w:hint="default" w:ascii="Times New Roman" w:hAnsi="Times New Roman" w:eastAsia="宋体" w:cs="Times New Roman"/>
                <w:color w:val="auto"/>
                <w:kern w:val="0"/>
                <w:sz w:val="21"/>
                <w:szCs w:val="21"/>
                <w:lang w:val="zh-CN" w:eastAsia="en-US" w:bidi="ar-SA"/>
              </w:rPr>
              <w:t>正常排放</w:t>
            </w:r>
          </w:p>
        </w:tc>
        <w:tc>
          <w:tcPr>
            <w:tcW w:w="208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en-US" w:bidi="ar-SA"/>
              </w:rPr>
            </w:pPr>
            <w:r>
              <w:rPr>
                <w:rFonts w:hint="default" w:ascii="Times New Roman" w:hAnsi="Times New Roman" w:eastAsia="宋体" w:cs="Times New Roman"/>
                <w:color w:val="auto"/>
                <w:kern w:val="0"/>
                <w:sz w:val="21"/>
                <w:szCs w:val="21"/>
                <w:lang w:val="zh-CN" w:eastAsia="en-US" w:bidi="ar-SA"/>
              </w:rPr>
              <w:t>短期浓度长期浓度</w:t>
            </w:r>
          </w:p>
        </w:tc>
        <w:tc>
          <w:tcPr>
            <w:tcW w:w="233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zh-CN" w:bidi="ar-SA"/>
              </w:rPr>
              <w:t>叠加达标规划目标浓度后的保证率日平均质量浓度和年平均质量浓度的占标率，或短期浓度的达标情况；评价年平均质量浓度变化率</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042"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zh-CN" w:bidi="ar-SA"/>
              </w:rPr>
            </w:pPr>
          </w:p>
        </w:tc>
        <w:tc>
          <w:tcPr>
            <w:tcW w:w="163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en-US" w:bidi="ar-SA"/>
              </w:rPr>
            </w:pPr>
            <w:r>
              <w:rPr>
                <w:rFonts w:hint="default" w:ascii="Times New Roman" w:hAnsi="Times New Roman" w:eastAsia="宋体" w:cs="Times New Roman"/>
                <w:color w:val="auto"/>
                <w:kern w:val="0"/>
                <w:sz w:val="21"/>
                <w:szCs w:val="21"/>
                <w:lang w:val="zh-CN" w:eastAsia="en-US" w:bidi="ar-SA"/>
              </w:rPr>
              <w:t>新增污染源</w:t>
            </w:r>
          </w:p>
        </w:tc>
        <w:tc>
          <w:tcPr>
            <w:tcW w:w="163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eastAsia="宋体" w:cs="Times New Roman"/>
                <w:color w:val="auto"/>
                <w:kern w:val="0"/>
                <w:sz w:val="21"/>
                <w:szCs w:val="21"/>
                <w:lang w:val="zh-CN" w:eastAsia="en-US" w:bidi="ar-SA"/>
              </w:rPr>
              <w:t>非正常排放</w:t>
            </w:r>
          </w:p>
        </w:tc>
        <w:tc>
          <w:tcPr>
            <w:tcW w:w="208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en-US" w:bidi="ar-SA"/>
              </w:rPr>
            </w:pPr>
            <w:r>
              <w:rPr>
                <w:rFonts w:hint="default" w:ascii="Times New Roman" w:hAnsi="Times New Roman" w:eastAsia="Times New Roman" w:cs="Times New Roman"/>
                <w:color w:val="auto"/>
                <w:kern w:val="0"/>
                <w:sz w:val="21"/>
                <w:szCs w:val="21"/>
                <w:lang w:val="zh-CN" w:eastAsia="en-US" w:bidi="ar-SA"/>
              </w:rPr>
              <w:t xml:space="preserve">1h </w:t>
            </w:r>
            <w:r>
              <w:rPr>
                <w:rFonts w:hint="default" w:ascii="Times New Roman" w:hAnsi="Times New Roman" w:eastAsia="宋体" w:cs="Times New Roman"/>
                <w:color w:val="auto"/>
                <w:kern w:val="0"/>
                <w:sz w:val="21"/>
                <w:szCs w:val="21"/>
                <w:lang w:val="zh-CN" w:eastAsia="en-US" w:bidi="ar-SA"/>
              </w:rPr>
              <w:t>平均质量浓度</w:t>
            </w:r>
          </w:p>
        </w:tc>
        <w:tc>
          <w:tcPr>
            <w:tcW w:w="233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en-US" w:bidi="ar-SA"/>
              </w:rPr>
            </w:pPr>
            <w:r>
              <w:rPr>
                <w:rFonts w:hint="default" w:ascii="Times New Roman" w:hAnsi="Times New Roman" w:eastAsia="宋体" w:cs="Times New Roman"/>
                <w:color w:val="auto"/>
                <w:kern w:val="0"/>
                <w:sz w:val="21"/>
                <w:szCs w:val="21"/>
                <w:lang w:val="zh-CN" w:eastAsia="en-US" w:bidi="ar-SA"/>
              </w:rPr>
              <w:t>最大浓度占标率</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042"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en-US" w:bidi="ar-SA"/>
              </w:rPr>
            </w:pPr>
            <w:r>
              <w:rPr>
                <w:rFonts w:hint="default" w:ascii="Times New Roman" w:hAnsi="Times New Roman" w:eastAsia="宋体" w:cs="Times New Roman"/>
                <w:color w:val="auto"/>
                <w:kern w:val="0"/>
                <w:sz w:val="21"/>
                <w:szCs w:val="21"/>
                <w:lang w:val="zh-CN" w:eastAsia="en-US" w:bidi="ar-SA"/>
              </w:rPr>
              <w:t>大气环境防护距离</w:t>
            </w:r>
          </w:p>
        </w:tc>
        <w:tc>
          <w:tcPr>
            <w:tcW w:w="163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en-US" w:bidi="ar-SA"/>
              </w:rPr>
            </w:pPr>
            <w:r>
              <w:rPr>
                <w:rFonts w:hint="default" w:ascii="Times New Roman" w:hAnsi="Times New Roman" w:eastAsia="宋体" w:cs="Times New Roman"/>
                <w:color w:val="auto"/>
                <w:kern w:val="0"/>
                <w:sz w:val="21"/>
                <w:szCs w:val="21"/>
                <w:lang w:val="zh-CN" w:eastAsia="en-US" w:bidi="ar-SA"/>
              </w:rPr>
              <w:t>新增污染源</w:t>
            </w:r>
          </w:p>
        </w:tc>
        <w:tc>
          <w:tcPr>
            <w:tcW w:w="163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en-US" w:bidi="ar-SA"/>
              </w:rPr>
            </w:pPr>
            <w:r>
              <w:rPr>
                <w:rFonts w:hint="default" w:ascii="Times New Roman" w:hAnsi="Times New Roman" w:eastAsia="宋体" w:cs="Times New Roman"/>
                <w:color w:val="auto"/>
                <w:kern w:val="0"/>
                <w:sz w:val="21"/>
                <w:szCs w:val="21"/>
                <w:lang w:val="zh-CN" w:eastAsia="en-US" w:bidi="ar-SA"/>
              </w:rPr>
              <w:t>正常排放</w:t>
            </w:r>
          </w:p>
        </w:tc>
        <w:tc>
          <w:tcPr>
            <w:tcW w:w="2081"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en-US" w:bidi="ar-SA"/>
              </w:rPr>
            </w:pPr>
            <w:r>
              <w:rPr>
                <w:rFonts w:hint="default" w:ascii="Times New Roman" w:hAnsi="Times New Roman" w:eastAsia="宋体" w:cs="Times New Roman"/>
                <w:color w:val="auto"/>
                <w:kern w:val="0"/>
                <w:sz w:val="21"/>
                <w:szCs w:val="21"/>
                <w:lang w:val="zh-CN" w:eastAsia="en-US" w:bidi="ar-SA"/>
              </w:rPr>
              <w:t>短期浓度</w:t>
            </w:r>
          </w:p>
        </w:tc>
        <w:tc>
          <w:tcPr>
            <w:tcW w:w="2335"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zh-CN" w:eastAsia="en-US" w:bidi="ar-SA"/>
              </w:rPr>
            </w:pPr>
            <w:r>
              <w:rPr>
                <w:rFonts w:hint="default" w:ascii="Times New Roman" w:hAnsi="Times New Roman" w:eastAsia="宋体" w:cs="Times New Roman"/>
                <w:color w:val="auto"/>
                <w:kern w:val="0"/>
                <w:sz w:val="21"/>
                <w:szCs w:val="21"/>
                <w:lang w:val="zh-CN" w:eastAsia="en-US" w:bidi="ar-SA"/>
              </w:rPr>
              <w:t>大气环境防护距离</w:t>
            </w:r>
          </w:p>
        </w:tc>
      </w:tr>
    </w:tbl>
    <w:p>
      <w:pPr>
        <w:bidi w:val="0"/>
        <w:rPr>
          <w:rFonts w:hint="default" w:ascii="Times New Roman" w:hAnsi="Times New Roman" w:cs="Times New Roman"/>
          <w:color w:val="auto"/>
        </w:rPr>
      </w:pPr>
      <w:r>
        <w:rPr>
          <w:rFonts w:hint="default" w:ascii="Times New Roman" w:hAnsi="Times New Roman" w:cs="Times New Roman"/>
          <w:color w:val="auto"/>
        </w:rPr>
        <w:t>5.</w:t>
      </w:r>
      <w:r>
        <w:rPr>
          <w:rFonts w:hint="default" w:ascii="Times New Roman" w:hAnsi="Times New Roman" w:eastAsia="宋体" w:cs="Times New Roman"/>
          <w:color w:val="auto"/>
          <w:lang w:val="en-US" w:eastAsia="zh-CN"/>
        </w:rPr>
        <w:t>2</w:t>
      </w:r>
      <w:r>
        <w:rPr>
          <w:rFonts w:hint="default" w:ascii="Times New Roman" w:hAnsi="Times New Roman" w:cs="Times New Roman"/>
          <w:color w:val="auto"/>
        </w:rPr>
        <w:t>.1.10污染源计算清单</w:t>
      </w:r>
    </w:p>
    <w:p>
      <w:pPr>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根据工程分析，由于固粪处理区、污水处理站、沼液暂存池等各功能单元相距较近，均为无组织排放，排放的污染物种类相同，因此本次影响预测时将上述各单元等效成一个面源考虑。无组织源排放参数见表5.</w:t>
      </w:r>
      <w:r>
        <w:rPr>
          <w:rFonts w:hint="default" w:ascii="Times New Roman" w:hAnsi="Times New Roman" w:cs="Times New Roman"/>
          <w:color w:val="auto"/>
          <w:sz w:val="24"/>
          <w:szCs w:val="24"/>
          <w:lang w:val="en-US" w:eastAsia="zh-CN"/>
        </w:rPr>
        <w:t>2-1</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rPr>
        <w:t>。</w:t>
      </w:r>
    </w:p>
    <w:p>
      <w:pPr>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表5.2-</w:t>
      </w:r>
      <w:r>
        <w:rPr>
          <w:rFonts w:hint="default" w:ascii="Times New Roman" w:hAnsi="Times New Roman" w:cs="Times New Roman"/>
          <w:b/>
          <w:bCs/>
          <w:color w:val="auto"/>
          <w:lang w:val="en-US" w:eastAsia="zh-CN"/>
        </w:rPr>
        <w:t>1</w:t>
      </w:r>
      <w:r>
        <w:rPr>
          <w:rFonts w:hint="eastAsia" w:cs="Times New Roman"/>
          <w:b/>
          <w:bCs/>
          <w:color w:val="auto"/>
          <w:lang w:val="en-US" w:eastAsia="zh-CN"/>
        </w:rPr>
        <w:t>2</w:t>
      </w:r>
      <w:r>
        <w:rPr>
          <w:rFonts w:hint="default" w:ascii="Times New Roman" w:hAnsi="Times New Roman" w:cs="Times New Roman"/>
          <w:b/>
          <w:bCs/>
          <w:color w:val="auto"/>
        </w:rPr>
        <w:t xml:space="preserve">  估算模型参数表</w:t>
      </w:r>
    </w:p>
    <w:tbl>
      <w:tblPr>
        <w:tblStyle w:val="26"/>
        <w:tblW w:w="905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021"/>
        <w:gridCol w:w="301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39" w:type="dxa"/>
            <w:gridSpan w:val="2"/>
            <w:tcBorders>
              <w:tl2br w:val="nil"/>
              <w:tr2bl w:val="nil"/>
            </w:tcBorders>
            <w:vAlign w:val="center"/>
          </w:tcPr>
          <w:p>
            <w:pPr>
              <w:spacing w:line="240" w:lineRule="auto"/>
              <w:ind w:firstLine="422"/>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参数</w:t>
            </w:r>
          </w:p>
        </w:tc>
        <w:tc>
          <w:tcPr>
            <w:tcW w:w="3019" w:type="dxa"/>
            <w:tcBorders>
              <w:tl2br w:val="nil"/>
              <w:tr2bl w:val="nil"/>
            </w:tcBorders>
            <w:vAlign w:val="center"/>
          </w:tcPr>
          <w:p>
            <w:pPr>
              <w:spacing w:line="240" w:lineRule="auto"/>
              <w:ind w:firstLine="422"/>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取值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18" w:type="dxa"/>
            <w:vMerge w:val="restart"/>
            <w:tcBorders>
              <w:tl2br w:val="nil"/>
              <w:tr2bl w:val="nil"/>
            </w:tcBorders>
            <w:vAlign w:val="center"/>
          </w:tcPr>
          <w:p>
            <w:pPr>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城市/农村选项</w:t>
            </w:r>
          </w:p>
        </w:tc>
        <w:tc>
          <w:tcPr>
            <w:tcW w:w="3021" w:type="dxa"/>
            <w:tcBorders>
              <w:tl2br w:val="nil"/>
              <w:tr2bl w:val="nil"/>
            </w:tcBorders>
            <w:vAlign w:val="center"/>
          </w:tcPr>
          <w:p>
            <w:pPr>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城市/农村</w:t>
            </w:r>
          </w:p>
        </w:tc>
        <w:tc>
          <w:tcPr>
            <w:tcW w:w="3019" w:type="dxa"/>
            <w:tcBorders>
              <w:tl2br w:val="nil"/>
              <w:tr2bl w:val="nil"/>
            </w:tcBorders>
            <w:vAlign w:val="center"/>
          </w:tcPr>
          <w:p>
            <w:pPr>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农村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18" w:type="dxa"/>
            <w:vMerge w:val="continue"/>
            <w:tcBorders>
              <w:tl2br w:val="nil"/>
              <w:tr2bl w:val="nil"/>
            </w:tcBorders>
            <w:vAlign w:val="center"/>
          </w:tcPr>
          <w:p>
            <w:pPr>
              <w:spacing w:line="240" w:lineRule="auto"/>
              <w:ind w:firstLine="420"/>
              <w:jc w:val="center"/>
              <w:rPr>
                <w:rFonts w:hint="default" w:ascii="Times New Roman" w:hAnsi="Times New Roman" w:cs="Times New Roman"/>
                <w:bCs/>
                <w:color w:val="auto"/>
                <w:sz w:val="21"/>
                <w:szCs w:val="21"/>
              </w:rPr>
            </w:pPr>
          </w:p>
        </w:tc>
        <w:tc>
          <w:tcPr>
            <w:tcW w:w="3021" w:type="dxa"/>
            <w:tcBorders>
              <w:tl2br w:val="nil"/>
              <w:tr2bl w:val="nil"/>
            </w:tcBorders>
            <w:vAlign w:val="center"/>
          </w:tcPr>
          <w:p>
            <w:pPr>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人口数（城市选项时）</w:t>
            </w:r>
          </w:p>
        </w:tc>
        <w:tc>
          <w:tcPr>
            <w:tcW w:w="3019" w:type="dxa"/>
            <w:tcBorders>
              <w:tl2br w:val="nil"/>
              <w:tr2bl w:val="nil"/>
            </w:tcBorders>
            <w:vAlign w:val="center"/>
          </w:tcPr>
          <w:p>
            <w:pPr>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39" w:type="dxa"/>
            <w:gridSpan w:val="2"/>
            <w:tcBorders>
              <w:tl2br w:val="nil"/>
              <w:tr2bl w:val="nil"/>
            </w:tcBorders>
            <w:vAlign w:val="center"/>
          </w:tcPr>
          <w:p>
            <w:pPr>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最高环境温度/℃</w:t>
            </w:r>
          </w:p>
        </w:tc>
        <w:tc>
          <w:tcPr>
            <w:tcW w:w="3019" w:type="dxa"/>
            <w:tcBorders>
              <w:tl2br w:val="nil"/>
              <w:tr2bl w:val="nil"/>
            </w:tcBorders>
            <w:vAlign w:val="center"/>
          </w:tcPr>
          <w:p>
            <w:pPr>
              <w:ind w:firstLine="420"/>
              <w:jc w:val="center"/>
              <w:rPr>
                <w:rFonts w:hint="default" w:ascii="Times New Roman" w:hAnsi="Times New Roman" w:cs="Times New Roman"/>
                <w:bCs/>
                <w:color w:val="auto"/>
                <w:sz w:val="21"/>
                <w:szCs w:val="21"/>
                <w:highlight w:val="yellow"/>
              </w:rPr>
            </w:pPr>
            <w:r>
              <w:rPr>
                <w:rFonts w:hint="default" w:ascii="Times New Roman" w:hAnsi="Times New Roman" w:cs="Times New Roman"/>
                <w:bCs/>
                <w:color w:val="auto"/>
                <w:sz w:val="21"/>
                <w:szCs w:val="21"/>
              </w:rPr>
              <w:t>42.2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39" w:type="dxa"/>
            <w:gridSpan w:val="2"/>
            <w:tcBorders>
              <w:tl2br w:val="nil"/>
              <w:tr2bl w:val="nil"/>
            </w:tcBorders>
            <w:vAlign w:val="center"/>
          </w:tcPr>
          <w:p>
            <w:pPr>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最低环境温度/℃</w:t>
            </w:r>
          </w:p>
        </w:tc>
        <w:tc>
          <w:tcPr>
            <w:tcW w:w="3019" w:type="dxa"/>
            <w:tcBorders>
              <w:tl2br w:val="nil"/>
              <w:tr2bl w:val="nil"/>
            </w:tcBorders>
            <w:vAlign w:val="center"/>
          </w:tcPr>
          <w:p>
            <w:pPr>
              <w:ind w:firstLine="420"/>
              <w:jc w:val="center"/>
              <w:rPr>
                <w:rFonts w:hint="default" w:ascii="Times New Roman" w:hAnsi="Times New Roman" w:cs="Times New Roman"/>
                <w:bCs/>
                <w:color w:val="auto"/>
                <w:sz w:val="21"/>
                <w:szCs w:val="21"/>
                <w:highlight w:val="yellow"/>
              </w:rPr>
            </w:pPr>
            <w:r>
              <w:rPr>
                <w:rFonts w:hint="default" w:ascii="Times New Roman" w:hAnsi="Times New Roman" w:cs="Times New Roman"/>
                <w:bCs/>
                <w:color w:val="auto"/>
                <w:sz w:val="21"/>
                <w:szCs w:val="21"/>
              </w:rPr>
              <w:t>-20.7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39" w:type="dxa"/>
            <w:gridSpan w:val="2"/>
            <w:tcBorders>
              <w:tl2br w:val="nil"/>
              <w:tr2bl w:val="nil"/>
            </w:tcBorders>
            <w:vAlign w:val="center"/>
          </w:tcPr>
          <w:p>
            <w:pPr>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土地利用类型</w:t>
            </w:r>
          </w:p>
        </w:tc>
        <w:tc>
          <w:tcPr>
            <w:tcW w:w="3019" w:type="dxa"/>
            <w:tcBorders>
              <w:tl2br w:val="nil"/>
              <w:tr2bl w:val="nil"/>
            </w:tcBorders>
            <w:vAlign w:val="center"/>
          </w:tcPr>
          <w:p>
            <w:pPr>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农用地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39" w:type="dxa"/>
            <w:gridSpan w:val="2"/>
            <w:tcBorders>
              <w:tl2br w:val="nil"/>
              <w:tr2bl w:val="nil"/>
            </w:tcBorders>
            <w:vAlign w:val="center"/>
          </w:tcPr>
          <w:p>
            <w:pPr>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区域湿度条件</w:t>
            </w:r>
          </w:p>
        </w:tc>
        <w:tc>
          <w:tcPr>
            <w:tcW w:w="3019" w:type="dxa"/>
            <w:tcBorders>
              <w:tl2br w:val="nil"/>
              <w:tr2bl w:val="nil"/>
            </w:tcBorders>
            <w:vAlign w:val="center"/>
          </w:tcPr>
          <w:p>
            <w:pPr>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中等湿度气候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18" w:type="dxa"/>
            <w:vMerge w:val="restart"/>
            <w:tcBorders>
              <w:tl2br w:val="nil"/>
              <w:tr2bl w:val="nil"/>
            </w:tcBorders>
            <w:vAlign w:val="center"/>
          </w:tcPr>
          <w:p>
            <w:pPr>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是否考虑地形</w:t>
            </w:r>
          </w:p>
        </w:tc>
        <w:tc>
          <w:tcPr>
            <w:tcW w:w="3021" w:type="dxa"/>
            <w:tcBorders>
              <w:tl2br w:val="nil"/>
              <w:tr2bl w:val="nil"/>
            </w:tcBorders>
            <w:vAlign w:val="center"/>
          </w:tcPr>
          <w:p>
            <w:pPr>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考虑地形</w:t>
            </w:r>
          </w:p>
        </w:tc>
        <w:tc>
          <w:tcPr>
            <w:tcW w:w="3019" w:type="dxa"/>
            <w:tcBorders>
              <w:tl2br w:val="nil"/>
              <w:tr2bl w:val="nil"/>
            </w:tcBorders>
            <w:vAlign w:val="center"/>
          </w:tcPr>
          <w:p>
            <w:pPr>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sym w:font="Wingdings" w:char="00FE"/>
            </w:r>
            <w:r>
              <w:rPr>
                <w:rFonts w:hint="default" w:ascii="Times New Roman" w:hAnsi="Times New Roman" w:cs="Times New Roman"/>
                <w:bCs/>
                <w:color w:val="auto"/>
                <w:sz w:val="21"/>
                <w:szCs w:val="21"/>
              </w:rPr>
              <w:t xml:space="preserve">是  </w:t>
            </w:r>
            <w:r>
              <w:rPr>
                <w:rFonts w:hint="default" w:ascii="Times New Roman" w:hAnsi="Times New Roman" w:cs="Times New Roman"/>
                <w:bCs/>
                <w:color w:val="auto"/>
                <w:sz w:val="21"/>
                <w:szCs w:val="21"/>
              </w:rPr>
              <w:sym w:font="Wingdings" w:char="00A8"/>
            </w:r>
            <w:r>
              <w:rPr>
                <w:rFonts w:hint="default" w:ascii="Times New Roman" w:hAnsi="Times New Roman" w:cs="Times New Roman"/>
                <w:bCs/>
                <w:color w:val="auto"/>
                <w:sz w:val="21"/>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18" w:type="dxa"/>
            <w:vMerge w:val="continue"/>
            <w:tcBorders>
              <w:tl2br w:val="nil"/>
              <w:tr2bl w:val="nil"/>
            </w:tcBorders>
            <w:vAlign w:val="center"/>
          </w:tcPr>
          <w:p>
            <w:pPr>
              <w:spacing w:line="240" w:lineRule="auto"/>
              <w:ind w:firstLine="420"/>
              <w:jc w:val="center"/>
              <w:rPr>
                <w:rFonts w:hint="default" w:ascii="Times New Roman" w:hAnsi="Times New Roman" w:cs="Times New Roman"/>
                <w:bCs/>
                <w:color w:val="auto"/>
                <w:sz w:val="21"/>
                <w:szCs w:val="21"/>
              </w:rPr>
            </w:pPr>
          </w:p>
        </w:tc>
        <w:tc>
          <w:tcPr>
            <w:tcW w:w="3021" w:type="dxa"/>
            <w:tcBorders>
              <w:tl2br w:val="nil"/>
              <w:tr2bl w:val="nil"/>
            </w:tcBorders>
            <w:vAlign w:val="center"/>
          </w:tcPr>
          <w:p>
            <w:pPr>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地形数据分辨率/m</w:t>
            </w:r>
          </w:p>
        </w:tc>
        <w:tc>
          <w:tcPr>
            <w:tcW w:w="3019" w:type="dxa"/>
            <w:tcBorders>
              <w:tl2br w:val="nil"/>
              <w:tr2bl w:val="nil"/>
            </w:tcBorders>
            <w:vAlign w:val="center"/>
          </w:tcPr>
          <w:p>
            <w:pPr>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18" w:type="dxa"/>
            <w:vMerge w:val="restart"/>
            <w:tcBorders>
              <w:tl2br w:val="nil"/>
              <w:tr2bl w:val="nil"/>
            </w:tcBorders>
            <w:vAlign w:val="center"/>
          </w:tcPr>
          <w:p>
            <w:pPr>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是否考虑岸线熏烟</w:t>
            </w:r>
          </w:p>
        </w:tc>
        <w:tc>
          <w:tcPr>
            <w:tcW w:w="3021" w:type="dxa"/>
            <w:tcBorders>
              <w:tl2br w:val="nil"/>
              <w:tr2bl w:val="nil"/>
            </w:tcBorders>
            <w:vAlign w:val="center"/>
          </w:tcPr>
          <w:p>
            <w:pPr>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考虑岸线熏烟</w:t>
            </w:r>
          </w:p>
        </w:tc>
        <w:tc>
          <w:tcPr>
            <w:tcW w:w="3019" w:type="dxa"/>
            <w:tcBorders>
              <w:tl2br w:val="nil"/>
              <w:tr2bl w:val="nil"/>
            </w:tcBorders>
            <w:vAlign w:val="center"/>
          </w:tcPr>
          <w:p>
            <w:pPr>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sym w:font="Wingdings" w:char="00A8"/>
            </w:r>
            <w:r>
              <w:rPr>
                <w:rFonts w:hint="default" w:ascii="Times New Roman" w:hAnsi="Times New Roman" w:cs="Times New Roman"/>
                <w:bCs/>
                <w:color w:val="auto"/>
                <w:sz w:val="21"/>
                <w:szCs w:val="21"/>
              </w:rPr>
              <w:t xml:space="preserve">是  </w:t>
            </w:r>
            <w:r>
              <w:rPr>
                <w:rFonts w:hint="default" w:ascii="Times New Roman" w:hAnsi="Times New Roman" w:cs="Times New Roman"/>
                <w:bCs/>
                <w:color w:val="auto"/>
                <w:sz w:val="21"/>
                <w:szCs w:val="21"/>
              </w:rPr>
              <w:sym w:font="Wingdings" w:char="00FE"/>
            </w:r>
            <w:r>
              <w:rPr>
                <w:rFonts w:hint="default" w:ascii="Times New Roman" w:hAnsi="Times New Roman" w:cs="Times New Roman"/>
                <w:bCs/>
                <w:color w:val="auto"/>
                <w:sz w:val="21"/>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18" w:type="dxa"/>
            <w:vMerge w:val="continue"/>
            <w:tcBorders>
              <w:tl2br w:val="nil"/>
              <w:tr2bl w:val="nil"/>
            </w:tcBorders>
            <w:vAlign w:val="center"/>
          </w:tcPr>
          <w:p>
            <w:pPr>
              <w:spacing w:line="240" w:lineRule="auto"/>
              <w:ind w:firstLine="420"/>
              <w:jc w:val="center"/>
              <w:rPr>
                <w:rFonts w:hint="default" w:ascii="Times New Roman" w:hAnsi="Times New Roman" w:cs="Times New Roman"/>
                <w:bCs/>
                <w:color w:val="auto"/>
                <w:sz w:val="21"/>
                <w:szCs w:val="21"/>
              </w:rPr>
            </w:pPr>
          </w:p>
        </w:tc>
        <w:tc>
          <w:tcPr>
            <w:tcW w:w="3021" w:type="dxa"/>
            <w:tcBorders>
              <w:tl2br w:val="nil"/>
              <w:tr2bl w:val="nil"/>
            </w:tcBorders>
            <w:vAlign w:val="center"/>
          </w:tcPr>
          <w:p>
            <w:pPr>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岸线距离/km</w:t>
            </w:r>
          </w:p>
        </w:tc>
        <w:tc>
          <w:tcPr>
            <w:tcW w:w="3019" w:type="dxa"/>
            <w:tcBorders>
              <w:tl2br w:val="nil"/>
              <w:tr2bl w:val="nil"/>
            </w:tcBorders>
            <w:vAlign w:val="center"/>
          </w:tcPr>
          <w:p>
            <w:pPr>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018" w:type="dxa"/>
            <w:vMerge w:val="continue"/>
            <w:tcBorders>
              <w:tl2br w:val="nil"/>
              <w:tr2bl w:val="nil"/>
            </w:tcBorders>
            <w:vAlign w:val="center"/>
          </w:tcPr>
          <w:p>
            <w:pPr>
              <w:spacing w:line="240" w:lineRule="auto"/>
              <w:ind w:firstLine="420"/>
              <w:jc w:val="center"/>
              <w:rPr>
                <w:rFonts w:hint="default" w:ascii="Times New Roman" w:hAnsi="Times New Roman" w:cs="Times New Roman"/>
                <w:bCs/>
                <w:color w:val="auto"/>
                <w:sz w:val="21"/>
                <w:szCs w:val="21"/>
              </w:rPr>
            </w:pPr>
          </w:p>
        </w:tc>
        <w:tc>
          <w:tcPr>
            <w:tcW w:w="3021" w:type="dxa"/>
            <w:tcBorders>
              <w:tl2br w:val="nil"/>
              <w:tr2bl w:val="nil"/>
            </w:tcBorders>
            <w:vAlign w:val="center"/>
          </w:tcPr>
          <w:p>
            <w:pPr>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岸线方向/°</w:t>
            </w:r>
          </w:p>
        </w:tc>
        <w:tc>
          <w:tcPr>
            <w:tcW w:w="3019" w:type="dxa"/>
            <w:tcBorders>
              <w:tl2br w:val="nil"/>
              <w:tr2bl w:val="nil"/>
            </w:tcBorders>
            <w:vAlign w:val="center"/>
          </w:tcPr>
          <w:p>
            <w:pPr>
              <w:spacing w:line="240" w:lineRule="auto"/>
              <w:ind w:firstLine="42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r>
    </w:tbl>
    <w:p>
      <w:pPr>
        <w:ind w:firstLine="482"/>
        <w:jc w:val="center"/>
        <w:rPr>
          <w:rFonts w:hint="default" w:ascii="Times New Roman" w:hAnsi="Times New Roman" w:cs="Times New Roman"/>
          <w:b/>
          <w:bCs/>
          <w:color w:val="auto"/>
          <w:lang w:val="en-GB"/>
        </w:rPr>
      </w:pPr>
      <w:r>
        <w:rPr>
          <w:rFonts w:hint="default" w:ascii="Times New Roman" w:hAnsi="Times New Roman" w:cs="Times New Roman"/>
          <w:b/>
          <w:bCs/>
          <w:color w:val="auto"/>
          <w:lang w:val="en-GB"/>
        </w:rPr>
        <w:t>表</w:t>
      </w:r>
      <w:r>
        <w:rPr>
          <w:rFonts w:hint="default" w:ascii="Times New Roman" w:hAnsi="Times New Roman" w:cs="Times New Roman"/>
          <w:b/>
          <w:bCs/>
          <w:color w:val="auto"/>
        </w:rPr>
        <w:t>5.2-</w:t>
      </w:r>
      <w:r>
        <w:rPr>
          <w:rFonts w:hint="default" w:ascii="Times New Roman" w:hAnsi="Times New Roman" w:cs="Times New Roman"/>
          <w:b/>
          <w:bCs/>
          <w:color w:val="auto"/>
          <w:lang w:val="en-US" w:eastAsia="zh-CN"/>
        </w:rPr>
        <w:t>1</w:t>
      </w:r>
      <w:r>
        <w:rPr>
          <w:rFonts w:hint="eastAsia" w:cs="Times New Roman"/>
          <w:b/>
          <w:bCs/>
          <w:color w:val="auto"/>
          <w:lang w:val="en-US" w:eastAsia="zh-CN"/>
        </w:rPr>
        <w:t>3</w:t>
      </w:r>
      <w:r>
        <w:rPr>
          <w:rFonts w:hint="default" w:ascii="Times New Roman" w:hAnsi="Times New Roman" w:cs="Times New Roman"/>
          <w:b/>
          <w:bCs/>
          <w:color w:val="auto"/>
          <w:lang w:val="en-GB"/>
        </w:rPr>
        <w:t xml:space="preserve">  本项目大气污染物恶臭无组织排放达标情况汇总表</w:t>
      </w:r>
    </w:p>
    <w:tbl>
      <w:tblPr>
        <w:tblStyle w:val="25"/>
        <w:tblW w:w="8534" w:type="dxa"/>
        <w:jc w:val="center"/>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0"/>
        <w:gridCol w:w="870"/>
        <w:gridCol w:w="825"/>
        <w:gridCol w:w="720"/>
        <w:gridCol w:w="780"/>
        <w:gridCol w:w="495"/>
        <w:gridCol w:w="538"/>
        <w:gridCol w:w="692"/>
        <w:gridCol w:w="675"/>
        <w:gridCol w:w="690"/>
        <w:gridCol w:w="390"/>
        <w:gridCol w:w="691"/>
        <w:gridCol w:w="778"/>
      </w:tblGrid>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390" w:type="dxa"/>
            <w:vMerge w:val="restart"/>
            <w:tcBorders>
              <w:tl2br w:val="nil"/>
              <w:tr2bl w:val="nil"/>
            </w:tcBorders>
            <w:tcMar>
              <w:left w:w="28" w:type="dxa"/>
              <w:right w:w="28" w:type="dxa"/>
            </w:tcMar>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编号</w:t>
            </w:r>
          </w:p>
        </w:tc>
        <w:tc>
          <w:tcPr>
            <w:tcW w:w="870" w:type="dxa"/>
            <w:vMerge w:val="restart"/>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名称</w:t>
            </w:r>
          </w:p>
        </w:tc>
        <w:tc>
          <w:tcPr>
            <w:tcW w:w="1545" w:type="dxa"/>
            <w:gridSpan w:val="2"/>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面源起点坐标</w:t>
            </w:r>
          </w:p>
        </w:tc>
        <w:tc>
          <w:tcPr>
            <w:tcW w:w="780" w:type="dxa"/>
            <w:vMerge w:val="restart"/>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面源海拔高度/m</w:t>
            </w:r>
          </w:p>
        </w:tc>
        <w:tc>
          <w:tcPr>
            <w:tcW w:w="495" w:type="dxa"/>
            <w:vMerge w:val="restart"/>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面源长度/m</w:t>
            </w:r>
          </w:p>
        </w:tc>
        <w:tc>
          <w:tcPr>
            <w:tcW w:w="538" w:type="dxa"/>
            <w:vMerge w:val="restart"/>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面源宽度/m</w:t>
            </w:r>
          </w:p>
        </w:tc>
        <w:tc>
          <w:tcPr>
            <w:tcW w:w="692" w:type="dxa"/>
            <w:vMerge w:val="restart"/>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与正北夹角/°</w:t>
            </w:r>
          </w:p>
        </w:tc>
        <w:tc>
          <w:tcPr>
            <w:tcW w:w="675" w:type="dxa"/>
            <w:vMerge w:val="restart"/>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面源有效排放高度/m</w:t>
            </w:r>
          </w:p>
        </w:tc>
        <w:tc>
          <w:tcPr>
            <w:tcW w:w="690" w:type="dxa"/>
            <w:vMerge w:val="restart"/>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年排放小时数/h</w:t>
            </w:r>
          </w:p>
        </w:tc>
        <w:tc>
          <w:tcPr>
            <w:tcW w:w="390" w:type="dxa"/>
            <w:vMerge w:val="restart"/>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排放工况</w:t>
            </w:r>
          </w:p>
        </w:tc>
        <w:tc>
          <w:tcPr>
            <w:tcW w:w="1469" w:type="dxa"/>
            <w:gridSpan w:val="2"/>
            <w:vMerge w:val="restart"/>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污染物排放速率（kg/h）</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90" w:type="dxa"/>
            <w:vMerge w:val="continue"/>
            <w:tcBorders>
              <w:tl2br w:val="nil"/>
              <w:tr2bl w:val="nil"/>
            </w:tcBorders>
            <w:tcMar>
              <w:left w:w="28" w:type="dxa"/>
              <w:right w:w="28" w:type="dxa"/>
            </w:tcMar>
            <w:vAlign w:val="center"/>
          </w:tcPr>
          <w:p>
            <w:pPr>
              <w:spacing w:line="360" w:lineRule="exact"/>
              <w:ind w:firstLine="0" w:firstLineChars="0"/>
              <w:jc w:val="center"/>
              <w:rPr>
                <w:rFonts w:hint="default" w:ascii="Times New Roman" w:hAnsi="Times New Roman" w:cs="Times New Roman"/>
                <w:color w:val="auto"/>
                <w:kern w:val="0"/>
                <w:sz w:val="21"/>
                <w:szCs w:val="21"/>
              </w:rPr>
            </w:pPr>
          </w:p>
        </w:tc>
        <w:tc>
          <w:tcPr>
            <w:tcW w:w="870" w:type="dxa"/>
            <w:vMerge w:val="continue"/>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p>
        </w:tc>
        <w:tc>
          <w:tcPr>
            <w:tcW w:w="825" w:type="dxa"/>
            <w:vMerge w:val="restart"/>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val="en-US" w:eastAsia="zh-CN"/>
              </w:rPr>
              <w:t>X</w:t>
            </w:r>
          </w:p>
        </w:tc>
        <w:tc>
          <w:tcPr>
            <w:tcW w:w="720" w:type="dxa"/>
            <w:vMerge w:val="restart"/>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val="en-US" w:eastAsia="zh-CN"/>
              </w:rPr>
              <w:t>Y</w:t>
            </w:r>
          </w:p>
        </w:tc>
        <w:tc>
          <w:tcPr>
            <w:tcW w:w="780" w:type="dxa"/>
            <w:vMerge w:val="continue"/>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p>
        </w:tc>
        <w:tc>
          <w:tcPr>
            <w:tcW w:w="495" w:type="dxa"/>
            <w:vMerge w:val="continue"/>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p>
        </w:tc>
        <w:tc>
          <w:tcPr>
            <w:tcW w:w="538" w:type="dxa"/>
            <w:vMerge w:val="continue"/>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p>
        </w:tc>
        <w:tc>
          <w:tcPr>
            <w:tcW w:w="692" w:type="dxa"/>
            <w:vMerge w:val="continue"/>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p>
        </w:tc>
        <w:tc>
          <w:tcPr>
            <w:tcW w:w="675" w:type="dxa"/>
            <w:vMerge w:val="continue"/>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p>
        </w:tc>
        <w:tc>
          <w:tcPr>
            <w:tcW w:w="690" w:type="dxa"/>
            <w:vMerge w:val="continue"/>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p>
        </w:tc>
        <w:tc>
          <w:tcPr>
            <w:tcW w:w="390" w:type="dxa"/>
            <w:vMerge w:val="continue"/>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p>
        </w:tc>
        <w:tc>
          <w:tcPr>
            <w:tcW w:w="1469" w:type="dxa"/>
            <w:gridSpan w:val="2"/>
            <w:vMerge w:val="continue"/>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390" w:type="dxa"/>
            <w:vMerge w:val="continue"/>
            <w:tcBorders>
              <w:tl2br w:val="nil"/>
              <w:tr2bl w:val="nil"/>
            </w:tcBorders>
            <w:tcMar>
              <w:left w:w="28" w:type="dxa"/>
              <w:right w:w="28" w:type="dxa"/>
            </w:tcMar>
            <w:vAlign w:val="center"/>
          </w:tcPr>
          <w:p>
            <w:pPr>
              <w:spacing w:line="360" w:lineRule="exact"/>
              <w:ind w:firstLine="0" w:firstLineChars="0"/>
              <w:jc w:val="center"/>
              <w:rPr>
                <w:rFonts w:hint="default" w:ascii="Times New Roman" w:hAnsi="Times New Roman" w:cs="Times New Roman"/>
                <w:color w:val="auto"/>
                <w:kern w:val="0"/>
                <w:sz w:val="21"/>
                <w:szCs w:val="21"/>
              </w:rPr>
            </w:pPr>
          </w:p>
        </w:tc>
        <w:tc>
          <w:tcPr>
            <w:tcW w:w="870" w:type="dxa"/>
            <w:vMerge w:val="continue"/>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p>
        </w:tc>
        <w:tc>
          <w:tcPr>
            <w:tcW w:w="825" w:type="dxa"/>
            <w:vMerge w:val="continue"/>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p>
        </w:tc>
        <w:tc>
          <w:tcPr>
            <w:tcW w:w="720" w:type="dxa"/>
            <w:vMerge w:val="continue"/>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p>
        </w:tc>
        <w:tc>
          <w:tcPr>
            <w:tcW w:w="780" w:type="dxa"/>
            <w:vMerge w:val="continue"/>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p>
        </w:tc>
        <w:tc>
          <w:tcPr>
            <w:tcW w:w="495" w:type="dxa"/>
            <w:vMerge w:val="continue"/>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p>
        </w:tc>
        <w:tc>
          <w:tcPr>
            <w:tcW w:w="538" w:type="dxa"/>
            <w:vMerge w:val="continue"/>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p>
        </w:tc>
        <w:tc>
          <w:tcPr>
            <w:tcW w:w="692" w:type="dxa"/>
            <w:vMerge w:val="continue"/>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p>
        </w:tc>
        <w:tc>
          <w:tcPr>
            <w:tcW w:w="675" w:type="dxa"/>
            <w:vMerge w:val="continue"/>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p>
        </w:tc>
        <w:tc>
          <w:tcPr>
            <w:tcW w:w="690" w:type="dxa"/>
            <w:vMerge w:val="continue"/>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p>
        </w:tc>
        <w:tc>
          <w:tcPr>
            <w:tcW w:w="390" w:type="dxa"/>
            <w:vMerge w:val="continue"/>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p>
        </w:tc>
        <w:tc>
          <w:tcPr>
            <w:tcW w:w="691" w:type="dxa"/>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p>
        </w:tc>
        <w:tc>
          <w:tcPr>
            <w:tcW w:w="778" w:type="dxa"/>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390" w:type="dxa"/>
            <w:tcBorders>
              <w:tl2br w:val="nil"/>
              <w:tr2bl w:val="nil"/>
            </w:tcBorders>
            <w:tcMar>
              <w:left w:w="28" w:type="dxa"/>
              <w:right w:w="28" w:type="dxa"/>
            </w:tcMar>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870" w:type="dxa"/>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整个场区</w:t>
            </w:r>
          </w:p>
        </w:tc>
        <w:tc>
          <w:tcPr>
            <w:tcW w:w="825"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val="en-US" w:eastAsia="zh-CN"/>
              </w:rPr>
              <w:t>2</w:t>
            </w:r>
          </w:p>
        </w:tc>
        <w:tc>
          <w:tcPr>
            <w:tcW w:w="720"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13</w:t>
            </w:r>
          </w:p>
        </w:tc>
        <w:tc>
          <w:tcPr>
            <w:tcW w:w="780" w:type="dxa"/>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52</w:t>
            </w:r>
          </w:p>
        </w:tc>
        <w:tc>
          <w:tcPr>
            <w:tcW w:w="495"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460</w:t>
            </w:r>
          </w:p>
        </w:tc>
        <w:tc>
          <w:tcPr>
            <w:tcW w:w="538"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2</w:t>
            </w:r>
            <w:r>
              <w:rPr>
                <w:rFonts w:hint="default" w:ascii="Times New Roman" w:hAnsi="Times New Roman" w:cs="Times New Roman"/>
                <w:color w:val="auto"/>
                <w:kern w:val="0"/>
                <w:sz w:val="21"/>
                <w:szCs w:val="21"/>
                <w:lang w:val="en-US" w:eastAsia="zh-CN"/>
              </w:rPr>
              <w:t>50</w:t>
            </w:r>
          </w:p>
        </w:tc>
        <w:tc>
          <w:tcPr>
            <w:tcW w:w="692" w:type="dxa"/>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w:t>
            </w:r>
          </w:p>
        </w:tc>
        <w:tc>
          <w:tcPr>
            <w:tcW w:w="675"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5.5</w:t>
            </w:r>
          </w:p>
        </w:tc>
        <w:tc>
          <w:tcPr>
            <w:tcW w:w="690" w:type="dxa"/>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8760</w:t>
            </w:r>
          </w:p>
        </w:tc>
        <w:tc>
          <w:tcPr>
            <w:tcW w:w="390" w:type="dxa"/>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正常</w:t>
            </w:r>
          </w:p>
        </w:tc>
        <w:tc>
          <w:tcPr>
            <w:tcW w:w="691" w:type="dxa"/>
            <w:tcBorders>
              <w:tl2br w:val="nil"/>
              <w:tr2bl w:val="nil"/>
            </w:tcBorders>
            <w:vAlign w:val="center"/>
          </w:tcPr>
          <w:p>
            <w:pPr>
              <w:adjustRightInd w:val="0"/>
              <w:snapToGrid w:val="0"/>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highlight w:val="none"/>
                <w:lang w:val="en-US" w:eastAsia="zh-CN"/>
              </w:rPr>
              <w:t>0.0</w:t>
            </w:r>
            <w:r>
              <w:rPr>
                <w:rFonts w:hint="default" w:ascii="Times New Roman" w:hAnsi="Times New Roman" w:cs="Times New Roman"/>
                <w:color w:val="auto"/>
                <w:kern w:val="0"/>
                <w:sz w:val="21"/>
                <w:szCs w:val="21"/>
                <w:highlight w:val="none"/>
                <w:lang w:val="en-US" w:eastAsia="zh-CN"/>
              </w:rPr>
              <w:t>8</w:t>
            </w:r>
          </w:p>
        </w:tc>
        <w:tc>
          <w:tcPr>
            <w:tcW w:w="778" w:type="dxa"/>
            <w:tcBorders>
              <w:tl2br w:val="nil"/>
              <w:tr2bl w:val="nil"/>
            </w:tcBorders>
            <w:vAlign w:val="center"/>
          </w:tcPr>
          <w:p>
            <w:pPr>
              <w:adjustRightInd w:val="0"/>
              <w:snapToGrid w:val="0"/>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highlight w:val="none"/>
                <w:lang w:val="en-US" w:eastAsia="zh-CN"/>
              </w:rPr>
              <w:t>0.00</w:t>
            </w:r>
            <w:r>
              <w:rPr>
                <w:rFonts w:hint="default" w:ascii="Times New Roman" w:hAnsi="Times New Roman" w:cs="Times New Roman"/>
                <w:color w:val="auto"/>
                <w:kern w:val="0"/>
                <w:sz w:val="21"/>
                <w:szCs w:val="21"/>
                <w:highlight w:val="none"/>
                <w:lang w:val="en-US" w:eastAsia="zh-CN"/>
              </w:rPr>
              <w:t>5</w:t>
            </w:r>
          </w:p>
        </w:tc>
      </w:tr>
    </w:tbl>
    <w:p>
      <w:pPr>
        <w:spacing w:line="460" w:lineRule="exact"/>
        <w:ind w:firstLine="464" w:firstLineChars="200"/>
        <w:rPr>
          <w:rFonts w:hint="default" w:ascii="Times New Roman" w:hAnsi="Times New Roman" w:cs="Times New Roman"/>
          <w:color w:val="auto"/>
          <w:spacing w:val="-4"/>
          <w:sz w:val="24"/>
          <w:szCs w:val="24"/>
        </w:rPr>
      </w:pPr>
      <w:r>
        <w:rPr>
          <w:rFonts w:hint="default" w:ascii="Times New Roman" w:hAnsi="Times New Roman" w:cs="Times New Roman"/>
          <w:color w:val="auto"/>
          <w:spacing w:val="-4"/>
          <w:sz w:val="24"/>
          <w:szCs w:val="24"/>
        </w:rPr>
        <w:t>拟建工程</w:t>
      </w:r>
      <w:r>
        <w:rPr>
          <w:rFonts w:hint="eastAsia" w:cs="Times New Roman"/>
          <w:color w:val="auto"/>
          <w:spacing w:val="-4"/>
          <w:sz w:val="24"/>
          <w:szCs w:val="24"/>
          <w:lang w:eastAsia="zh-CN"/>
        </w:rPr>
        <w:t>氨气、硫化氢</w:t>
      </w:r>
      <w:r>
        <w:rPr>
          <w:rFonts w:hint="default" w:ascii="Times New Roman" w:hAnsi="Times New Roman" w:cs="Times New Roman"/>
          <w:color w:val="auto"/>
          <w:spacing w:val="-4"/>
          <w:sz w:val="24"/>
          <w:szCs w:val="24"/>
        </w:rPr>
        <w:t>浓度预测结果见表5.</w:t>
      </w:r>
      <w:r>
        <w:rPr>
          <w:rFonts w:hint="default" w:ascii="Times New Roman" w:hAnsi="Times New Roman" w:cs="Times New Roman"/>
          <w:color w:val="auto"/>
          <w:spacing w:val="-4"/>
          <w:sz w:val="24"/>
          <w:szCs w:val="24"/>
          <w:lang w:val="en-US" w:eastAsia="zh-CN"/>
        </w:rPr>
        <w:t>2</w:t>
      </w:r>
      <w:r>
        <w:rPr>
          <w:rFonts w:hint="default" w:ascii="Times New Roman" w:hAnsi="Times New Roman" w:cs="Times New Roman"/>
          <w:color w:val="auto"/>
          <w:spacing w:val="-4"/>
          <w:sz w:val="24"/>
          <w:szCs w:val="24"/>
        </w:rPr>
        <w:t>-1</w:t>
      </w:r>
      <w:r>
        <w:rPr>
          <w:rFonts w:hint="eastAsia" w:cs="Times New Roman"/>
          <w:color w:val="auto"/>
          <w:spacing w:val="-4"/>
          <w:sz w:val="24"/>
          <w:szCs w:val="24"/>
          <w:lang w:val="en-US" w:eastAsia="zh-CN"/>
        </w:rPr>
        <w:t>4</w:t>
      </w:r>
      <w:r>
        <w:rPr>
          <w:rFonts w:hint="default" w:ascii="Times New Roman" w:hAnsi="Times New Roman" w:cs="Times New Roman"/>
          <w:color w:val="auto"/>
          <w:spacing w:val="-4"/>
          <w:sz w:val="24"/>
          <w:szCs w:val="24"/>
        </w:rPr>
        <w:t>~5.</w:t>
      </w:r>
      <w:r>
        <w:rPr>
          <w:rFonts w:hint="default" w:ascii="Times New Roman" w:hAnsi="Times New Roman" w:cs="Times New Roman"/>
          <w:color w:val="auto"/>
          <w:spacing w:val="-4"/>
          <w:sz w:val="24"/>
          <w:szCs w:val="24"/>
          <w:lang w:val="en-US" w:eastAsia="zh-CN"/>
        </w:rPr>
        <w:t>3</w:t>
      </w:r>
      <w:r>
        <w:rPr>
          <w:rFonts w:hint="default" w:ascii="Times New Roman" w:hAnsi="Times New Roman" w:cs="Times New Roman"/>
          <w:color w:val="auto"/>
          <w:spacing w:val="-4"/>
          <w:sz w:val="24"/>
          <w:szCs w:val="24"/>
        </w:rPr>
        <w:t>-</w:t>
      </w:r>
      <w:r>
        <w:rPr>
          <w:rFonts w:hint="eastAsia" w:cs="Times New Roman"/>
          <w:color w:val="auto"/>
          <w:spacing w:val="-4"/>
          <w:sz w:val="24"/>
          <w:szCs w:val="24"/>
          <w:lang w:val="en-US" w:eastAsia="zh-CN"/>
        </w:rPr>
        <w:t>15</w:t>
      </w:r>
      <w:r>
        <w:rPr>
          <w:rFonts w:hint="default" w:ascii="Times New Roman" w:hAnsi="Times New Roman" w:cs="Times New Roman"/>
          <w:color w:val="auto"/>
          <w:spacing w:val="-4"/>
          <w:sz w:val="24"/>
          <w:szCs w:val="24"/>
        </w:rPr>
        <w:t>。</w:t>
      </w:r>
    </w:p>
    <w:p>
      <w:pPr>
        <w:numPr>
          <w:ilvl w:val="0"/>
          <w:numId w:val="0"/>
        </w:numPr>
        <w:spacing w:before="120" w:beforeLines="50" w:after="120" w:afterLines="50"/>
        <w:ind w:leftChars="200"/>
        <w:jc w:val="left"/>
        <w:rPr>
          <w:rFonts w:hint="default" w:ascii="Times New Roman" w:hAnsi="Times New Roman" w:cs="Times New Roman"/>
          <w:b/>
          <w:color w:val="auto"/>
          <w:szCs w:val="21"/>
        </w:rPr>
      </w:pPr>
      <w:r>
        <w:rPr>
          <w:rFonts w:hint="default" w:ascii="Times New Roman" w:hAnsi="Times New Roman" w:cs="Times New Roman"/>
          <w:b/>
          <w:color w:val="auto"/>
          <w:szCs w:val="21"/>
          <w:lang w:val="en-US" w:eastAsia="zh-CN"/>
        </w:rPr>
        <w:t>5.2-</w:t>
      </w:r>
      <w:r>
        <w:rPr>
          <w:rFonts w:hint="eastAsia" w:cs="Times New Roman"/>
          <w:b/>
          <w:color w:val="auto"/>
          <w:szCs w:val="21"/>
          <w:lang w:val="en-US" w:eastAsia="zh-CN"/>
        </w:rPr>
        <w:t>1</w:t>
      </w:r>
      <w:r>
        <w:rPr>
          <w:rFonts w:hint="default" w:ascii="Times New Roman" w:hAnsi="Times New Roman" w:cs="Times New Roman"/>
          <w:b/>
          <w:color w:val="auto"/>
          <w:szCs w:val="21"/>
          <w:lang w:val="en-US" w:eastAsia="zh-CN"/>
        </w:rPr>
        <w:t>4</w:t>
      </w:r>
      <w:r>
        <w:rPr>
          <w:rFonts w:hint="default" w:ascii="Times New Roman" w:hAnsi="Times New Roman" w:cs="Times New Roman"/>
          <w:b/>
          <w:color w:val="auto"/>
          <w:szCs w:val="21"/>
        </w:rPr>
        <w:t>拟建工程NH</w:t>
      </w:r>
      <w:r>
        <w:rPr>
          <w:rFonts w:hint="default" w:ascii="Times New Roman" w:hAnsi="Times New Roman" w:cs="Times New Roman"/>
          <w:b/>
          <w:color w:val="auto"/>
          <w:szCs w:val="21"/>
          <w:vertAlign w:val="subscript"/>
        </w:rPr>
        <w:t>3</w:t>
      </w:r>
      <w:r>
        <w:rPr>
          <w:rFonts w:hint="default" w:ascii="Times New Roman" w:hAnsi="Times New Roman" w:cs="Times New Roman"/>
          <w:b/>
          <w:color w:val="auto"/>
          <w:szCs w:val="21"/>
        </w:rPr>
        <w:t>小时浓度贡献预测结果一览表       单位：</w:t>
      </w:r>
      <w:r>
        <w:rPr>
          <w:rFonts w:hint="default" w:ascii="Times New Roman" w:hAnsi="Times New Roman" w:cs="Times New Roman"/>
          <w:b/>
          <w:color w:val="auto"/>
          <w:szCs w:val="21"/>
          <w:lang w:val="en-US" w:eastAsia="zh-CN"/>
        </w:rPr>
        <w:t>m</w:t>
      </w:r>
      <w:r>
        <w:rPr>
          <w:rFonts w:hint="default" w:ascii="Times New Roman" w:hAnsi="Times New Roman" w:cs="Times New Roman"/>
          <w:b/>
          <w:color w:val="auto"/>
          <w:szCs w:val="21"/>
        </w:rPr>
        <w:t>g/m</w:t>
      </w:r>
      <w:r>
        <w:rPr>
          <w:rFonts w:hint="default" w:ascii="Times New Roman" w:hAnsi="Times New Roman" w:cs="Times New Roman"/>
          <w:b/>
          <w:color w:val="auto"/>
          <w:szCs w:val="21"/>
          <w:vertAlign w:val="superscript"/>
        </w:rPr>
        <w:t>3</w:t>
      </w:r>
    </w:p>
    <w:tbl>
      <w:tblPr>
        <w:tblStyle w:val="25"/>
        <w:tblW w:w="8340"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70"/>
        <w:gridCol w:w="1379"/>
        <w:gridCol w:w="1066"/>
        <w:gridCol w:w="1066"/>
        <w:gridCol w:w="1066"/>
        <w:gridCol w:w="821"/>
        <w:gridCol w:w="1311"/>
        <w:gridCol w:w="1061"/>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序号</w:t>
            </w:r>
          </w:p>
        </w:tc>
        <w:tc>
          <w:tcPr>
            <w:tcW w:w="1379"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名称</w:t>
            </w:r>
          </w:p>
        </w:tc>
        <w:tc>
          <w:tcPr>
            <w:tcW w:w="1066"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平均时间</w:t>
            </w:r>
          </w:p>
        </w:tc>
        <w:tc>
          <w:tcPr>
            <w:tcW w:w="1066"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出现时刻</w:t>
            </w:r>
          </w:p>
        </w:tc>
        <w:tc>
          <w:tcPr>
            <w:tcW w:w="1066"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最大贡献值</w:t>
            </w:r>
          </w:p>
        </w:tc>
        <w:tc>
          <w:tcPr>
            <w:tcW w:w="821"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标准值</w:t>
            </w:r>
          </w:p>
        </w:tc>
        <w:tc>
          <w:tcPr>
            <w:tcW w:w="1311"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占标率（%）</w:t>
            </w:r>
          </w:p>
        </w:tc>
        <w:tc>
          <w:tcPr>
            <w:tcW w:w="1061"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达标情况</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13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lang w:val="zh-CN"/>
              </w:rPr>
            </w:pPr>
            <w:r>
              <w:rPr>
                <w:rFonts w:hint="default" w:ascii="Times New Roman" w:hAnsi="Times New Roman" w:eastAsia="宋体" w:cs="Times New Roman"/>
                <w:i w:val="0"/>
                <w:color w:val="auto"/>
                <w:kern w:val="0"/>
                <w:sz w:val="21"/>
                <w:szCs w:val="21"/>
                <w:u w:val="none"/>
                <w:lang w:val="en-US" w:eastAsia="zh-CN" w:bidi="ar"/>
              </w:rPr>
              <w:t>杨韩村</w:t>
            </w:r>
          </w:p>
        </w:tc>
        <w:tc>
          <w:tcPr>
            <w:tcW w:w="1066"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19102204</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1.33E-02</w:t>
            </w:r>
          </w:p>
        </w:tc>
        <w:tc>
          <w:tcPr>
            <w:tcW w:w="82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0.2</w:t>
            </w:r>
          </w:p>
        </w:tc>
        <w:tc>
          <w:tcPr>
            <w:tcW w:w="131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6.67</w:t>
            </w:r>
          </w:p>
        </w:tc>
        <w:tc>
          <w:tcPr>
            <w:tcW w:w="106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w:t>
            </w:r>
          </w:p>
        </w:tc>
        <w:tc>
          <w:tcPr>
            <w:tcW w:w="13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lang w:val="zh-CN"/>
              </w:rPr>
            </w:pPr>
            <w:r>
              <w:rPr>
                <w:rFonts w:hint="default" w:ascii="Times New Roman" w:hAnsi="Times New Roman" w:eastAsia="宋体" w:cs="Times New Roman"/>
                <w:i w:val="0"/>
                <w:color w:val="auto"/>
                <w:kern w:val="0"/>
                <w:sz w:val="21"/>
                <w:szCs w:val="21"/>
                <w:u w:val="none"/>
                <w:lang w:val="en-US" w:eastAsia="zh-CN" w:bidi="ar"/>
              </w:rPr>
              <w:t>库韩村</w:t>
            </w:r>
          </w:p>
        </w:tc>
        <w:tc>
          <w:tcPr>
            <w:tcW w:w="1066"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19022309</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3.27E-02</w:t>
            </w:r>
          </w:p>
        </w:tc>
        <w:tc>
          <w:tcPr>
            <w:tcW w:w="82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0.2</w:t>
            </w:r>
          </w:p>
        </w:tc>
        <w:tc>
          <w:tcPr>
            <w:tcW w:w="131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16.37</w:t>
            </w:r>
          </w:p>
        </w:tc>
        <w:tc>
          <w:tcPr>
            <w:tcW w:w="106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w:t>
            </w:r>
          </w:p>
        </w:tc>
        <w:tc>
          <w:tcPr>
            <w:tcW w:w="13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lang w:val="zh-CN"/>
              </w:rPr>
            </w:pPr>
            <w:r>
              <w:rPr>
                <w:rFonts w:hint="default" w:ascii="Times New Roman" w:hAnsi="Times New Roman" w:eastAsia="宋体" w:cs="Times New Roman"/>
                <w:i w:val="0"/>
                <w:color w:val="auto"/>
                <w:kern w:val="0"/>
                <w:sz w:val="21"/>
                <w:szCs w:val="21"/>
                <w:u w:val="none"/>
                <w:lang w:val="en-US" w:eastAsia="zh-CN" w:bidi="ar"/>
              </w:rPr>
              <w:t>苏二庄村</w:t>
            </w:r>
          </w:p>
        </w:tc>
        <w:tc>
          <w:tcPr>
            <w:tcW w:w="1066"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19022308</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1.91E-02</w:t>
            </w:r>
          </w:p>
        </w:tc>
        <w:tc>
          <w:tcPr>
            <w:tcW w:w="82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0.2</w:t>
            </w:r>
          </w:p>
        </w:tc>
        <w:tc>
          <w:tcPr>
            <w:tcW w:w="131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9.54</w:t>
            </w:r>
          </w:p>
        </w:tc>
        <w:tc>
          <w:tcPr>
            <w:tcW w:w="106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w:t>
            </w:r>
          </w:p>
        </w:tc>
        <w:tc>
          <w:tcPr>
            <w:tcW w:w="13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lang w:val="zh-CN"/>
              </w:rPr>
            </w:pPr>
            <w:r>
              <w:rPr>
                <w:rFonts w:hint="default" w:ascii="Times New Roman" w:hAnsi="Times New Roman" w:eastAsia="宋体" w:cs="Times New Roman"/>
                <w:i w:val="0"/>
                <w:color w:val="auto"/>
                <w:kern w:val="0"/>
                <w:sz w:val="21"/>
                <w:szCs w:val="21"/>
                <w:u w:val="none"/>
                <w:lang w:val="en-US" w:eastAsia="zh-CN" w:bidi="ar"/>
              </w:rPr>
              <w:t>杨庄窑村</w:t>
            </w:r>
          </w:p>
        </w:tc>
        <w:tc>
          <w:tcPr>
            <w:tcW w:w="1066"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19120924</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2.97E-02</w:t>
            </w:r>
          </w:p>
        </w:tc>
        <w:tc>
          <w:tcPr>
            <w:tcW w:w="82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0.2</w:t>
            </w:r>
          </w:p>
        </w:tc>
        <w:tc>
          <w:tcPr>
            <w:tcW w:w="131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14.84</w:t>
            </w:r>
          </w:p>
        </w:tc>
        <w:tc>
          <w:tcPr>
            <w:tcW w:w="106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w:t>
            </w:r>
          </w:p>
        </w:tc>
        <w:tc>
          <w:tcPr>
            <w:tcW w:w="13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lang w:val="zh-CN"/>
              </w:rPr>
            </w:pPr>
            <w:r>
              <w:rPr>
                <w:rFonts w:hint="default" w:ascii="Times New Roman" w:hAnsi="Times New Roman" w:eastAsia="宋体" w:cs="Times New Roman"/>
                <w:i w:val="0"/>
                <w:color w:val="auto"/>
                <w:kern w:val="0"/>
                <w:sz w:val="21"/>
                <w:szCs w:val="21"/>
                <w:u w:val="none"/>
                <w:lang w:val="en-US" w:eastAsia="zh-CN" w:bidi="ar"/>
              </w:rPr>
              <w:t>雷家村</w:t>
            </w:r>
          </w:p>
        </w:tc>
        <w:tc>
          <w:tcPr>
            <w:tcW w:w="1066"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19020106</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1.64E-02</w:t>
            </w:r>
          </w:p>
        </w:tc>
        <w:tc>
          <w:tcPr>
            <w:tcW w:w="82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0.2</w:t>
            </w:r>
          </w:p>
        </w:tc>
        <w:tc>
          <w:tcPr>
            <w:tcW w:w="131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8.2</w:t>
            </w:r>
          </w:p>
        </w:tc>
        <w:tc>
          <w:tcPr>
            <w:tcW w:w="106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w:t>
            </w:r>
          </w:p>
        </w:tc>
        <w:tc>
          <w:tcPr>
            <w:tcW w:w="13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南召市村</w:t>
            </w:r>
          </w:p>
        </w:tc>
        <w:tc>
          <w:tcPr>
            <w:tcW w:w="1066"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19120306</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1.80E-02</w:t>
            </w:r>
          </w:p>
        </w:tc>
        <w:tc>
          <w:tcPr>
            <w:tcW w:w="82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0.2</w:t>
            </w:r>
          </w:p>
        </w:tc>
        <w:tc>
          <w:tcPr>
            <w:tcW w:w="131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w:t>
            </w:r>
          </w:p>
        </w:tc>
        <w:tc>
          <w:tcPr>
            <w:tcW w:w="106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w:t>
            </w:r>
          </w:p>
        </w:tc>
        <w:tc>
          <w:tcPr>
            <w:tcW w:w="13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北召市村</w:t>
            </w:r>
          </w:p>
        </w:tc>
        <w:tc>
          <w:tcPr>
            <w:tcW w:w="1066"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19121909</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1.32E-02</w:t>
            </w:r>
          </w:p>
        </w:tc>
        <w:tc>
          <w:tcPr>
            <w:tcW w:w="82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0.2</w:t>
            </w:r>
          </w:p>
        </w:tc>
        <w:tc>
          <w:tcPr>
            <w:tcW w:w="131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6.61</w:t>
            </w:r>
          </w:p>
        </w:tc>
        <w:tc>
          <w:tcPr>
            <w:tcW w:w="106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8</w:t>
            </w:r>
          </w:p>
        </w:tc>
        <w:tc>
          <w:tcPr>
            <w:tcW w:w="13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贺庄村</w:t>
            </w:r>
          </w:p>
        </w:tc>
        <w:tc>
          <w:tcPr>
            <w:tcW w:w="1066"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19012822</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2.07E-02</w:t>
            </w:r>
          </w:p>
        </w:tc>
        <w:tc>
          <w:tcPr>
            <w:tcW w:w="82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0.2</w:t>
            </w:r>
          </w:p>
        </w:tc>
        <w:tc>
          <w:tcPr>
            <w:tcW w:w="131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10.36</w:t>
            </w:r>
          </w:p>
        </w:tc>
        <w:tc>
          <w:tcPr>
            <w:tcW w:w="106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9</w:t>
            </w:r>
          </w:p>
        </w:tc>
        <w:tc>
          <w:tcPr>
            <w:tcW w:w="13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刘庄村</w:t>
            </w:r>
          </w:p>
        </w:tc>
        <w:tc>
          <w:tcPr>
            <w:tcW w:w="1066"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19013124</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2.02E-02</w:t>
            </w:r>
          </w:p>
        </w:tc>
        <w:tc>
          <w:tcPr>
            <w:tcW w:w="82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0.2</w:t>
            </w:r>
          </w:p>
        </w:tc>
        <w:tc>
          <w:tcPr>
            <w:tcW w:w="131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10.1</w:t>
            </w:r>
          </w:p>
        </w:tc>
        <w:tc>
          <w:tcPr>
            <w:tcW w:w="106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w:t>
            </w:r>
          </w:p>
        </w:tc>
        <w:tc>
          <w:tcPr>
            <w:tcW w:w="13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王韩村</w:t>
            </w:r>
          </w:p>
        </w:tc>
        <w:tc>
          <w:tcPr>
            <w:tcW w:w="1066"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19121206</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1.77E-02</w:t>
            </w:r>
          </w:p>
        </w:tc>
        <w:tc>
          <w:tcPr>
            <w:tcW w:w="82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0.2</w:t>
            </w:r>
          </w:p>
        </w:tc>
        <w:tc>
          <w:tcPr>
            <w:tcW w:w="131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8.83</w:t>
            </w:r>
          </w:p>
        </w:tc>
        <w:tc>
          <w:tcPr>
            <w:tcW w:w="106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949" w:type="dxa"/>
            <w:gridSpan w:val="2"/>
            <w:noWrap w:val="0"/>
            <w:vAlign w:val="center"/>
          </w:tcPr>
          <w:p>
            <w:pPr>
              <w:keepNext w:val="0"/>
              <w:keepLines w:val="0"/>
              <w:pageBreakBefore w:val="0"/>
              <w:widowControl w:val="0"/>
              <w:wordWrap/>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区域最大落地浓度</w:t>
            </w:r>
          </w:p>
        </w:tc>
        <w:tc>
          <w:tcPr>
            <w:tcW w:w="1066"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3.64E-02</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3.64E-02</w:t>
            </w:r>
          </w:p>
        </w:tc>
        <w:tc>
          <w:tcPr>
            <w:tcW w:w="82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i w:val="0"/>
                <w:color w:val="auto"/>
                <w:kern w:val="0"/>
                <w:sz w:val="21"/>
                <w:szCs w:val="21"/>
                <w:u w:val="none"/>
                <w:lang w:val="en-US" w:eastAsia="zh-CN" w:bidi="ar"/>
              </w:rPr>
              <w:t>0.2</w:t>
            </w:r>
          </w:p>
        </w:tc>
        <w:tc>
          <w:tcPr>
            <w:tcW w:w="131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18.18</w:t>
            </w:r>
          </w:p>
        </w:tc>
        <w:tc>
          <w:tcPr>
            <w:tcW w:w="106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达标</w:t>
            </w:r>
          </w:p>
        </w:tc>
      </w:tr>
    </w:tbl>
    <w:p>
      <w:pPr>
        <w:numPr>
          <w:ilvl w:val="0"/>
          <w:numId w:val="0"/>
        </w:numPr>
        <w:spacing w:before="120" w:beforeLines="50" w:after="120" w:afterLines="50"/>
        <w:ind w:leftChars="200"/>
        <w:jc w:val="left"/>
        <w:rPr>
          <w:rFonts w:hint="default" w:ascii="Times New Roman" w:hAnsi="Times New Roman" w:cs="Times New Roman"/>
          <w:b/>
          <w:color w:val="auto"/>
          <w:szCs w:val="21"/>
        </w:rPr>
      </w:pPr>
      <w:r>
        <w:rPr>
          <w:rFonts w:hint="default" w:ascii="Times New Roman" w:hAnsi="Times New Roman" w:cs="Times New Roman"/>
          <w:b/>
          <w:color w:val="auto"/>
          <w:szCs w:val="21"/>
          <w:lang w:val="en-US" w:eastAsia="zh-CN"/>
        </w:rPr>
        <w:t>5.2-</w:t>
      </w:r>
      <w:r>
        <w:rPr>
          <w:rFonts w:hint="eastAsia" w:cs="Times New Roman"/>
          <w:b/>
          <w:color w:val="auto"/>
          <w:szCs w:val="21"/>
          <w:lang w:val="en-US" w:eastAsia="zh-CN"/>
        </w:rPr>
        <w:t>1</w:t>
      </w:r>
      <w:r>
        <w:rPr>
          <w:rFonts w:hint="default" w:ascii="Times New Roman" w:hAnsi="Times New Roman" w:cs="Times New Roman"/>
          <w:b/>
          <w:color w:val="auto"/>
          <w:szCs w:val="21"/>
          <w:lang w:val="en-US" w:eastAsia="zh-CN"/>
        </w:rPr>
        <w:t>5</w:t>
      </w:r>
      <w:r>
        <w:rPr>
          <w:rFonts w:hint="default" w:ascii="Times New Roman" w:hAnsi="Times New Roman" w:cs="Times New Roman"/>
          <w:b/>
          <w:color w:val="auto"/>
          <w:szCs w:val="21"/>
        </w:rPr>
        <w:t>拟建工程H</w:t>
      </w:r>
      <w:r>
        <w:rPr>
          <w:rFonts w:hint="default" w:ascii="Times New Roman" w:hAnsi="Times New Roman" w:cs="Times New Roman"/>
          <w:b/>
          <w:color w:val="auto"/>
          <w:szCs w:val="21"/>
          <w:vertAlign w:val="subscript"/>
        </w:rPr>
        <w:t>2</w:t>
      </w:r>
      <w:r>
        <w:rPr>
          <w:rFonts w:hint="default" w:ascii="Times New Roman" w:hAnsi="Times New Roman" w:cs="Times New Roman"/>
          <w:b/>
          <w:color w:val="auto"/>
          <w:szCs w:val="21"/>
        </w:rPr>
        <w:t>S小时浓度贡献预测结果一览表      单位：</w:t>
      </w:r>
      <w:r>
        <w:rPr>
          <w:rFonts w:hint="default" w:ascii="Times New Roman" w:hAnsi="Times New Roman" w:cs="Times New Roman"/>
          <w:b/>
          <w:color w:val="auto"/>
          <w:szCs w:val="21"/>
          <w:lang w:val="en-US" w:eastAsia="zh-CN"/>
        </w:rPr>
        <w:t>m</w:t>
      </w:r>
      <w:r>
        <w:rPr>
          <w:rFonts w:hint="default" w:ascii="Times New Roman" w:hAnsi="Times New Roman" w:cs="Times New Roman"/>
          <w:b/>
          <w:color w:val="auto"/>
          <w:szCs w:val="21"/>
        </w:rPr>
        <w:t>g/m</w:t>
      </w:r>
      <w:r>
        <w:rPr>
          <w:rFonts w:hint="default" w:ascii="Times New Roman" w:hAnsi="Times New Roman" w:cs="Times New Roman"/>
          <w:b/>
          <w:color w:val="auto"/>
          <w:szCs w:val="21"/>
          <w:vertAlign w:val="superscript"/>
        </w:rPr>
        <w:t>3</w:t>
      </w:r>
    </w:p>
    <w:tbl>
      <w:tblPr>
        <w:tblStyle w:val="25"/>
        <w:tblW w:w="8340"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70"/>
        <w:gridCol w:w="1379"/>
        <w:gridCol w:w="1066"/>
        <w:gridCol w:w="1066"/>
        <w:gridCol w:w="1066"/>
        <w:gridCol w:w="821"/>
        <w:gridCol w:w="1311"/>
        <w:gridCol w:w="1061"/>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序号</w:t>
            </w:r>
          </w:p>
        </w:tc>
        <w:tc>
          <w:tcPr>
            <w:tcW w:w="1379"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名称</w:t>
            </w:r>
          </w:p>
        </w:tc>
        <w:tc>
          <w:tcPr>
            <w:tcW w:w="1066"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平均时间</w:t>
            </w:r>
          </w:p>
        </w:tc>
        <w:tc>
          <w:tcPr>
            <w:tcW w:w="1066"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出现时刻</w:t>
            </w:r>
          </w:p>
        </w:tc>
        <w:tc>
          <w:tcPr>
            <w:tcW w:w="1066"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最大贡献值</w:t>
            </w:r>
          </w:p>
        </w:tc>
        <w:tc>
          <w:tcPr>
            <w:tcW w:w="821"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标准值</w:t>
            </w:r>
          </w:p>
        </w:tc>
        <w:tc>
          <w:tcPr>
            <w:tcW w:w="1311"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占标率（%）</w:t>
            </w:r>
          </w:p>
        </w:tc>
        <w:tc>
          <w:tcPr>
            <w:tcW w:w="1061"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达标情况</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13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lang w:val="zh-CN"/>
              </w:rPr>
            </w:pPr>
            <w:r>
              <w:rPr>
                <w:rFonts w:hint="default" w:ascii="Times New Roman" w:hAnsi="Times New Roman" w:eastAsia="宋体" w:cs="Times New Roman"/>
                <w:i w:val="0"/>
                <w:color w:val="auto"/>
                <w:kern w:val="0"/>
                <w:sz w:val="21"/>
                <w:szCs w:val="21"/>
                <w:u w:val="none"/>
                <w:lang w:val="en-US" w:eastAsia="zh-CN" w:bidi="ar"/>
              </w:rPr>
              <w:t>杨韩村</w:t>
            </w:r>
          </w:p>
        </w:tc>
        <w:tc>
          <w:tcPr>
            <w:tcW w:w="1066"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19102204</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8.34E-04</w:t>
            </w:r>
          </w:p>
        </w:tc>
        <w:tc>
          <w:tcPr>
            <w:tcW w:w="82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i w:val="0"/>
                <w:color w:val="auto"/>
                <w:kern w:val="0"/>
                <w:sz w:val="21"/>
                <w:szCs w:val="21"/>
                <w:u w:val="none"/>
                <w:lang w:val="en-US" w:eastAsia="zh-CN" w:bidi="ar"/>
              </w:rPr>
              <w:t>0.01</w:t>
            </w:r>
          </w:p>
        </w:tc>
        <w:tc>
          <w:tcPr>
            <w:tcW w:w="131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8.34</w:t>
            </w:r>
          </w:p>
        </w:tc>
        <w:tc>
          <w:tcPr>
            <w:tcW w:w="106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w:t>
            </w:r>
          </w:p>
        </w:tc>
        <w:tc>
          <w:tcPr>
            <w:tcW w:w="13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lang w:val="zh-CN"/>
              </w:rPr>
            </w:pPr>
            <w:r>
              <w:rPr>
                <w:rFonts w:hint="default" w:ascii="Times New Roman" w:hAnsi="Times New Roman" w:eastAsia="宋体" w:cs="Times New Roman"/>
                <w:i w:val="0"/>
                <w:color w:val="auto"/>
                <w:kern w:val="0"/>
                <w:sz w:val="21"/>
                <w:szCs w:val="21"/>
                <w:u w:val="none"/>
                <w:lang w:val="en-US" w:eastAsia="zh-CN" w:bidi="ar"/>
              </w:rPr>
              <w:t>库韩村</w:t>
            </w:r>
          </w:p>
        </w:tc>
        <w:tc>
          <w:tcPr>
            <w:tcW w:w="1066"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19022309</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2.05E-03</w:t>
            </w:r>
          </w:p>
        </w:tc>
        <w:tc>
          <w:tcPr>
            <w:tcW w:w="82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w:t>
            </w:r>
          </w:p>
        </w:tc>
        <w:tc>
          <w:tcPr>
            <w:tcW w:w="131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20.46</w:t>
            </w:r>
          </w:p>
        </w:tc>
        <w:tc>
          <w:tcPr>
            <w:tcW w:w="106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w:t>
            </w:r>
          </w:p>
        </w:tc>
        <w:tc>
          <w:tcPr>
            <w:tcW w:w="13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lang w:val="zh-CN"/>
              </w:rPr>
            </w:pPr>
            <w:r>
              <w:rPr>
                <w:rFonts w:hint="default" w:ascii="Times New Roman" w:hAnsi="Times New Roman" w:eastAsia="宋体" w:cs="Times New Roman"/>
                <w:i w:val="0"/>
                <w:color w:val="auto"/>
                <w:kern w:val="0"/>
                <w:sz w:val="21"/>
                <w:szCs w:val="21"/>
                <w:u w:val="none"/>
                <w:lang w:val="en-US" w:eastAsia="zh-CN" w:bidi="ar"/>
              </w:rPr>
              <w:t>苏二庄村</w:t>
            </w:r>
          </w:p>
        </w:tc>
        <w:tc>
          <w:tcPr>
            <w:tcW w:w="1066"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19022308</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1.19E-03</w:t>
            </w:r>
          </w:p>
        </w:tc>
        <w:tc>
          <w:tcPr>
            <w:tcW w:w="82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w:t>
            </w:r>
          </w:p>
        </w:tc>
        <w:tc>
          <w:tcPr>
            <w:tcW w:w="131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11.93</w:t>
            </w:r>
          </w:p>
        </w:tc>
        <w:tc>
          <w:tcPr>
            <w:tcW w:w="106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w:t>
            </w:r>
          </w:p>
        </w:tc>
        <w:tc>
          <w:tcPr>
            <w:tcW w:w="13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lang w:val="zh-CN"/>
              </w:rPr>
            </w:pPr>
            <w:r>
              <w:rPr>
                <w:rFonts w:hint="default" w:ascii="Times New Roman" w:hAnsi="Times New Roman" w:eastAsia="宋体" w:cs="Times New Roman"/>
                <w:i w:val="0"/>
                <w:color w:val="auto"/>
                <w:kern w:val="0"/>
                <w:sz w:val="21"/>
                <w:szCs w:val="21"/>
                <w:u w:val="none"/>
                <w:lang w:val="en-US" w:eastAsia="zh-CN" w:bidi="ar"/>
              </w:rPr>
              <w:t>杨庄窑村</w:t>
            </w:r>
          </w:p>
        </w:tc>
        <w:tc>
          <w:tcPr>
            <w:tcW w:w="1066"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19120924</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1.86E-03</w:t>
            </w:r>
          </w:p>
        </w:tc>
        <w:tc>
          <w:tcPr>
            <w:tcW w:w="82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w:t>
            </w:r>
          </w:p>
        </w:tc>
        <w:tc>
          <w:tcPr>
            <w:tcW w:w="131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18.55</w:t>
            </w:r>
          </w:p>
        </w:tc>
        <w:tc>
          <w:tcPr>
            <w:tcW w:w="106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w:t>
            </w:r>
          </w:p>
        </w:tc>
        <w:tc>
          <w:tcPr>
            <w:tcW w:w="13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lang w:val="zh-CN"/>
              </w:rPr>
            </w:pPr>
            <w:r>
              <w:rPr>
                <w:rFonts w:hint="default" w:ascii="Times New Roman" w:hAnsi="Times New Roman" w:eastAsia="宋体" w:cs="Times New Roman"/>
                <w:i w:val="0"/>
                <w:color w:val="auto"/>
                <w:kern w:val="0"/>
                <w:sz w:val="21"/>
                <w:szCs w:val="21"/>
                <w:u w:val="none"/>
                <w:lang w:val="en-US" w:eastAsia="zh-CN" w:bidi="ar"/>
              </w:rPr>
              <w:t>雷家村</w:t>
            </w:r>
          </w:p>
        </w:tc>
        <w:tc>
          <w:tcPr>
            <w:tcW w:w="1066"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19020106</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1.03E-03</w:t>
            </w:r>
          </w:p>
        </w:tc>
        <w:tc>
          <w:tcPr>
            <w:tcW w:w="82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w:t>
            </w:r>
          </w:p>
        </w:tc>
        <w:tc>
          <w:tcPr>
            <w:tcW w:w="131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10.25</w:t>
            </w:r>
          </w:p>
        </w:tc>
        <w:tc>
          <w:tcPr>
            <w:tcW w:w="106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w:t>
            </w:r>
          </w:p>
        </w:tc>
        <w:tc>
          <w:tcPr>
            <w:tcW w:w="13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南召市村</w:t>
            </w:r>
          </w:p>
        </w:tc>
        <w:tc>
          <w:tcPr>
            <w:tcW w:w="1066"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19120306</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1.12E-03</w:t>
            </w:r>
          </w:p>
        </w:tc>
        <w:tc>
          <w:tcPr>
            <w:tcW w:w="82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w:t>
            </w:r>
          </w:p>
        </w:tc>
        <w:tc>
          <w:tcPr>
            <w:tcW w:w="131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11.25</w:t>
            </w:r>
          </w:p>
        </w:tc>
        <w:tc>
          <w:tcPr>
            <w:tcW w:w="106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w:t>
            </w:r>
          </w:p>
        </w:tc>
        <w:tc>
          <w:tcPr>
            <w:tcW w:w="13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北召市村</w:t>
            </w:r>
          </w:p>
        </w:tc>
        <w:tc>
          <w:tcPr>
            <w:tcW w:w="1066"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19121909</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8.26E-04</w:t>
            </w:r>
          </w:p>
        </w:tc>
        <w:tc>
          <w:tcPr>
            <w:tcW w:w="82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w:t>
            </w:r>
          </w:p>
        </w:tc>
        <w:tc>
          <w:tcPr>
            <w:tcW w:w="131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8.26</w:t>
            </w:r>
          </w:p>
        </w:tc>
        <w:tc>
          <w:tcPr>
            <w:tcW w:w="106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8</w:t>
            </w:r>
          </w:p>
        </w:tc>
        <w:tc>
          <w:tcPr>
            <w:tcW w:w="13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贺庄村</w:t>
            </w:r>
          </w:p>
        </w:tc>
        <w:tc>
          <w:tcPr>
            <w:tcW w:w="1066"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19012822</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1.30E-03</w:t>
            </w:r>
          </w:p>
        </w:tc>
        <w:tc>
          <w:tcPr>
            <w:tcW w:w="82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w:t>
            </w:r>
          </w:p>
        </w:tc>
        <w:tc>
          <w:tcPr>
            <w:tcW w:w="131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12.95</w:t>
            </w:r>
          </w:p>
        </w:tc>
        <w:tc>
          <w:tcPr>
            <w:tcW w:w="106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9</w:t>
            </w:r>
          </w:p>
        </w:tc>
        <w:tc>
          <w:tcPr>
            <w:tcW w:w="13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刘庄村</w:t>
            </w:r>
          </w:p>
        </w:tc>
        <w:tc>
          <w:tcPr>
            <w:tcW w:w="1066"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19013124</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1.26E-03</w:t>
            </w:r>
          </w:p>
        </w:tc>
        <w:tc>
          <w:tcPr>
            <w:tcW w:w="82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w:t>
            </w:r>
          </w:p>
        </w:tc>
        <w:tc>
          <w:tcPr>
            <w:tcW w:w="131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12.63</w:t>
            </w:r>
          </w:p>
        </w:tc>
        <w:tc>
          <w:tcPr>
            <w:tcW w:w="106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w:t>
            </w:r>
          </w:p>
        </w:tc>
        <w:tc>
          <w:tcPr>
            <w:tcW w:w="1379"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王韩村</w:t>
            </w:r>
          </w:p>
        </w:tc>
        <w:tc>
          <w:tcPr>
            <w:tcW w:w="1066"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19121206</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1.10E-03</w:t>
            </w:r>
          </w:p>
        </w:tc>
        <w:tc>
          <w:tcPr>
            <w:tcW w:w="82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w:t>
            </w:r>
          </w:p>
        </w:tc>
        <w:tc>
          <w:tcPr>
            <w:tcW w:w="131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11.03</w:t>
            </w:r>
          </w:p>
        </w:tc>
        <w:tc>
          <w:tcPr>
            <w:tcW w:w="106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949" w:type="dxa"/>
            <w:gridSpan w:val="2"/>
            <w:noWrap w:val="0"/>
            <w:vAlign w:val="center"/>
          </w:tcPr>
          <w:p>
            <w:pPr>
              <w:keepNext w:val="0"/>
              <w:keepLines w:val="0"/>
              <w:pageBreakBefore w:val="0"/>
              <w:widowControl w:val="0"/>
              <w:wordWrap/>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区域最大落地浓度</w:t>
            </w:r>
          </w:p>
        </w:tc>
        <w:tc>
          <w:tcPr>
            <w:tcW w:w="1066"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19021708</w:t>
            </w:r>
          </w:p>
        </w:tc>
        <w:tc>
          <w:tcPr>
            <w:tcW w:w="1066"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2.27E-03</w:t>
            </w:r>
          </w:p>
        </w:tc>
        <w:tc>
          <w:tcPr>
            <w:tcW w:w="82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i w:val="0"/>
                <w:color w:val="auto"/>
                <w:kern w:val="0"/>
                <w:sz w:val="21"/>
                <w:szCs w:val="21"/>
                <w:u w:val="none"/>
                <w:lang w:val="en-US" w:eastAsia="zh-CN" w:bidi="ar"/>
              </w:rPr>
              <w:t>0.01</w:t>
            </w:r>
          </w:p>
        </w:tc>
        <w:tc>
          <w:tcPr>
            <w:tcW w:w="131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22.72</w:t>
            </w:r>
          </w:p>
        </w:tc>
        <w:tc>
          <w:tcPr>
            <w:tcW w:w="1061"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达标</w:t>
            </w:r>
          </w:p>
        </w:tc>
      </w:tr>
    </w:tbl>
    <w:p>
      <w:pPr>
        <w:spacing w:line="46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从上表可以看出，NH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、H</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S小时在各敏感点及网格点浓度最大贡献值均满足《环境影响评价技术导则大气环境》（HJ2.2-2018）附录D其他污染物空气质量浓度参考限值中要求。拟建工程正常排放下污染物短期浓度贡献值的最大浓度占标率≤100%。</w:t>
      </w:r>
    </w:p>
    <w:p>
      <w:pPr>
        <w:spacing w:line="46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（2）叠加现状环境质量浓度及其他污染源影响后预测结果</w:t>
      </w:r>
    </w:p>
    <w:p>
      <w:pPr>
        <w:spacing w:line="46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根据预测结果拟建工程贡献值叠加现状环境质量浓度及其他污染源影响后预测结果见表</w:t>
      </w:r>
      <w:r>
        <w:rPr>
          <w:rFonts w:hint="default" w:ascii="Times New Roman" w:hAnsi="Times New Roman" w:cs="Times New Roman"/>
          <w:color w:val="auto"/>
          <w:sz w:val="24"/>
          <w:szCs w:val="24"/>
          <w:lang w:val="en-US" w:eastAsia="zh-CN"/>
        </w:rPr>
        <w:t>5.2-</w:t>
      </w:r>
      <w:r>
        <w:rPr>
          <w:rFonts w:hint="eastAsia" w:cs="Times New Roman"/>
          <w:color w:val="auto"/>
          <w:sz w:val="24"/>
          <w:szCs w:val="24"/>
          <w:lang w:val="en-US" w:eastAsia="zh-CN"/>
        </w:rPr>
        <w:t>16</w:t>
      </w:r>
      <w:r>
        <w:rPr>
          <w:rFonts w:hint="default" w:ascii="Times New Roman" w:hAnsi="Times New Roman" w:cs="Times New Roman"/>
          <w:color w:val="auto"/>
          <w:sz w:val="24"/>
          <w:szCs w:val="24"/>
        </w:rPr>
        <w:t>~5.1-</w:t>
      </w:r>
      <w:r>
        <w:rPr>
          <w:rFonts w:hint="eastAsia" w:cs="Times New Roman"/>
          <w:color w:val="auto"/>
          <w:sz w:val="24"/>
          <w:szCs w:val="24"/>
          <w:lang w:val="en-US" w:eastAsia="zh-CN"/>
        </w:rPr>
        <w:t>17</w:t>
      </w:r>
      <w:r>
        <w:rPr>
          <w:rFonts w:hint="default" w:ascii="Times New Roman" w:hAnsi="Times New Roman" w:cs="Times New Roman"/>
          <w:color w:val="auto"/>
          <w:sz w:val="24"/>
          <w:szCs w:val="24"/>
        </w:rPr>
        <w:t>。叠加浓度后短期浓度及长期浓度分布图见图5</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-10。</w:t>
      </w:r>
    </w:p>
    <w:p>
      <w:pPr>
        <w:numPr>
          <w:ilvl w:val="0"/>
          <w:numId w:val="0"/>
        </w:numPr>
        <w:spacing w:before="120" w:beforeLines="50" w:after="120" w:afterLines="50"/>
        <w:ind w:leftChars="200"/>
        <w:jc w:val="both"/>
        <w:rPr>
          <w:rFonts w:hint="default" w:ascii="Times New Roman" w:hAnsi="Times New Roman" w:cs="Times New Roman"/>
          <w:b/>
          <w:color w:val="auto"/>
          <w:szCs w:val="21"/>
        </w:rPr>
      </w:pPr>
      <w:r>
        <w:rPr>
          <w:rFonts w:hint="default" w:ascii="Times New Roman" w:hAnsi="Times New Roman" w:cs="Times New Roman"/>
          <w:b/>
          <w:color w:val="auto"/>
          <w:szCs w:val="21"/>
          <w:lang w:val="en-US" w:eastAsia="zh-CN"/>
        </w:rPr>
        <w:t>5.2-</w:t>
      </w:r>
      <w:r>
        <w:rPr>
          <w:rFonts w:hint="eastAsia" w:cs="Times New Roman"/>
          <w:b/>
          <w:color w:val="auto"/>
          <w:szCs w:val="21"/>
          <w:lang w:val="en-US" w:eastAsia="zh-CN"/>
        </w:rPr>
        <w:t>16</w:t>
      </w:r>
      <w:r>
        <w:rPr>
          <w:rFonts w:hint="default" w:ascii="Times New Roman" w:hAnsi="Times New Roman" w:cs="Times New Roman"/>
          <w:b/>
          <w:color w:val="auto"/>
          <w:szCs w:val="21"/>
        </w:rPr>
        <w:t>叠加后NH</w:t>
      </w:r>
      <w:r>
        <w:rPr>
          <w:rFonts w:hint="default" w:ascii="Times New Roman" w:hAnsi="Times New Roman" w:cs="Times New Roman"/>
          <w:b/>
          <w:color w:val="auto"/>
          <w:szCs w:val="21"/>
          <w:vertAlign w:val="subscript"/>
        </w:rPr>
        <w:t>3</w:t>
      </w:r>
      <w:r>
        <w:rPr>
          <w:rFonts w:hint="default" w:ascii="Times New Roman" w:hAnsi="Times New Roman" w:cs="Times New Roman"/>
          <w:b/>
          <w:color w:val="auto"/>
          <w:szCs w:val="21"/>
        </w:rPr>
        <w:t>小时浓度预测结果一览表       单位：</w:t>
      </w:r>
      <w:r>
        <w:rPr>
          <w:rFonts w:hint="default" w:ascii="Times New Roman" w:hAnsi="Times New Roman" w:cs="Times New Roman"/>
          <w:b/>
          <w:color w:val="auto"/>
          <w:szCs w:val="21"/>
          <w:lang w:val="en-US" w:eastAsia="zh-CN"/>
        </w:rPr>
        <w:t>m</w:t>
      </w:r>
      <w:r>
        <w:rPr>
          <w:rFonts w:hint="default" w:ascii="Times New Roman" w:hAnsi="Times New Roman" w:cs="Times New Roman"/>
          <w:b/>
          <w:color w:val="auto"/>
          <w:szCs w:val="21"/>
        </w:rPr>
        <w:t>g/m</w:t>
      </w:r>
      <w:r>
        <w:rPr>
          <w:rFonts w:hint="default" w:ascii="Times New Roman" w:hAnsi="Times New Roman" w:cs="Times New Roman"/>
          <w:b/>
          <w:color w:val="auto"/>
          <w:szCs w:val="21"/>
          <w:vertAlign w:val="superscript"/>
        </w:rPr>
        <w:t>3</w:t>
      </w:r>
    </w:p>
    <w:tbl>
      <w:tblPr>
        <w:tblStyle w:val="25"/>
        <w:tblW w:w="8730"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79"/>
        <w:gridCol w:w="1233"/>
        <w:gridCol w:w="942"/>
        <w:gridCol w:w="943"/>
        <w:gridCol w:w="943"/>
        <w:gridCol w:w="1370"/>
        <w:gridCol w:w="713"/>
        <w:gridCol w:w="1170"/>
        <w:gridCol w:w="937"/>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序号</w:t>
            </w:r>
          </w:p>
        </w:tc>
        <w:tc>
          <w:tcPr>
            <w:tcW w:w="1233"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名称</w:t>
            </w:r>
          </w:p>
        </w:tc>
        <w:tc>
          <w:tcPr>
            <w:tcW w:w="942"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平均时间</w:t>
            </w:r>
          </w:p>
        </w:tc>
        <w:tc>
          <w:tcPr>
            <w:tcW w:w="943"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排序</w:t>
            </w:r>
          </w:p>
        </w:tc>
        <w:tc>
          <w:tcPr>
            <w:tcW w:w="943"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背景值</w:t>
            </w:r>
          </w:p>
        </w:tc>
        <w:tc>
          <w:tcPr>
            <w:tcW w:w="137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叠加值</w:t>
            </w:r>
          </w:p>
        </w:tc>
        <w:tc>
          <w:tcPr>
            <w:tcW w:w="713"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标准值</w:t>
            </w:r>
          </w:p>
        </w:tc>
        <w:tc>
          <w:tcPr>
            <w:tcW w:w="117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占标率（%）</w:t>
            </w:r>
          </w:p>
        </w:tc>
        <w:tc>
          <w:tcPr>
            <w:tcW w:w="937"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达标情况</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123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lang w:val="zh-CN"/>
              </w:rPr>
            </w:pPr>
            <w:r>
              <w:rPr>
                <w:rFonts w:hint="default" w:ascii="Times New Roman" w:hAnsi="Times New Roman" w:eastAsia="宋体" w:cs="Times New Roman"/>
                <w:i w:val="0"/>
                <w:color w:val="auto"/>
                <w:kern w:val="0"/>
                <w:sz w:val="21"/>
                <w:szCs w:val="21"/>
                <w:u w:val="none"/>
                <w:lang w:val="en-US" w:eastAsia="zh-CN" w:bidi="ar"/>
              </w:rPr>
              <w:t>杨韩村</w:t>
            </w:r>
          </w:p>
        </w:tc>
        <w:tc>
          <w:tcPr>
            <w:tcW w:w="942"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943"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第1大</w:t>
            </w:r>
          </w:p>
        </w:tc>
        <w:tc>
          <w:tcPr>
            <w:tcW w:w="943"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5.80E-02</w:t>
            </w:r>
          </w:p>
        </w:tc>
        <w:tc>
          <w:tcPr>
            <w:tcW w:w="137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7.13E-02</w:t>
            </w:r>
          </w:p>
        </w:tc>
        <w:tc>
          <w:tcPr>
            <w:tcW w:w="713"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i w:val="0"/>
                <w:color w:val="auto"/>
                <w:kern w:val="0"/>
                <w:sz w:val="21"/>
                <w:szCs w:val="21"/>
                <w:u w:val="none"/>
                <w:lang w:val="en-US" w:eastAsia="zh-CN" w:bidi="ar"/>
              </w:rPr>
              <w:t>0.2</w:t>
            </w:r>
          </w:p>
        </w:tc>
        <w:tc>
          <w:tcPr>
            <w:tcW w:w="117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35.67</w:t>
            </w:r>
          </w:p>
        </w:tc>
        <w:tc>
          <w:tcPr>
            <w:tcW w:w="937"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w:t>
            </w:r>
          </w:p>
        </w:tc>
        <w:tc>
          <w:tcPr>
            <w:tcW w:w="123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lang w:val="zh-CN"/>
              </w:rPr>
            </w:pPr>
            <w:r>
              <w:rPr>
                <w:rFonts w:hint="default" w:ascii="Times New Roman" w:hAnsi="Times New Roman" w:eastAsia="宋体" w:cs="Times New Roman"/>
                <w:i w:val="0"/>
                <w:color w:val="auto"/>
                <w:kern w:val="0"/>
                <w:sz w:val="21"/>
                <w:szCs w:val="21"/>
                <w:u w:val="none"/>
                <w:lang w:val="en-US" w:eastAsia="zh-CN" w:bidi="ar"/>
              </w:rPr>
              <w:t>库韩村</w:t>
            </w:r>
          </w:p>
        </w:tc>
        <w:tc>
          <w:tcPr>
            <w:tcW w:w="942"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943"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第1大</w:t>
            </w:r>
          </w:p>
        </w:tc>
        <w:tc>
          <w:tcPr>
            <w:tcW w:w="943"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5.80E-02</w:t>
            </w:r>
          </w:p>
        </w:tc>
        <w:tc>
          <w:tcPr>
            <w:tcW w:w="137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9.07E-02</w:t>
            </w:r>
          </w:p>
        </w:tc>
        <w:tc>
          <w:tcPr>
            <w:tcW w:w="713"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0.2</w:t>
            </w:r>
          </w:p>
        </w:tc>
        <w:tc>
          <w:tcPr>
            <w:tcW w:w="117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45.37</w:t>
            </w:r>
          </w:p>
        </w:tc>
        <w:tc>
          <w:tcPr>
            <w:tcW w:w="937"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w:t>
            </w:r>
          </w:p>
        </w:tc>
        <w:tc>
          <w:tcPr>
            <w:tcW w:w="123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lang w:val="zh-CN"/>
              </w:rPr>
            </w:pPr>
            <w:r>
              <w:rPr>
                <w:rFonts w:hint="default" w:ascii="Times New Roman" w:hAnsi="Times New Roman" w:eastAsia="宋体" w:cs="Times New Roman"/>
                <w:i w:val="0"/>
                <w:color w:val="auto"/>
                <w:kern w:val="0"/>
                <w:sz w:val="21"/>
                <w:szCs w:val="21"/>
                <w:u w:val="none"/>
                <w:lang w:val="en-US" w:eastAsia="zh-CN" w:bidi="ar"/>
              </w:rPr>
              <w:t>苏二庄村</w:t>
            </w:r>
          </w:p>
        </w:tc>
        <w:tc>
          <w:tcPr>
            <w:tcW w:w="942"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943"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第1大</w:t>
            </w:r>
          </w:p>
        </w:tc>
        <w:tc>
          <w:tcPr>
            <w:tcW w:w="943"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5.80E-02</w:t>
            </w:r>
          </w:p>
        </w:tc>
        <w:tc>
          <w:tcPr>
            <w:tcW w:w="137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7.71E-02</w:t>
            </w:r>
          </w:p>
        </w:tc>
        <w:tc>
          <w:tcPr>
            <w:tcW w:w="713"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0.2</w:t>
            </w:r>
          </w:p>
        </w:tc>
        <w:tc>
          <w:tcPr>
            <w:tcW w:w="117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38.54</w:t>
            </w:r>
          </w:p>
        </w:tc>
        <w:tc>
          <w:tcPr>
            <w:tcW w:w="937"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w:t>
            </w:r>
          </w:p>
        </w:tc>
        <w:tc>
          <w:tcPr>
            <w:tcW w:w="123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lang w:val="zh-CN"/>
              </w:rPr>
            </w:pPr>
            <w:r>
              <w:rPr>
                <w:rFonts w:hint="default" w:ascii="Times New Roman" w:hAnsi="Times New Roman" w:eastAsia="宋体" w:cs="Times New Roman"/>
                <w:i w:val="0"/>
                <w:color w:val="auto"/>
                <w:kern w:val="0"/>
                <w:sz w:val="21"/>
                <w:szCs w:val="21"/>
                <w:u w:val="none"/>
                <w:lang w:val="en-US" w:eastAsia="zh-CN" w:bidi="ar"/>
              </w:rPr>
              <w:t>杨庄窑村</w:t>
            </w:r>
          </w:p>
        </w:tc>
        <w:tc>
          <w:tcPr>
            <w:tcW w:w="942"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943"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第1大</w:t>
            </w:r>
          </w:p>
        </w:tc>
        <w:tc>
          <w:tcPr>
            <w:tcW w:w="943"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5.80E-02</w:t>
            </w:r>
          </w:p>
        </w:tc>
        <w:tc>
          <w:tcPr>
            <w:tcW w:w="137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8.77E-02</w:t>
            </w:r>
          </w:p>
        </w:tc>
        <w:tc>
          <w:tcPr>
            <w:tcW w:w="713"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0.2</w:t>
            </w:r>
          </w:p>
        </w:tc>
        <w:tc>
          <w:tcPr>
            <w:tcW w:w="117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43.84</w:t>
            </w:r>
          </w:p>
        </w:tc>
        <w:tc>
          <w:tcPr>
            <w:tcW w:w="937"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w:t>
            </w:r>
          </w:p>
        </w:tc>
        <w:tc>
          <w:tcPr>
            <w:tcW w:w="123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lang w:val="zh-CN"/>
              </w:rPr>
            </w:pPr>
            <w:r>
              <w:rPr>
                <w:rFonts w:hint="default" w:ascii="Times New Roman" w:hAnsi="Times New Roman" w:eastAsia="宋体" w:cs="Times New Roman"/>
                <w:i w:val="0"/>
                <w:color w:val="auto"/>
                <w:kern w:val="0"/>
                <w:sz w:val="21"/>
                <w:szCs w:val="21"/>
                <w:u w:val="none"/>
                <w:lang w:val="en-US" w:eastAsia="zh-CN" w:bidi="ar"/>
              </w:rPr>
              <w:t>雷家村</w:t>
            </w:r>
          </w:p>
        </w:tc>
        <w:tc>
          <w:tcPr>
            <w:tcW w:w="942"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943"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第1大</w:t>
            </w:r>
          </w:p>
        </w:tc>
        <w:tc>
          <w:tcPr>
            <w:tcW w:w="943"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5.80E-02</w:t>
            </w:r>
          </w:p>
        </w:tc>
        <w:tc>
          <w:tcPr>
            <w:tcW w:w="137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7.44E-02</w:t>
            </w:r>
          </w:p>
        </w:tc>
        <w:tc>
          <w:tcPr>
            <w:tcW w:w="713"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i w:val="0"/>
                <w:color w:val="auto"/>
                <w:kern w:val="0"/>
                <w:sz w:val="21"/>
                <w:szCs w:val="21"/>
                <w:u w:val="none"/>
                <w:lang w:val="en-US" w:eastAsia="zh-CN" w:bidi="ar"/>
              </w:rPr>
              <w:t>0.2</w:t>
            </w:r>
          </w:p>
        </w:tc>
        <w:tc>
          <w:tcPr>
            <w:tcW w:w="117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37.2</w:t>
            </w:r>
          </w:p>
        </w:tc>
        <w:tc>
          <w:tcPr>
            <w:tcW w:w="937"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w:t>
            </w:r>
          </w:p>
        </w:tc>
        <w:tc>
          <w:tcPr>
            <w:tcW w:w="123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南召市村</w:t>
            </w:r>
          </w:p>
        </w:tc>
        <w:tc>
          <w:tcPr>
            <w:tcW w:w="942"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943"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第1大</w:t>
            </w:r>
          </w:p>
        </w:tc>
        <w:tc>
          <w:tcPr>
            <w:tcW w:w="943"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5.80E-02</w:t>
            </w:r>
          </w:p>
        </w:tc>
        <w:tc>
          <w:tcPr>
            <w:tcW w:w="137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7.60E-02</w:t>
            </w:r>
          </w:p>
        </w:tc>
        <w:tc>
          <w:tcPr>
            <w:tcW w:w="713"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i w:val="0"/>
                <w:color w:val="auto"/>
                <w:kern w:val="0"/>
                <w:sz w:val="21"/>
                <w:szCs w:val="21"/>
                <w:u w:val="none"/>
                <w:lang w:val="en-US" w:eastAsia="zh-CN" w:bidi="ar"/>
              </w:rPr>
              <w:t>0.2</w:t>
            </w:r>
          </w:p>
        </w:tc>
        <w:tc>
          <w:tcPr>
            <w:tcW w:w="117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38</w:t>
            </w:r>
          </w:p>
        </w:tc>
        <w:tc>
          <w:tcPr>
            <w:tcW w:w="937"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w:t>
            </w:r>
          </w:p>
        </w:tc>
        <w:tc>
          <w:tcPr>
            <w:tcW w:w="123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北召市村</w:t>
            </w:r>
          </w:p>
        </w:tc>
        <w:tc>
          <w:tcPr>
            <w:tcW w:w="942"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943"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第1大</w:t>
            </w:r>
          </w:p>
        </w:tc>
        <w:tc>
          <w:tcPr>
            <w:tcW w:w="943"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5.80E-02</w:t>
            </w:r>
          </w:p>
        </w:tc>
        <w:tc>
          <w:tcPr>
            <w:tcW w:w="137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7.12E-02</w:t>
            </w:r>
          </w:p>
        </w:tc>
        <w:tc>
          <w:tcPr>
            <w:tcW w:w="713"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i w:val="0"/>
                <w:color w:val="auto"/>
                <w:kern w:val="0"/>
                <w:sz w:val="21"/>
                <w:szCs w:val="21"/>
                <w:u w:val="none"/>
                <w:lang w:val="en-US" w:eastAsia="zh-CN" w:bidi="ar"/>
              </w:rPr>
              <w:t>0.2</w:t>
            </w:r>
          </w:p>
        </w:tc>
        <w:tc>
          <w:tcPr>
            <w:tcW w:w="117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35.61</w:t>
            </w:r>
          </w:p>
        </w:tc>
        <w:tc>
          <w:tcPr>
            <w:tcW w:w="937"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8</w:t>
            </w:r>
          </w:p>
        </w:tc>
        <w:tc>
          <w:tcPr>
            <w:tcW w:w="123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贺庄村</w:t>
            </w:r>
          </w:p>
        </w:tc>
        <w:tc>
          <w:tcPr>
            <w:tcW w:w="942"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943"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第1大</w:t>
            </w:r>
          </w:p>
        </w:tc>
        <w:tc>
          <w:tcPr>
            <w:tcW w:w="943"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5.80E-02</w:t>
            </w:r>
          </w:p>
        </w:tc>
        <w:tc>
          <w:tcPr>
            <w:tcW w:w="137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7.87E-02</w:t>
            </w:r>
          </w:p>
        </w:tc>
        <w:tc>
          <w:tcPr>
            <w:tcW w:w="713"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i w:val="0"/>
                <w:color w:val="auto"/>
                <w:kern w:val="0"/>
                <w:sz w:val="21"/>
                <w:szCs w:val="21"/>
                <w:u w:val="none"/>
                <w:lang w:val="en-US" w:eastAsia="zh-CN" w:bidi="ar"/>
              </w:rPr>
              <w:t>0.2</w:t>
            </w:r>
          </w:p>
        </w:tc>
        <w:tc>
          <w:tcPr>
            <w:tcW w:w="117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39.36</w:t>
            </w:r>
          </w:p>
        </w:tc>
        <w:tc>
          <w:tcPr>
            <w:tcW w:w="937"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9</w:t>
            </w:r>
          </w:p>
        </w:tc>
        <w:tc>
          <w:tcPr>
            <w:tcW w:w="123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刘庄村</w:t>
            </w:r>
          </w:p>
        </w:tc>
        <w:tc>
          <w:tcPr>
            <w:tcW w:w="942"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943"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第1大</w:t>
            </w:r>
          </w:p>
        </w:tc>
        <w:tc>
          <w:tcPr>
            <w:tcW w:w="943"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5.80E-02</w:t>
            </w:r>
          </w:p>
        </w:tc>
        <w:tc>
          <w:tcPr>
            <w:tcW w:w="137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7.82E-02</w:t>
            </w:r>
          </w:p>
        </w:tc>
        <w:tc>
          <w:tcPr>
            <w:tcW w:w="713"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i w:val="0"/>
                <w:color w:val="auto"/>
                <w:kern w:val="0"/>
                <w:sz w:val="21"/>
                <w:szCs w:val="21"/>
                <w:u w:val="none"/>
                <w:lang w:val="en-US" w:eastAsia="zh-CN" w:bidi="ar"/>
              </w:rPr>
              <w:t>0.2</w:t>
            </w:r>
          </w:p>
        </w:tc>
        <w:tc>
          <w:tcPr>
            <w:tcW w:w="117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39.1</w:t>
            </w:r>
          </w:p>
        </w:tc>
        <w:tc>
          <w:tcPr>
            <w:tcW w:w="937"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79"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w:t>
            </w:r>
          </w:p>
        </w:tc>
        <w:tc>
          <w:tcPr>
            <w:tcW w:w="1233"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王韩村</w:t>
            </w:r>
          </w:p>
        </w:tc>
        <w:tc>
          <w:tcPr>
            <w:tcW w:w="942"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943"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第1大</w:t>
            </w:r>
          </w:p>
        </w:tc>
        <w:tc>
          <w:tcPr>
            <w:tcW w:w="943"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5.80E-02</w:t>
            </w:r>
          </w:p>
        </w:tc>
        <w:tc>
          <w:tcPr>
            <w:tcW w:w="137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7.57E-02</w:t>
            </w:r>
          </w:p>
        </w:tc>
        <w:tc>
          <w:tcPr>
            <w:tcW w:w="713"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i w:val="0"/>
                <w:color w:val="auto"/>
                <w:kern w:val="0"/>
                <w:sz w:val="21"/>
                <w:szCs w:val="21"/>
                <w:u w:val="none"/>
                <w:lang w:val="en-US" w:eastAsia="zh-CN" w:bidi="ar"/>
              </w:rPr>
              <w:t>0.2</w:t>
            </w:r>
          </w:p>
        </w:tc>
        <w:tc>
          <w:tcPr>
            <w:tcW w:w="117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37.83</w:t>
            </w:r>
          </w:p>
        </w:tc>
        <w:tc>
          <w:tcPr>
            <w:tcW w:w="937"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12" w:type="dxa"/>
            <w:gridSpan w:val="2"/>
            <w:noWrap w:val="0"/>
            <w:vAlign w:val="center"/>
          </w:tcPr>
          <w:p>
            <w:pPr>
              <w:keepNext w:val="0"/>
              <w:keepLines w:val="0"/>
              <w:pageBreakBefore w:val="0"/>
              <w:widowControl w:val="0"/>
              <w:wordWrap/>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区域最大落地浓度</w:t>
            </w:r>
          </w:p>
        </w:tc>
        <w:tc>
          <w:tcPr>
            <w:tcW w:w="942"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943"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第1大</w:t>
            </w:r>
          </w:p>
        </w:tc>
        <w:tc>
          <w:tcPr>
            <w:tcW w:w="943"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5.80E-02</w:t>
            </w:r>
          </w:p>
        </w:tc>
        <w:tc>
          <w:tcPr>
            <w:tcW w:w="137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9.44E-02</w:t>
            </w:r>
          </w:p>
        </w:tc>
        <w:tc>
          <w:tcPr>
            <w:tcW w:w="713"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i w:val="0"/>
                <w:color w:val="auto"/>
                <w:kern w:val="0"/>
                <w:sz w:val="21"/>
                <w:szCs w:val="21"/>
                <w:u w:val="none"/>
                <w:lang w:val="en-US" w:eastAsia="zh-CN" w:bidi="ar"/>
              </w:rPr>
              <w:t>0.2</w:t>
            </w:r>
          </w:p>
        </w:tc>
        <w:tc>
          <w:tcPr>
            <w:tcW w:w="117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47.18</w:t>
            </w:r>
          </w:p>
        </w:tc>
        <w:tc>
          <w:tcPr>
            <w:tcW w:w="937" w:type="dxa"/>
            <w:noWrap w:val="0"/>
            <w:vAlign w:val="center"/>
          </w:tcPr>
          <w:p>
            <w:pPr>
              <w:keepNext w:val="0"/>
              <w:keepLines w:val="0"/>
              <w:pageBreakBefore w:val="0"/>
              <w:widowControl w:val="0"/>
              <w:wordWrap/>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达标</w:t>
            </w:r>
          </w:p>
        </w:tc>
      </w:tr>
    </w:tbl>
    <w:p>
      <w:pPr>
        <w:numPr>
          <w:ilvl w:val="0"/>
          <w:numId w:val="0"/>
        </w:numPr>
        <w:spacing w:before="120" w:beforeLines="50" w:after="120" w:afterLines="50"/>
        <w:ind w:leftChars="200"/>
        <w:jc w:val="left"/>
        <w:rPr>
          <w:rFonts w:hint="default" w:ascii="Times New Roman" w:hAnsi="Times New Roman" w:cs="Times New Roman"/>
          <w:b/>
          <w:color w:val="auto"/>
          <w:szCs w:val="21"/>
        </w:rPr>
      </w:pPr>
      <w:r>
        <w:rPr>
          <w:rFonts w:hint="default" w:ascii="Times New Roman" w:hAnsi="Times New Roman" w:cs="Times New Roman"/>
          <w:b/>
          <w:color w:val="auto"/>
          <w:szCs w:val="21"/>
          <w:lang w:val="en-US" w:eastAsia="zh-CN"/>
        </w:rPr>
        <w:t>5.2-</w:t>
      </w:r>
      <w:r>
        <w:rPr>
          <w:rFonts w:hint="eastAsia" w:cs="Times New Roman"/>
          <w:b/>
          <w:color w:val="auto"/>
          <w:szCs w:val="21"/>
          <w:lang w:val="en-US" w:eastAsia="zh-CN"/>
        </w:rPr>
        <w:t>17</w:t>
      </w:r>
      <w:r>
        <w:rPr>
          <w:rFonts w:hint="default" w:ascii="Times New Roman" w:hAnsi="Times New Roman" w:cs="Times New Roman"/>
          <w:b/>
          <w:color w:val="auto"/>
          <w:szCs w:val="21"/>
        </w:rPr>
        <w:t>叠加后H</w:t>
      </w:r>
      <w:r>
        <w:rPr>
          <w:rFonts w:hint="default" w:ascii="Times New Roman" w:hAnsi="Times New Roman" w:cs="Times New Roman"/>
          <w:b/>
          <w:color w:val="auto"/>
          <w:szCs w:val="21"/>
          <w:vertAlign w:val="subscript"/>
        </w:rPr>
        <w:t>2</w:t>
      </w:r>
      <w:r>
        <w:rPr>
          <w:rFonts w:hint="default" w:ascii="Times New Roman" w:hAnsi="Times New Roman" w:cs="Times New Roman"/>
          <w:b/>
          <w:color w:val="auto"/>
          <w:szCs w:val="21"/>
        </w:rPr>
        <w:t>S小时浓度贡献预测结果一览表      单位：</w:t>
      </w:r>
      <w:r>
        <w:rPr>
          <w:rFonts w:hint="default" w:ascii="Times New Roman" w:hAnsi="Times New Roman" w:cs="Times New Roman"/>
          <w:b/>
          <w:color w:val="auto"/>
          <w:szCs w:val="21"/>
          <w:lang w:val="en-US" w:eastAsia="zh-CN"/>
        </w:rPr>
        <w:t>m</w:t>
      </w:r>
      <w:r>
        <w:rPr>
          <w:rFonts w:hint="default" w:ascii="Times New Roman" w:hAnsi="Times New Roman" w:cs="Times New Roman"/>
          <w:b/>
          <w:color w:val="auto"/>
          <w:szCs w:val="21"/>
        </w:rPr>
        <w:t>g/m</w:t>
      </w:r>
      <w:r>
        <w:rPr>
          <w:rFonts w:hint="default" w:ascii="Times New Roman" w:hAnsi="Times New Roman" w:cs="Times New Roman"/>
          <w:b/>
          <w:color w:val="auto"/>
          <w:szCs w:val="21"/>
          <w:vertAlign w:val="superscript"/>
        </w:rPr>
        <w:t>3</w:t>
      </w:r>
    </w:p>
    <w:tbl>
      <w:tblPr>
        <w:tblStyle w:val="25"/>
        <w:tblW w:w="8730"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27"/>
        <w:gridCol w:w="1282"/>
        <w:gridCol w:w="990"/>
        <w:gridCol w:w="990"/>
        <w:gridCol w:w="990"/>
        <w:gridCol w:w="990"/>
        <w:gridCol w:w="760"/>
        <w:gridCol w:w="1217"/>
        <w:gridCol w:w="984"/>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27"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序号</w:t>
            </w:r>
          </w:p>
        </w:tc>
        <w:tc>
          <w:tcPr>
            <w:tcW w:w="1282"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名称</w:t>
            </w:r>
          </w:p>
        </w:tc>
        <w:tc>
          <w:tcPr>
            <w:tcW w:w="99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平均时间</w:t>
            </w:r>
          </w:p>
        </w:tc>
        <w:tc>
          <w:tcPr>
            <w:tcW w:w="99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排序</w:t>
            </w:r>
          </w:p>
        </w:tc>
        <w:tc>
          <w:tcPr>
            <w:tcW w:w="99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背景值</w:t>
            </w:r>
          </w:p>
        </w:tc>
        <w:tc>
          <w:tcPr>
            <w:tcW w:w="99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最大贡献值</w:t>
            </w:r>
          </w:p>
        </w:tc>
        <w:tc>
          <w:tcPr>
            <w:tcW w:w="76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标准值</w:t>
            </w:r>
          </w:p>
        </w:tc>
        <w:tc>
          <w:tcPr>
            <w:tcW w:w="1217"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占标率（%）</w:t>
            </w:r>
          </w:p>
        </w:tc>
        <w:tc>
          <w:tcPr>
            <w:tcW w:w="984"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达标情况</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27"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12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lang w:val="zh-CN"/>
              </w:rPr>
            </w:pPr>
            <w:r>
              <w:rPr>
                <w:rFonts w:hint="default" w:ascii="Times New Roman" w:hAnsi="Times New Roman" w:eastAsia="宋体" w:cs="Times New Roman"/>
                <w:i w:val="0"/>
                <w:color w:val="auto"/>
                <w:kern w:val="0"/>
                <w:sz w:val="21"/>
                <w:szCs w:val="21"/>
                <w:u w:val="none"/>
                <w:lang w:val="en-US" w:eastAsia="zh-CN" w:bidi="ar"/>
              </w:rPr>
              <w:t>杨韩村</w:t>
            </w:r>
          </w:p>
        </w:tc>
        <w:tc>
          <w:tcPr>
            <w:tcW w:w="99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990" w:type="dxa"/>
            <w:noWrap w:val="0"/>
            <w:vAlign w:val="center"/>
          </w:tcPr>
          <w:p>
            <w:pPr>
              <w:keepNext w:val="0"/>
              <w:keepLines w:val="0"/>
              <w:pageBreakBefore w:val="0"/>
              <w:widowControl w:val="0"/>
              <w:wordWrap/>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第1大</w:t>
            </w:r>
          </w:p>
        </w:tc>
        <w:tc>
          <w:tcPr>
            <w:tcW w:w="99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3.00E-03</w:t>
            </w:r>
          </w:p>
        </w:tc>
        <w:tc>
          <w:tcPr>
            <w:tcW w:w="99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3.83E-03</w:t>
            </w:r>
          </w:p>
        </w:tc>
        <w:tc>
          <w:tcPr>
            <w:tcW w:w="76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w:t>
            </w:r>
          </w:p>
        </w:tc>
        <w:tc>
          <w:tcPr>
            <w:tcW w:w="1217"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38.34</w:t>
            </w:r>
          </w:p>
        </w:tc>
        <w:tc>
          <w:tcPr>
            <w:tcW w:w="984"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27"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w:t>
            </w:r>
          </w:p>
        </w:tc>
        <w:tc>
          <w:tcPr>
            <w:tcW w:w="12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lang w:val="zh-CN"/>
              </w:rPr>
            </w:pPr>
            <w:r>
              <w:rPr>
                <w:rFonts w:hint="default" w:ascii="Times New Roman" w:hAnsi="Times New Roman" w:eastAsia="宋体" w:cs="Times New Roman"/>
                <w:i w:val="0"/>
                <w:color w:val="auto"/>
                <w:kern w:val="0"/>
                <w:sz w:val="21"/>
                <w:szCs w:val="21"/>
                <w:u w:val="none"/>
                <w:lang w:val="en-US" w:eastAsia="zh-CN" w:bidi="ar"/>
              </w:rPr>
              <w:t>库韩村</w:t>
            </w:r>
          </w:p>
        </w:tc>
        <w:tc>
          <w:tcPr>
            <w:tcW w:w="99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990" w:type="dxa"/>
            <w:noWrap w:val="0"/>
            <w:vAlign w:val="center"/>
          </w:tcPr>
          <w:p>
            <w:pPr>
              <w:keepNext w:val="0"/>
              <w:keepLines w:val="0"/>
              <w:pageBreakBefore w:val="0"/>
              <w:widowControl w:val="0"/>
              <w:wordWrap/>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第1大</w:t>
            </w:r>
          </w:p>
        </w:tc>
        <w:tc>
          <w:tcPr>
            <w:tcW w:w="99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3.00E-03</w:t>
            </w:r>
          </w:p>
        </w:tc>
        <w:tc>
          <w:tcPr>
            <w:tcW w:w="99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5.05E-03</w:t>
            </w:r>
          </w:p>
        </w:tc>
        <w:tc>
          <w:tcPr>
            <w:tcW w:w="76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w:t>
            </w:r>
          </w:p>
        </w:tc>
        <w:tc>
          <w:tcPr>
            <w:tcW w:w="1217"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50.46</w:t>
            </w:r>
          </w:p>
        </w:tc>
        <w:tc>
          <w:tcPr>
            <w:tcW w:w="984"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27"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w:t>
            </w:r>
          </w:p>
        </w:tc>
        <w:tc>
          <w:tcPr>
            <w:tcW w:w="12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lang w:val="zh-CN"/>
              </w:rPr>
            </w:pPr>
            <w:r>
              <w:rPr>
                <w:rFonts w:hint="default" w:ascii="Times New Roman" w:hAnsi="Times New Roman" w:eastAsia="宋体" w:cs="Times New Roman"/>
                <w:i w:val="0"/>
                <w:color w:val="auto"/>
                <w:kern w:val="0"/>
                <w:sz w:val="21"/>
                <w:szCs w:val="21"/>
                <w:u w:val="none"/>
                <w:lang w:val="en-US" w:eastAsia="zh-CN" w:bidi="ar"/>
              </w:rPr>
              <w:t>苏二庄村</w:t>
            </w:r>
          </w:p>
        </w:tc>
        <w:tc>
          <w:tcPr>
            <w:tcW w:w="99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990" w:type="dxa"/>
            <w:noWrap w:val="0"/>
            <w:vAlign w:val="center"/>
          </w:tcPr>
          <w:p>
            <w:pPr>
              <w:keepNext w:val="0"/>
              <w:keepLines w:val="0"/>
              <w:pageBreakBefore w:val="0"/>
              <w:widowControl w:val="0"/>
              <w:wordWrap/>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第1大</w:t>
            </w:r>
          </w:p>
        </w:tc>
        <w:tc>
          <w:tcPr>
            <w:tcW w:w="99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3.00E-03</w:t>
            </w:r>
          </w:p>
        </w:tc>
        <w:tc>
          <w:tcPr>
            <w:tcW w:w="99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4.19E-03</w:t>
            </w:r>
          </w:p>
        </w:tc>
        <w:tc>
          <w:tcPr>
            <w:tcW w:w="76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w:t>
            </w:r>
          </w:p>
        </w:tc>
        <w:tc>
          <w:tcPr>
            <w:tcW w:w="1217"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41.93</w:t>
            </w:r>
          </w:p>
        </w:tc>
        <w:tc>
          <w:tcPr>
            <w:tcW w:w="984"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27"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w:t>
            </w:r>
          </w:p>
        </w:tc>
        <w:tc>
          <w:tcPr>
            <w:tcW w:w="12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lang w:val="zh-CN"/>
              </w:rPr>
            </w:pPr>
            <w:r>
              <w:rPr>
                <w:rFonts w:hint="default" w:ascii="Times New Roman" w:hAnsi="Times New Roman" w:eastAsia="宋体" w:cs="Times New Roman"/>
                <w:i w:val="0"/>
                <w:color w:val="auto"/>
                <w:kern w:val="0"/>
                <w:sz w:val="21"/>
                <w:szCs w:val="21"/>
                <w:u w:val="none"/>
                <w:lang w:val="en-US" w:eastAsia="zh-CN" w:bidi="ar"/>
              </w:rPr>
              <w:t>杨庄窑村</w:t>
            </w:r>
          </w:p>
        </w:tc>
        <w:tc>
          <w:tcPr>
            <w:tcW w:w="99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990" w:type="dxa"/>
            <w:noWrap w:val="0"/>
            <w:vAlign w:val="center"/>
          </w:tcPr>
          <w:p>
            <w:pPr>
              <w:keepNext w:val="0"/>
              <w:keepLines w:val="0"/>
              <w:pageBreakBefore w:val="0"/>
              <w:widowControl w:val="0"/>
              <w:wordWrap/>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第1大</w:t>
            </w:r>
          </w:p>
        </w:tc>
        <w:tc>
          <w:tcPr>
            <w:tcW w:w="99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3.00E-03</w:t>
            </w:r>
          </w:p>
        </w:tc>
        <w:tc>
          <w:tcPr>
            <w:tcW w:w="99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4.86E-03</w:t>
            </w:r>
          </w:p>
        </w:tc>
        <w:tc>
          <w:tcPr>
            <w:tcW w:w="76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w:t>
            </w:r>
          </w:p>
        </w:tc>
        <w:tc>
          <w:tcPr>
            <w:tcW w:w="1217"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48.55</w:t>
            </w:r>
          </w:p>
        </w:tc>
        <w:tc>
          <w:tcPr>
            <w:tcW w:w="984"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27"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w:t>
            </w:r>
          </w:p>
        </w:tc>
        <w:tc>
          <w:tcPr>
            <w:tcW w:w="12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lang w:val="zh-CN"/>
              </w:rPr>
            </w:pPr>
            <w:r>
              <w:rPr>
                <w:rFonts w:hint="default" w:ascii="Times New Roman" w:hAnsi="Times New Roman" w:eastAsia="宋体" w:cs="Times New Roman"/>
                <w:i w:val="0"/>
                <w:color w:val="auto"/>
                <w:kern w:val="0"/>
                <w:sz w:val="21"/>
                <w:szCs w:val="21"/>
                <w:u w:val="none"/>
                <w:lang w:val="en-US" w:eastAsia="zh-CN" w:bidi="ar"/>
              </w:rPr>
              <w:t>雷家村</w:t>
            </w:r>
          </w:p>
        </w:tc>
        <w:tc>
          <w:tcPr>
            <w:tcW w:w="99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990" w:type="dxa"/>
            <w:noWrap w:val="0"/>
            <w:vAlign w:val="center"/>
          </w:tcPr>
          <w:p>
            <w:pPr>
              <w:keepNext w:val="0"/>
              <w:keepLines w:val="0"/>
              <w:pageBreakBefore w:val="0"/>
              <w:widowControl w:val="0"/>
              <w:wordWrap/>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第1大</w:t>
            </w:r>
          </w:p>
        </w:tc>
        <w:tc>
          <w:tcPr>
            <w:tcW w:w="99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3.00E-03</w:t>
            </w:r>
          </w:p>
        </w:tc>
        <w:tc>
          <w:tcPr>
            <w:tcW w:w="99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4.03E-03</w:t>
            </w:r>
          </w:p>
        </w:tc>
        <w:tc>
          <w:tcPr>
            <w:tcW w:w="76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w:t>
            </w:r>
          </w:p>
        </w:tc>
        <w:tc>
          <w:tcPr>
            <w:tcW w:w="1217"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40.25</w:t>
            </w:r>
          </w:p>
        </w:tc>
        <w:tc>
          <w:tcPr>
            <w:tcW w:w="984"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27"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6</w:t>
            </w:r>
          </w:p>
        </w:tc>
        <w:tc>
          <w:tcPr>
            <w:tcW w:w="12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南召市村</w:t>
            </w:r>
          </w:p>
        </w:tc>
        <w:tc>
          <w:tcPr>
            <w:tcW w:w="99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990" w:type="dxa"/>
            <w:noWrap w:val="0"/>
            <w:vAlign w:val="center"/>
          </w:tcPr>
          <w:p>
            <w:pPr>
              <w:keepNext w:val="0"/>
              <w:keepLines w:val="0"/>
              <w:pageBreakBefore w:val="0"/>
              <w:widowControl w:val="0"/>
              <w:wordWrap/>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第1大</w:t>
            </w:r>
          </w:p>
        </w:tc>
        <w:tc>
          <w:tcPr>
            <w:tcW w:w="99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3.00E-03</w:t>
            </w:r>
          </w:p>
        </w:tc>
        <w:tc>
          <w:tcPr>
            <w:tcW w:w="99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4.12E-03</w:t>
            </w:r>
          </w:p>
        </w:tc>
        <w:tc>
          <w:tcPr>
            <w:tcW w:w="76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w:t>
            </w:r>
          </w:p>
        </w:tc>
        <w:tc>
          <w:tcPr>
            <w:tcW w:w="1217"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41.25</w:t>
            </w:r>
          </w:p>
        </w:tc>
        <w:tc>
          <w:tcPr>
            <w:tcW w:w="984"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27"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w:t>
            </w:r>
          </w:p>
        </w:tc>
        <w:tc>
          <w:tcPr>
            <w:tcW w:w="12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北召市村</w:t>
            </w:r>
          </w:p>
        </w:tc>
        <w:tc>
          <w:tcPr>
            <w:tcW w:w="99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990" w:type="dxa"/>
            <w:noWrap w:val="0"/>
            <w:vAlign w:val="center"/>
          </w:tcPr>
          <w:p>
            <w:pPr>
              <w:keepNext w:val="0"/>
              <w:keepLines w:val="0"/>
              <w:pageBreakBefore w:val="0"/>
              <w:widowControl w:val="0"/>
              <w:wordWrap/>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第1大</w:t>
            </w:r>
          </w:p>
        </w:tc>
        <w:tc>
          <w:tcPr>
            <w:tcW w:w="99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3.00E-03</w:t>
            </w:r>
          </w:p>
        </w:tc>
        <w:tc>
          <w:tcPr>
            <w:tcW w:w="99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3.83E-03</w:t>
            </w:r>
          </w:p>
        </w:tc>
        <w:tc>
          <w:tcPr>
            <w:tcW w:w="76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w:t>
            </w:r>
          </w:p>
        </w:tc>
        <w:tc>
          <w:tcPr>
            <w:tcW w:w="1217"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38.26</w:t>
            </w:r>
          </w:p>
        </w:tc>
        <w:tc>
          <w:tcPr>
            <w:tcW w:w="984"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27"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8</w:t>
            </w:r>
          </w:p>
        </w:tc>
        <w:tc>
          <w:tcPr>
            <w:tcW w:w="12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贺庄村</w:t>
            </w:r>
          </w:p>
        </w:tc>
        <w:tc>
          <w:tcPr>
            <w:tcW w:w="99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990" w:type="dxa"/>
            <w:noWrap w:val="0"/>
            <w:vAlign w:val="center"/>
          </w:tcPr>
          <w:p>
            <w:pPr>
              <w:keepNext w:val="0"/>
              <w:keepLines w:val="0"/>
              <w:pageBreakBefore w:val="0"/>
              <w:widowControl w:val="0"/>
              <w:wordWrap/>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第1大</w:t>
            </w:r>
          </w:p>
        </w:tc>
        <w:tc>
          <w:tcPr>
            <w:tcW w:w="99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3.00E-03</w:t>
            </w:r>
          </w:p>
        </w:tc>
        <w:tc>
          <w:tcPr>
            <w:tcW w:w="99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4.30E-03</w:t>
            </w:r>
          </w:p>
        </w:tc>
        <w:tc>
          <w:tcPr>
            <w:tcW w:w="76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w:t>
            </w:r>
          </w:p>
        </w:tc>
        <w:tc>
          <w:tcPr>
            <w:tcW w:w="1217"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42.95</w:t>
            </w:r>
          </w:p>
        </w:tc>
        <w:tc>
          <w:tcPr>
            <w:tcW w:w="984"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27"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9</w:t>
            </w:r>
          </w:p>
        </w:tc>
        <w:tc>
          <w:tcPr>
            <w:tcW w:w="12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刘庄村</w:t>
            </w:r>
          </w:p>
        </w:tc>
        <w:tc>
          <w:tcPr>
            <w:tcW w:w="99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990" w:type="dxa"/>
            <w:noWrap w:val="0"/>
            <w:vAlign w:val="center"/>
          </w:tcPr>
          <w:p>
            <w:pPr>
              <w:keepNext w:val="0"/>
              <w:keepLines w:val="0"/>
              <w:pageBreakBefore w:val="0"/>
              <w:widowControl w:val="0"/>
              <w:wordWrap/>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第1大</w:t>
            </w:r>
          </w:p>
        </w:tc>
        <w:tc>
          <w:tcPr>
            <w:tcW w:w="99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3.00E-03</w:t>
            </w:r>
          </w:p>
        </w:tc>
        <w:tc>
          <w:tcPr>
            <w:tcW w:w="99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4.26E-03</w:t>
            </w:r>
          </w:p>
        </w:tc>
        <w:tc>
          <w:tcPr>
            <w:tcW w:w="76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w:t>
            </w:r>
          </w:p>
        </w:tc>
        <w:tc>
          <w:tcPr>
            <w:tcW w:w="1217"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42.63</w:t>
            </w:r>
          </w:p>
        </w:tc>
        <w:tc>
          <w:tcPr>
            <w:tcW w:w="984"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27"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w:t>
            </w:r>
          </w:p>
        </w:tc>
        <w:tc>
          <w:tcPr>
            <w:tcW w:w="128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王韩村</w:t>
            </w:r>
          </w:p>
        </w:tc>
        <w:tc>
          <w:tcPr>
            <w:tcW w:w="99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990" w:type="dxa"/>
            <w:noWrap w:val="0"/>
            <w:vAlign w:val="center"/>
          </w:tcPr>
          <w:p>
            <w:pPr>
              <w:keepNext w:val="0"/>
              <w:keepLines w:val="0"/>
              <w:pageBreakBefore w:val="0"/>
              <w:widowControl w:val="0"/>
              <w:wordWrap/>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第1大</w:t>
            </w:r>
          </w:p>
        </w:tc>
        <w:tc>
          <w:tcPr>
            <w:tcW w:w="99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3.00E-03</w:t>
            </w:r>
          </w:p>
        </w:tc>
        <w:tc>
          <w:tcPr>
            <w:tcW w:w="99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4.10E-03</w:t>
            </w:r>
          </w:p>
        </w:tc>
        <w:tc>
          <w:tcPr>
            <w:tcW w:w="76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0.01</w:t>
            </w:r>
          </w:p>
        </w:tc>
        <w:tc>
          <w:tcPr>
            <w:tcW w:w="1217"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41.03</w:t>
            </w:r>
          </w:p>
        </w:tc>
        <w:tc>
          <w:tcPr>
            <w:tcW w:w="984"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09" w:type="dxa"/>
            <w:gridSpan w:val="2"/>
            <w:noWrap w:val="0"/>
            <w:vAlign w:val="center"/>
          </w:tcPr>
          <w:p>
            <w:pPr>
              <w:keepNext w:val="0"/>
              <w:keepLines w:val="0"/>
              <w:pageBreakBefore w:val="0"/>
              <w:widowControl w:val="0"/>
              <w:wordWrap/>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区域最大落地浓度</w:t>
            </w:r>
          </w:p>
        </w:tc>
        <w:tc>
          <w:tcPr>
            <w:tcW w:w="990" w:type="dxa"/>
            <w:noWrap w:val="0"/>
            <w:vAlign w:val="center"/>
          </w:tcPr>
          <w:p>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1小时</w:t>
            </w:r>
          </w:p>
        </w:tc>
        <w:tc>
          <w:tcPr>
            <w:tcW w:w="990" w:type="dxa"/>
            <w:noWrap w:val="0"/>
            <w:vAlign w:val="center"/>
          </w:tcPr>
          <w:p>
            <w:pPr>
              <w:keepNext w:val="0"/>
              <w:keepLines w:val="0"/>
              <w:pageBreakBefore w:val="0"/>
              <w:widowControl w:val="0"/>
              <w:wordWrap/>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第1大</w:t>
            </w:r>
          </w:p>
        </w:tc>
        <w:tc>
          <w:tcPr>
            <w:tcW w:w="99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3.00E-03</w:t>
            </w:r>
          </w:p>
        </w:tc>
        <w:tc>
          <w:tcPr>
            <w:tcW w:w="99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5.27E-03</w:t>
            </w:r>
          </w:p>
        </w:tc>
        <w:tc>
          <w:tcPr>
            <w:tcW w:w="760"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i w:val="0"/>
                <w:color w:val="auto"/>
                <w:kern w:val="0"/>
                <w:sz w:val="21"/>
                <w:szCs w:val="21"/>
                <w:u w:val="none"/>
                <w:lang w:val="en-US" w:eastAsia="zh-CN" w:bidi="ar"/>
              </w:rPr>
              <w:t>0.01</w:t>
            </w:r>
          </w:p>
        </w:tc>
        <w:tc>
          <w:tcPr>
            <w:tcW w:w="1217" w:type="dxa"/>
            <w:noWrap w:val="0"/>
            <w:vAlign w:val="center"/>
          </w:tcPr>
          <w:p>
            <w:pPr>
              <w:keepNext w:val="0"/>
              <w:keepLines w:val="0"/>
              <w:pageBreakBefore w:val="0"/>
              <w:widowControl/>
              <w:suppressLineNumbers w:val="0"/>
              <w:kinsoku/>
              <w:wordWrap/>
              <w:overflowPunct/>
              <w:topLinePunct w:val="0"/>
              <w:autoSpaceDE/>
              <w:autoSpaceDN/>
              <w:bidi w:val="0"/>
              <w:snapToGrid w:val="0"/>
              <w:spacing w:line="240" w:lineRule="auto"/>
              <w:ind w:left="0" w:leftChars="0"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i w:val="0"/>
                <w:color w:val="auto"/>
                <w:kern w:val="0"/>
                <w:sz w:val="21"/>
                <w:szCs w:val="21"/>
                <w:u w:val="none"/>
                <w:lang w:val="en-US" w:eastAsia="zh-CN" w:bidi="ar"/>
              </w:rPr>
              <w:t>52.72</w:t>
            </w:r>
          </w:p>
        </w:tc>
        <w:tc>
          <w:tcPr>
            <w:tcW w:w="984" w:type="dxa"/>
            <w:noWrap w:val="0"/>
            <w:vAlign w:val="center"/>
          </w:tcPr>
          <w:p>
            <w:pPr>
              <w:keepNext w:val="0"/>
              <w:keepLines w:val="0"/>
              <w:pageBreakBefore w:val="0"/>
              <w:widowControl w:val="0"/>
              <w:wordWrap/>
              <w:topLinePunct w:val="0"/>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达标</w:t>
            </w:r>
          </w:p>
        </w:tc>
      </w:tr>
    </w:tbl>
    <w:p>
      <w:pPr>
        <w:spacing w:line="46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从上表可以看出，叠加现状值后，各污染物小时值在各敏感点及网格点浓度最大预测值均满足《环境影响评价技术导则大气环境》（HJ2.2-2018）附录D其他污染物空气质量浓度参考限值的要求。</w:t>
      </w:r>
    </w:p>
    <w:p>
      <w:pPr>
        <w:adjustRightInd w:val="0"/>
        <w:snapToGrid w:val="0"/>
        <w:spacing w:before="120" w:beforeLines="50" w:after="120" w:afterLines="50"/>
        <w:ind w:left="0" w:leftChars="0" w:firstLine="0" w:firstLineChars="0"/>
        <w:jc w:val="both"/>
        <w:rPr>
          <w:rFonts w:hint="default" w:ascii="Times New Roman" w:hAnsi="Times New Roman" w:cs="Times New Roman"/>
          <w:color w:val="auto"/>
          <w:sz w:val="24"/>
          <w:szCs w:val="24"/>
        </w:rPr>
      </w:pPr>
      <w:r>
        <w:rPr>
          <w:rFonts w:hint="default" w:ascii="Times New Roman" w:hAnsi="Times New Roman" w:cs="Times New Roman"/>
          <w:color w:val="auto"/>
        </w:rPr>
        <w:drawing>
          <wp:inline distT="0" distB="0" distL="114300" distR="114300">
            <wp:extent cx="5412740" cy="3422015"/>
            <wp:effectExtent l="0" t="0" r="16510"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2"/>
                    <a:stretch>
                      <a:fillRect/>
                    </a:stretch>
                  </pic:blipFill>
                  <pic:spPr>
                    <a:xfrm>
                      <a:off x="0" y="0"/>
                      <a:ext cx="5412740" cy="3422015"/>
                    </a:xfrm>
                    <a:prstGeom prst="rect">
                      <a:avLst/>
                    </a:prstGeom>
                    <a:noFill/>
                    <a:ln w="9525">
                      <a:noFill/>
                    </a:ln>
                  </pic:spPr>
                </pic:pic>
              </a:graphicData>
            </a:graphic>
          </wp:inline>
        </w:drawing>
      </w:r>
    </w:p>
    <w:p>
      <w:pPr>
        <w:numPr>
          <w:ilvl w:val="0"/>
          <w:numId w:val="0"/>
        </w:numPr>
        <w:adjustRightInd w:val="0"/>
        <w:snapToGrid w:val="0"/>
        <w:spacing w:before="120" w:beforeLines="50" w:after="120" w:afterLines="50"/>
        <w:ind w:leftChars="200"/>
        <w:jc w:val="center"/>
        <w:rPr>
          <w:rFonts w:hint="default" w:ascii="Times New Roman" w:hAnsi="Times New Roman" w:cs="Times New Roman"/>
          <w:b/>
          <w:color w:val="auto"/>
          <w:szCs w:val="21"/>
        </w:rPr>
      </w:pPr>
      <w:r>
        <w:rPr>
          <w:rFonts w:hint="default" w:ascii="Times New Roman" w:hAnsi="Times New Roman" w:cs="Times New Roman"/>
          <w:b/>
          <w:color w:val="auto"/>
          <w:szCs w:val="21"/>
          <w:lang w:eastAsia="zh-CN"/>
        </w:rPr>
        <w:t>图</w:t>
      </w:r>
      <w:r>
        <w:rPr>
          <w:rFonts w:hint="default" w:ascii="Times New Roman" w:hAnsi="Times New Roman" w:cs="Times New Roman"/>
          <w:b/>
          <w:color w:val="auto"/>
          <w:szCs w:val="21"/>
          <w:lang w:val="en-US" w:eastAsia="zh-CN"/>
        </w:rPr>
        <w:t>5-</w:t>
      </w:r>
      <w:r>
        <w:rPr>
          <w:rFonts w:hint="eastAsia" w:cs="Times New Roman"/>
          <w:b/>
          <w:color w:val="auto"/>
          <w:szCs w:val="21"/>
          <w:lang w:val="en-US" w:eastAsia="zh-CN"/>
        </w:rPr>
        <w:t>5</w:t>
      </w:r>
      <w:r>
        <w:rPr>
          <w:rFonts w:hint="default" w:ascii="Times New Roman" w:hAnsi="Times New Roman" w:cs="Times New Roman"/>
          <w:b/>
          <w:color w:val="auto"/>
          <w:szCs w:val="21"/>
        </w:rPr>
        <w:t xml:space="preserve">  叠加后NH</w:t>
      </w:r>
      <w:r>
        <w:rPr>
          <w:rFonts w:hint="default" w:ascii="Times New Roman" w:hAnsi="Times New Roman" w:cs="Times New Roman"/>
          <w:b/>
          <w:color w:val="auto"/>
          <w:szCs w:val="21"/>
          <w:vertAlign w:val="subscript"/>
        </w:rPr>
        <w:t>3</w:t>
      </w:r>
      <w:r>
        <w:rPr>
          <w:rFonts w:hint="default" w:ascii="Times New Roman" w:hAnsi="Times New Roman" w:cs="Times New Roman"/>
          <w:b/>
          <w:color w:val="auto"/>
          <w:szCs w:val="21"/>
        </w:rPr>
        <w:t>小时环境浓度预测结果</w:t>
      </w:r>
    </w:p>
    <w:p>
      <w:pPr>
        <w:spacing w:line="240" w:lineRule="auto"/>
        <w:ind w:left="0" w:leftChars="0" w:firstLine="0" w:firstLineChars="0"/>
        <w:rPr>
          <w:rFonts w:hint="default" w:ascii="Times New Roman" w:hAnsi="Times New Roman" w:cs="Times New Roman"/>
          <w:color w:val="auto"/>
          <w:sz w:val="24"/>
          <w:szCs w:val="24"/>
        </w:rPr>
      </w:pPr>
      <w:r>
        <w:rPr>
          <w:rFonts w:hint="default" w:ascii="Times New Roman" w:hAnsi="Times New Roman" w:cs="Times New Roman"/>
          <w:color w:val="auto"/>
        </w:rPr>
        <w:drawing>
          <wp:inline distT="0" distB="0" distL="114300" distR="114300">
            <wp:extent cx="5337175" cy="3475355"/>
            <wp:effectExtent l="0" t="0" r="15875" b="1079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53"/>
                    <a:stretch>
                      <a:fillRect/>
                    </a:stretch>
                  </pic:blipFill>
                  <pic:spPr>
                    <a:xfrm>
                      <a:off x="0" y="0"/>
                      <a:ext cx="5337175" cy="3475355"/>
                    </a:xfrm>
                    <a:prstGeom prst="rect">
                      <a:avLst/>
                    </a:prstGeom>
                    <a:noFill/>
                    <a:ln w="9525">
                      <a:noFill/>
                    </a:ln>
                  </pic:spPr>
                </pic:pic>
              </a:graphicData>
            </a:graphic>
          </wp:inline>
        </w:drawing>
      </w:r>
    </w:p>
    <w:p>
      <w:pPr>
        <w:numPr>
          <w:ilvl w:val="0"/>
          <w:numId w:val="0"/>
        </w:numPr>
        <w:adjustRightInd w:val="0"/>
        <w:snapToGrid w:val="0"/>
        <w:spacing w:before="120" w:beforeLines="50" w:after="120" w:afterLines="50"/>
        <w:ind w:leftChars="200"/>
        <w:jc w:val="center"/>
        <w:rPr>
          <w:rFonts w:hint="default" w:ascii="Times New Roman" w:hAnsi="Times New Roman" w:cs="Times New Roman"/>
          <w:b/>
          <w:color w:val="auto"/>
          <w:szCs w:val="21"/>
        </w:rPr>
      </w:pPr>
      <w:r>
        <w:rPr>
          <w:rFonts w:hint="default" w:ascii="Times New Roman" w:hAnsi="Times New Roman" w:cs="Times New Roman"/>
          <w:b/>
          <w:color w:val="auto"/>
          <w:szCs w:val="21"/>
          <w:lang w:eastAsia="zh-CN"/>
        </w:rPr>
        <w:t>图</w:t>
      </w:r>
      <w:r>
        <w:rPr>
          <w:rFonts w:hint="default" w:ascii="Times New Roman" w:hAnsi="Times New Roman" w:cs="Times New Roman"/>
          <w:b/>
          <w:color w:val="auto"/>
          <w:szCs w:val="21"/>
          <w:lang w:val="en-US" w:eastAsia="zh-CN"/>
        </w:rPr>
        <w:t>5-</w:t>
      </w:r>
      <w:r>
        <w:rPr>
          <w:rFonts w:hint="eastAsia" w:cs="Times New Roman"/>
          <w:b/>
          <w:color w:val="auto"/>
          <w:szCs w:val="21"/>
          <w:lang w:val="en-US" w:eastAsia="zh-CN"/>
        </w:rPr>
        <w:t>6</w:t>
      </w:r>
      <w:r>
        <w:rPr>
          <w:rFonts w:hint="default" w:ascii="Times New Roman" w:hAnsi="Times New Roman" w:cs="Times New Roman"/>
          <w:b/>
          <w:color w:val="auto"/>
          <w:szCs w:val="21"/>
        </w:rPr>
        <w:t xml:space="preserve"> 叠加后H</w:t>
      </w:r>
      <w:r>
        <w:rPr>
          <w:rFonts w:hint="default" w:ascii="Times New Roman" w:hAnsi="Times New Roman" w:cs="Times New Roman"/>
          <w:b/>
          <w:color w:val="auto"/>
          <w:szCs w:val="21"/>
          <w:vertAlign w:val="subscript"/>
        </w:rPr>
        <w:t>2</w:t>
      </w:r>
      <w:r>
        <w:rPr>
          <w:rFonts w:hint="default" w:ascii="Times New Roman" w:hAnsi="Times New Roman" w:cs="Times New Roman"/>
          <w:b/>
          <w:color w:val="auto"/>
          <w:szCs w:val="21"/>
        </w:rPr>
        <w:t>S小时环境浓度预测结果</w:t>
      </w:r>
    </w:p>
    <w:p>
      <w:pPr>
        <w:spacing w:line="46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（3）区域环境质量变化预测</w:t>
      </w:r>
    </w:p>
    <w:p>
      <w:pPr>
        <w:spacing w:line="46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环境影响评价技术导则大气环境》（HJ2.2-2018），当无法获得不达标区规划达标年的区域污染源清单或预测浓度场时，可评价区域环境质量的整体变化情况。按下列公式计算实施区域削减后预测范围的年平均质量浓度变化率k，当k≤-20%时，可判定项目建设后区域环境质量得到整体改善。</w:t>
      </w:r>
    </w:p>
    <w:p>
      <w:pPr>
        <w:spacing w:line="46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k=[C</w:t>
      </w:r>
      <w:r>
        <w:rPr>
          <w:rFonts w:hint="default" w:ascii="Times New Roman" w:hAnsi="Times New Roman" w:cs="Times New Roman"/>
          <w:color w:val="auto"/>
          <w:sz w:val="24"/>
          <w:szCs w:val="24"/>
          <w:vertAlign w:val="subscript"/>
        </w:rPr>
        <w:t>拟建工程（a）</w:t>
      </w:r>
      <w:r>
        <w:rPr>
          <w:rFonts w:hint="default" w:ascii="Times New Roman" w:hAnsi="Times New Roman" w:cs="Times New Roman"/>
          <w:color w:val="auto"/>
          <w:sz w:val="24"/>
          <w:szCs w:val="24"/>
        </w:rPr>
        <w:t>—C</w:t>
      </w:r>
      <w:r>
        <w:rPr>
          <w:rFonts w:hint="default" w:ascii="Times New Roman" w:hAnsi="Times New Roman" w:cs="Times New Roman"/>
          <w:color w:val="auto"/>
          <w:sz w:val="24"/>
          <w:szCs w:val="24"/>
          <w:vertAlign w:val="subscript"/>
        </w:rPr>
        <w:t>区域削减（a）</w:t>
      </w:r>
      <w:r>
        <w:rPr>
          <w:rFonts w:hint="default" w:ascii="Times New Roman" w:hAnsi="Times New Roman" w:cs="Times New Roman"/>
          <w:color w:val="auto"/>
          <w:sz w:val="24"/>
          <w:szCs w:val="24"/>
        </w:rPr>
        <w:t>]/ C</w:t>
      </w:r>
      <w:r>
        <w:rPr>
          <w:rFonts w:hint="default" w:ascii="Times New Roman" w:hAnsi="Times New Roman" w:cs="Times New Roman"/>
          <w:color w:val="auto"/>
          <w:sz w:val="24"/>
          <w:szCs w:val="24"/>
          <w:vertAlign w:val="subscript"/>
        </w:rPr>
        <w:t>区域削减（a）</w:t>
      </w:r>
      <w:r>
        <w:rPr>
          <w:rFonts w:hint="default" w:ascii="Times New Roman" w:hAnsi="Times New Roman" w:cs="Times New Roman"/>
          <w:color w:val="auto"/>
          <w:sz w:val="24"/>
          <w:szCs w:val="24"/>
        </w:rPr>
        <w:t>×100%</w:t>
      </w:r>
    </w:p>
    <w:p>
      <w:pPr>
        <w:spacing w:line="46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式中：k—预测范围年平均质量浓度变化率，%；</w:t>
      </w:r>
    </w:p>
    <w:p>
      <w:pPr>
        <w:spacing w:line="46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w:t>
      </w:r>
      <w:r>
        <w:rPr>
          <w:rFonts w:hint="default" w:ascii="Times New Roman" w:hAnsi="Times New Roman" w:cs="Times New Roman"/>
          <w:color w:val="auto"/>
          <w:sz w:val="24"/>
          <w:szCs w:val="24"/>
          <w:vertAlign w:val="subscript"/>
        </w:rPr>
        <w:t>拟建工程（a）</w:t>
      </w:r>
      <w:r>
        <w:rPr>
          <w:rFonts w:hint="default" w:ascii="Times New Roman" w:hAnsi="Times New Roman" w:cs="Times New Roman"/>
          <w:color w:val="auto"/>
          <w:sz w:val="24"/>
          <w:szCs w:val="24"/>
        </w:rPr>
        <w:t>—拟建工程对所有网格点的年平均质量浓度贡献值的算数平均值，µg/m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pPr>
        <w:spacing w:line="46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w:t>
      </w:r>
      <w:r>
        <w:rPr>
          <w:rFonts w:hint="default" w:ascii="Times New Roman" w:hAnsi="Times New Roman" w:cs="Times New Roman"/>
          <w:color w:val="auto"/>
          <w:sz w:val="24"/>
          <w:szCs w:val="24"/>
          <w:vertAlign w:val="subscript"/>
        </w:rPr>
        <w:t>区域削减（a</w:t>
      </w:r>
      <w:r>
        <w:rPr>
          <w:rFonts w:hint="default" w:ascii="Times New Roman" w:hAnsi="Times New Roman" w:cs="Times New Roman"/>
          <w:color w:val="auto"/>
          <w:sz w:val="24"/>
          <w:szCs w:val="24"/>
        </w:rPr>
        <w:t>——区域削减污染源对所有网格点的年平均质量浓度贡献值的算数平均值，µg/m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拟建工程所在区域为不达标区，不达标因子为PM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根据</w:t>
      </w:r>
      <w:r>
        <w:rPr>
          <w:rFonts w:hint="default" w:ascii="Times New Roman" w:hAnsi="Times New Roman" w:cs="Times New Roman"/>
          <w:color w:val="auto"/>
          <w:sz w:val="24"/>
          <w:szCs w:val="24"/>
          <w:lang w:eastAsia="zh-CN"/>
        </w:rPr>
        <w:t>清丰县</w:t>
      </w:r>
      <w:r>
        <w:rPr>
          <w:rFonts w:hint="default" w:ascii="Times New Roman" w:hAnsi="Times New Roman" w:cs="Times New Roman"/>
          <w:color w:val="auto"/>
          <w:sz w:val="24"/>
          <w:szCs w:val="24"/>
        </w:rPr>
        <w:t>污染防治攻坚战三年行动计划实施方案（2018-2020年）》</w:t>
      </w:r>
      <w:r>
        <w:rPr>
          <w:rFonts w:hint="default" w:ascii="Times New Roman" w:hAnsi="Times New Roman" w:cs="Times New Roman"/>
          <w:bCs/>
          <w:color w:val="auto"/>
          <w:sz w:val="24"/>
          <w:szCs w:val="24"/>
        </w:rPr>
        <w:t>，文件中要求“加快推动城镇居民、公共服务、采暖等领域“气代煤”，鼓励发展燃气壁挂炉、燃气空调等采暖设施”。</w:t>
      </w:r>
      <w:r>
        <w:rPr>
          <w:rFonts w:hint="default" w:ascii="Times New Roman" w:hAnsi="Times New Roman" w:cs="Times New Roman"/>
          <w:bCs/>
          <w:color w:val="auto"/>
          <w:sz w:val="24"/>
          <w:szCs w:val="24"/>
          <w:lang w:eastAsia="zh-CN"/>
        </w:rPr>
        <w:t>清丰</w:t>
      </w:r>
      <w:r>
        <w:rPr>
          <w:rFonts w:hint="default" w:ascii="Times New Roman" w:hAnsi="Times New Roman" w:cs="Times New Roman"/>
          <w:bCs/>
          <w:color w:val="auto"/>
          <w:sz w:val="24"/>
          <w:szCs w:val="24"/>
        </w:rPr>
        <w:t>县2018</w:t>
      </w:r>
      <w:r>
        <w:rPr>
          <w:rFonts w:hint="default" w:ascii="Times New Roman" w:hAnsi="Times New Roman" w:cs="Times New Roman"/>
          <w:bCs/>
          <w:color w:val="auto"/>
          <w:sz w:val="24"/>
          <w:szCs w:val="24"/>
          <w:lang w:val="en-US" w:eastAsia="zh-CN"/>
        </w:rPr>
        <w:t>-2019</w:t>
      </w:r>
      <w:r>
        <w:rPr>
          <w:rFonts w:hint="default" w:ascii="Times New Roman" w:hAnsi="Times New Roman" w:cs="Times New Roman"/>
          <w:bCs/>
          <w:color w:val="auto"/>
          <w:sz w:val="24"/>
          <w:szCs w:val="24"/>
        </w:rPr>
        <w:t>年在各乡镇均开展了煤改电、煤改气工作</w:t>
      </w:r>
      <w:r>
        <w:rPr>
          <w:rFonts w:hint="default" w:ascii="Times New Roman" w:hAnsi="Times New Roman" w:cs="Times New Roman"/>
          <w:bCs/>
          <w:color w:val="auto"/>
          <w:sz w:val="24"/>
          <w:szCs w:val="24"/>
          <w:lang w:eastAsia="zh-CN"/>
        </w:rPr>
        <w:t>，减少了用煤量</w:t>
      </w:r>
      <w:r>
        <w:rPr>
          <w:rFonts w:hint="default" w:ascii="Times New Roman" w:hAnsi="Times New Roman" w:cs="Times New Roman"/>
          <w:color w:val="auto"/>
          <w:sz w:val="24"/>
          <w:szCs w:val="24"/>
        </w:rPr>
        <w:t>。</w:t>
      </w:r>
    </w:p>
    <w:p>
      <w:pPr>
        <w:keepNext w:val="0"/>
        <w:keepLines w:val="0"/>
        <w:pageBreakBefore w:val="0"/>
        <w:widowControl w:val="0"/>
        <w:tabs>
          <w:tab w:val="left" w:pos="1560"/>
          <w:tab w:val="left" w:pos="5460"/>
        </w:tabs>
        <w:kinsoku/>
        <w:wordWrap/>
        <w:overflowPunct/>
        <w:topLinePunct w:val="0"/>
        <w:autoSpaceDE/>
        <w:autoSpaceDN/>
        <w:bidi w:val="0"/>
        <w:adjustRightInd w:val="0"/>
        <w:snapToGrid w:val="0"/>
        <w:spacing w:line="360" w:lineRule="auto"/>
        <w:textAlignment w:val="auto"/>
        <w:outlineLvl w:val="3"/>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lang w:eastAsia="zh-CN"/>
        </w:rPr>
        <w:t>（四）</w:t>
      </w:r>
      <w:r>
        <w:rPr>
          <w:rFonts w:hint="default" w:ascii="Times New Roman" w:hAnsi="Times New Roman" w:cs="Times New Roman"/>
          <w:b/>
          <w:bCs/>
          <w:color w:val="auto"/>
          <w:sz w:val="24"/>
          <w:szCs w:val="24"/>
          <w:u w:val="single"/>
        </w:rPr>
        <w:t>特征污染物厂界浓度达标情况分析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厂界受体浓度最大贡献值见表5.</w:t>
      </w:r>
      <w:r>
        <w:rPr>
          <w:rFonts w:hint="default" w:ascii="Times New Roman" w:hAnsi="Times New Roman" w:cs="Times New Roman"/>
          <w:b/>
          <w:bCs/>
          <w:color w:val="auto"/>
          <w:sz w:val="24"/>
          <w:szCs w:val="24"/>
          <w:u w:val="single"/>
          <w:lang w:val="en-US" w:eastAsia="zh-CN"/>
        </w:rPr>
        <w:t>2-</w:t>
      </w:r>
      <w:r>
        <w:rPr>
          <w:rFonts w:hint="eastAsia" w:cs="Times New Roman"/>
          <w:b/>
          <w:bCs/>
          <w:color w:val="auto"/>
          <w:sz w:val="24"/>
          <w:szCs w:val="24"/>
          <w:u w:val="single"/>
          <w:lang w:val="en-US" w:eastAsia="zh-CN"/>
        </w:rPr>
        <w:t>18</w:t>
      </w:r>
      <w:r>
        <w:rPr>
          <w:rFonts w:hint="default" w:ascii="Times New Roman" w:hAnsi="Times New Roman" w:cs="Times New Roman"/>
          <w:b/>
          <w:bCs/>
          <w:color w:val="auto"/>
          <w:sz w:val="24"/>
          <w:szCs w:val="24"/>
          <w:u w:val="single"/>
        </w:rPr>
        <w:t>。</w:t>
      </w:r>
    </w:p>
    <w:p>
      <w:pPr>
        <w:numPr>
          <w:ilvl w:val="0"/>
          <w:numId w:val="0"/>
        </w:numPr>
        <w:spacing w:before="120" w:beforeLines="50" w:after="120" w:afterLines="50"/>
        <w:ind w:leftChars="200"/>
        <w:jc w:val="left"/>
        <w:rPr>
          <w:rFonts w:hint="default" w:ascii="Times New Roman" w:hAnsi="Times New Roman" w:cs="Times New Roman"/>
          <w:b/>
          <w:bCs/>
          <w:color w:val="auto"/>
          <w:szCs w:val="21"/>
          <w:u w:val="single"/>
        </w:rPr>
      </w:pPr>
      <w:r>
        <w:rPr>
          <w:rFonts w:hint="default" w:ascii="Times New Roman" w:hAnsi="Times New Roman" w:cs="Times New Roman"/>
          <w:b/>
          <w:bCs/>
          <w:color w:val="auto"/>
          <w:szCs w:val="21"/>
          <w:u w:val="single"/>
          <w:lang w:eastAsia="zh-CN"/>
        </w:rPr>
        <w:t>表</w:t>
      </w:r>
      <w:r>
        <w:rPr>
          <w:rFonts w:hint="default" w:ascii="Times New Roman" w:hAnsi="Times New Roman" w:cs="Times New Roman"/>
          <w:b/>
          <w:bCs/>
          <w:color w:val="auto"/>
          <w:szCs w:val="21"/>
          <w:u w:val="single"/>
          <w:lang w:val="en-US" w:eastAsia="zh-CN"/>
        </w:rPr>
        <w:t>5.2-</w:t>
      </w:r>
      <w:r>
        <w:rPr>
          <w:rFonts w:hint="eastAsia" w:cs="Times New Roman"/>
          <w:b/>
          <w:bCs/>
          <w:color w:val="auto"/>
          <w:szCs w:val="21"/>
          <w:u w:val="single"/>
          <w:lang w:val="en-US" w:eastAsia="zh-CN"/>
        </w:rPr>
        <w:t>18</w:t>
      </w:r>
      <w:r>
        <w:rPr>
          <w:rFonts w:hint="default" w:ascii="Times New Roman" w:hAnsi="Times New Roman" w:cs="Times New Roman"/>
          <w:b/>
          <w:bCs/>
          <w:color w:val="auto"/>
          <w:szCs w:val="21"/>
          <w:u w:val="single"/>
        </w:rPr>
        <w:t xml:space="preserve">       厂界受体浓度最大贡献值一览表        单位：mg/m</w:t>
      </w:r>
      <w:r>
        <w:rPr>
          <w:rFonts w:hint="default" w:ascii="Times New Roman" w:hAnsi="Times New Roman" w:cs="Times New Roman"/>
          <w:b/>
          <w:bCs/>
          <w:color w:val="auto"/>
          <w:szCs w:val="21"/>
          <w:u w:val="single"/>
          <w:vertAlign w:val="superscript"/>
        </w:rPr>
        <w:t>3</w:t>
      </w:r>
    </w:p>
    <w:tbl>
      <w:tblPr>
        <w:tblStyle w:val="25"/>
        <w:tblW w:w="8728"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511"/>
        <w:gridCol w:w="3113"/>
        <w:gridCol w:w="3104"/>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11" w:type="dxa"/>
            <w:noWrap w:val="0"/>
            <w:vAlign w:val="center"/>
          </w:tcPr>
          <w:p>
            <w:pPr>
              <w:kinsoku w:val="0"/>
              <w:overflowPunct w:val="0"/>
              <w:autoSpaceDE w:val="0"/>
              <w:autoSpaceDN w:val="0"/>
              <w:adjustRightInd w:val="0"/>
              <w:spacing w:line="240" w:lineRule="auto"/>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污染物</w:t>
            </w:r>
          </w:p>
        </w:tc>
        <w:tc>
          <w:tcPr>
            <w:tcW w:w="3113" w:type="dxa"/>
            <w:noWrap w:val="0"/>
            <w:vAlign w:val="center"/>
          </w:tcPr>
          <w:p>
            <w:pPr>
              <w:kinsoku w:val="0"/>
              <w:overflowPunct w:val="0"/>
              <w:autoSpaceDE w:val="0"/>
              <w:autoSpaceDN w:val="0"/>
              <w:adjustRightInd w:val="0"/>
              <w:spacing w:line="240" w:lineRule="auto"/>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NH</w:t>
            </w:r>
            <w:r>
              <w:rPr>
                <w:rFonts w:hint="default" w:ascii="Times New Roman" w:hAnsi="Times New Roman" w:cs="Times New Roman"/>
                <w:b/>
                <w:bCs/>
                <w:color w:val="auto"/>
                <w:kern w:val="0"/>
                <w:sz w:val="21"/>
                <w:szCs w:val="21"/>
                <w:u w:val="single"/>
                <w:vertAlign w:val="subscript"/>
              </w:rPr>
              <w:t>3</w:t>
            </w:r>
          </w:p>
        </w:tc>
        <w:tc>
          <w:tcPr>
            <w:tcW w:w="3104" w:type="dxa"/>
            <w:noWrap w:val="0"/>
            <w:vAlign w:val="center"/>
          </w:tcPr>
          <w:p>
            <w:pPr>
              <w:kinsoku w:val="0"/>
              <w:overflowPunct w:val="0"/>
              <w:autoSpaceDE w:val="0"/>
              <w:autoSpaceDN w:val="0"/>
              <w:adjustRightInd w:val="0"/>
              <w:spacing w:line="240" w:lineRule="auto"/>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H</w:t>
            </w:r>
            <w:r>
              <w:rPr>
                <w:rFonts w:hint="default" w:ascii="Times New Roman" w:hAnsi="Times New Roman" w:cs="Times New Roman"/>
                <w:b/>
                <w:bCs/>
                <w:color w:val="auto"/>
                <w:kern w:val="0"/>
                <w:sz w:val="21"/>
                <w:szCs w:val="21"/>
                <w:u w:val="single"/>
                <w:vertAlign w:val="subscript"/>
              </w:rPr>
              <w:t>2</w:t>
            </w:r>
            <w:r>
              <w:rPr>
                <w:rFonts w:hint="default" w:ascii="Times New Roman" w:hAnsi="Times New Roman" w:cs="Times New Roman"/>
                <w:b/>
                <w:bCs/>
                <w:color w:val="auto"/>
                <w:kern w:val="0"/>
                <w:sz w:val="21"/>
                <w:szCs w:val="21"/>
                <w:u w:val="single"/>
              </w:rPr>
              <w:t>S</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11" w:type="dxa"/>
            <w:noWrap w:val="0"/>
            <w:vAlign w:val="center"/>
          </w:tcPr>
          <w:p>
            <w:pPr>
              <w:kinsoku w:val="0"/>
              <w:overflowPunct w:val="0"/>
              <w:autoSpaceDE w:val="0"/>
              <w:autoSpaceDN w:val="0"/>
              <w:adjustRightInd w:val="0"/>
              <w:spacing w:line="240" w:lineRule="auto"/>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最大值</w:t>
            </w:r>
          </w:p>
        </w:tc>
        <w:tc>
          <w:tcPr>
            <w:tcW w:w="3113" w:type="dxa"/>
            <w:noWrap w:val="0"/>
            <w:vAlign w:val="center"/>
          </w:tcPr>
          <w:p>
            <w:pPr>
              <w:spacing w:line="240" w:lineRule="auto"/>
              <w:jc w:val="center"/>
              <w:rPr>
                <w:rFonts w:hint="default" w:ascii="Times New Roman" w:hAnsi="Times New Roman" w:eastAsia="宋体" w:cs="Times New Roman"/>
                <w:b/>
                <w:bCs/>
                <w:color w:val="auto"/>
                <w:kern w:val="0"/>
                <w:sz w:val="21"/>
                <w:szCs w:val="21"/>
                <w:u w:val="single"/>
                <w:lang w:val="en-US" w:eastAsia="zh-CN"/>
              </w:rPr>
            </w:pPr>
            <w:r>
              <w:rPr>
                <w:rFonts w:hint="default" w:ascii="Times New Roman" w:hAnsi="Times New Roman" w:cs="Times New Roman"/>
                <w:b/>
                <w:bCs/>
                <w:color w:val="auto"/>
                <w:kern w:val="0"/>
                <w:sz w:val="21"/>
                <w:szCs w:val="21"/>
                <w:u w:val="single"/>
              </w:rPr>
              <w:t>0.0</w:t>
            </w:r>
            <w:r>
              <w:rPr>
                <w:rFonts w:hint="default" w:ascii="Times New Roman" w:hAnsi="Times New Roman" w:cs="Times New Roman"/>
                <w:b/>
                <w:bCs/>
                <w:color w:val="auto"/>
                <w:kern w:val="0"/>
                <w:sz w:val="21"/>
                <w:szCs w:val="21"/>
                <w:u w:val="single"/>
                <w:lang w:val="en-US" w:eastAsia="zh-CN"/>
              </w:rPr>
              <w:t>36</w:t>
            </w:r>
          </w:p>
        </w:tc>
        <w:tc>
          <w:tcPr>
            <w:tcW w:w="3104" w:type="dxa"/>
            <w:noWrap w:val="0"/>
            <w:vAlign w:val="center"/>
          </w:tcPr>
          <w:p>
            <w:pPr>
              <w:spacing w:line="240" w:lineRule="auto"/>
              <w:jc w:val="center"/>
              <w:rPr>
                <w:rFonts w:hint="default" w:ascii="Times New Roman" w:hAnsi="Times New Roman" w:eastAsia="宋体" w:cs="Times New Roman"/>
                <w:b/>
                <w:bCs/>
                <w:color w:val="auto"/>
                <w:kern w:val="0"/>
                <w:sz w:val="21"/>
                <w:szCs w:val="21"/>
                <w:u w:val="single"/>
                <w:lang w:val="en-US" w:eastAsia="zh-CN"/>
              </w:rPr>
            </w:pPr>
            <w:r>
              <w:rPr>
                <w:rFonts w:hint="default" w:ascii="Times New Roman" w:hAnsi="Times New Roman" w:cs="Times New Roman"/>
                <w:b/>
                <w:bCs/>
                <w:color w:val="auto"/>
                <w:kern w:val="0"/>
                <w:sz w:val="21"/>
                <w:szCs w:val="21"/>
                <w:u w:val="single"/>
              </w:rPr>
              <w:t>0.00</w:t>
            </w:r>
            <w:r>
              <w:rPr>
                <w:rFonts w:hint="default" w:ascii="Times New Roman" w:hAnsi="Times New Roman" w:cs="Times New Roman"/>
                <w:b/>
                <w:bCs/>
                <w:color w:val="auto"/>
                <w:kern w:val="0"/>
                <w:sz w:val="21"/>
                <w:szCs w:val="21"/>
                <w:u w:val="single"/>
                <w:lang w:val="en-US" w:eastAsia="zh-CN"/>
              </w:rPr>
              <w:t>22</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11" w:type="dxa"/>
            <w:noWrap w:val="0"/>
            <w:vAlign w:val="center"/>
          </w:tcPr>
          <w:p>
            <w:pPr>
              <w:kinsoku w:val="0"/>
              <w:overflowPunct w:val="0"/>
              <w:autoSpaceDE w:val="0"/>
              <w:autoSpaceDN w:val="0"/>
              <w:adjustRightInd w:val="0"/>
              <w:spacing w:line="240" w:lineRule="auto"/>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厂界标准</w:t>
            </w:r>
          </w:p>
        </w:tc>
        <w:tc>
          <w:tcPr>
            <w:tcW w:w="3113" w:type="dxa"/>
            <w:noWrap w:val="0"/>
            <w:vAlign w:val="center"/>
          </w:tcPr>
          <w:p>
            <w:pPr>
              <w:spacing w:line="240" w:lineRule="auto"/>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1.5</w:t>
            </w:r>
          </w:p>
        </w:tc>
        <w:tc>
          <w:tcPr>
            <w:tcW w:w="3104" w:type="dxa"/>
            <w:noWrap w:val="0"/>
            <w:vAlign w:val="center"/>
          </w:tcPr>
          <w:p>
            <w:pPr>
              <w:spacing w:line="240" w:lineRule="auto"/>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0.06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511" w:type="dxa"/>
            <w:noWrap w:val="0"/>
            <w:vAlign w:val="center"/>
          </w:tcPr>
          <w:p>
            <w:pPr>
              <w:kinsoku w:val="0"/>
              <w:overflowPunct w:val="0"/>
              <w:autoSpaceDE w:val="0"/>
              <w:autoSpaceDN w:val="0"/>
              <w:adjustRightInd w:val="0"/>
              <w:spacing w:line="240" w:lineRule="auto"/>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达标分析</w:t>
            </w:r>
          </w:p>
        </w:tc>
        <w:tc>
          <w:tcPr>
            <w:tcW w:w="3113" w:type="dxa"/>
            <w:noWrap w:val="0"/>
            <w:vAlign w:val="center"/>
          </w:tcPr>
          <w:p>
            <w:pPr>
              <w:kinsoku w:val="0"/>
              <w:overflowPunct w:val="0"/>
              <w:autoSpaceDE w:val="0"/>
              <w:autoSpaceDN w:val="0"/>
              <w:adjustRightInd w:val="0"/>
              <w:spacing w:line="240" w:lineRule="auto"/>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达标</w:t>
            </w:r>
          </w:p>
        </w:tc>
        <w:tc>
          <w:tcPr>
            <w:tcW w:w="3104" w:type="dxa"/>
            <w:noWrap w:val="0"/>
            <w:vAlign w:val="center"/>
          </w:tcPr>
          <w:p>
            <w:pPr>
              <w:kinsoku w:val="0"/>
              <w:overflowPunct w:val="0"/>
              <w:autoSpaceDE w:val="0"/>
              <w:autoSpaceDN w:val="0"/>
              <w:adjustRightInd w:val="0"/>
              <w:spacing w:line="240" w:lineRule="auto"/>
              <w:jc w:val="center"/>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达标</w:t>
            </w:r>
          </w:p>
        </w:tc>
      </w:tr>
    </w:tbl>
    <w:p>
      <w:pPr>
        <w:spacing w:line="360" w:lineRule="auto"/>
        <w:ind w:firstLine="482" w:firstLineChars="200"/>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由上表可知：NH</w:t>
      </w:r>
      <w:r>
        <w:rPr>
          <w:rFonts w:hint="default" w:ascii="Times New Roman" w:hAnsi="Times New Roman" w:cs="Times New Roman"/>
          <w:b/>
          <w:bCs/>
          <w:color w:val="auto"/>
          <w:sz w:val="24"/>
          <w:szCs w:val="24"/>
          <w:u w:val="single"/>
          <w:vertAlign w:val="subscript"/>
        </w:rPr>
        <w:t>3</w:t>
      </w:r>
      <w:r>
        <w:rPr>
          <w:rFonts w:hint="default" w:ascii="Times New Roman" w:hAnsi="Times New Roman" w:cs="Times New Roman"/>
          <w:b/>
          <w:bCs/>
          <w:color w:val="auto"/>
          <w:sz w:val="24"/>
          <w:szCs w:val="24"/>
          <w:u w:val="single"/>
        </w:rPr>
        <w:t>、H</w:t>
      </w:r>
      <w:r>
        <w:rPr>
          <w:rFonts w:hint="default" w:ascii="Times New Roman" w:hAnsi="Times New Roman" w:cs="Times New Roman"/>
          <w:b/>
          <w:bCs/>
          <w:color w:val="auto"/>
          <w:sz w:val="24"/>
          <w:szCs w:val="24"/>
          <w:u w:val="single"/>
          <w:vertAlign w:val="subscript"/>
        </w:rPr>
        <w:t>2</w:t>
      </w:r>
      <w:r>
        <w:rPr>
          <w:rFonts w:hint="default" w:ascii="Times New Roman" w:hAnsi="Times New Roman" w:cs="Times New Roman"/>
          <w:b/>
          <w:bCs/>
          <w:color w:val="auto"/>
          <w:sz w:val="24"/>
          <w:szCs w:val="24"/>
          <w:u w:val="single"/>
        </w:rPr>
        <w:t>S小于《恶臭污染物排放标准》（GB14554-1993）二级新改扩建厂界浓度限值的规定，厂界浓度达标。</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（五）污染物排放核算结果</w:t>
      </w:r>
    </w:p>
    <w:p>
      <w:pPr>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根据《环境影响评价技术导则大气环境》（HJ2.2-2018）要求，按照环评审批要求和排污许可证申请和核发要求，给出污染物核算结果，见下表。</w:t>
      </w:r>
    </w:p>
    <w:p>
      <w:pPr>
        <w:ind w:firstLine="482"/>
        <w:jc w:val="center"/>
        <w:rPr>
          <w:rFonts w:hint="default" w:ascii="Times New Roman" w:hAnsi="Times New Roman" w:cs="Times New Roman"/>
          <w:b/>
          <w:bCs/>
          <w:color w:val="auto"/>
        </w:rPr>
      </w:pPr>
      <w:r>
        <w:rPr>
          <w:rFonts w:hint="default" w:ascii="Times New Roman" w:hAnsi="Times New Roman" w:cs="Times New Roman"/>
          <w:b/>
          <w:bCs/>
          <w:color w:val="auto"/>
        </w:rPr>
        <w:t>表5.2-</w:t>
      </w:r>
      <w:r>
        <w:rPr>
          <w:rFonts w:hint="eastAsia" w:cs="Times New Roman"/>
          <w:b/>
          <w:bCs/>
          <w:color w:val="auto"/>
          <w:lang w:val="en-US" w:eastAsia="zh-CN"/>
        </w:rPr>
        <w:t>19</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rPr>
        <w:t xml:space="preserve"> 大气污染物</w:t>
      </w:r>
      <w:r>
        <w:rPr>
          <w:rFonts w:hint="default" w:ascii="Times New Roman" w:hAnsi="Times New Roman" w:cs="Times New Roman"/>
          <w:b/>
          <w:bCs/>
          <w:color w:val="auto"/>
          <w:lang w:eastAsia="zh-CN"/>
        </w:rPr>
        <w:t>无</w:t>
      </w:r>
      <w:r>
        <w:rPr>
          <w:rFonts w:hint="default" w:ascii="Times New Roman" w:hAnsi="Times New Roman" w:cs="Times New Roman"/>
          <w:b/>
          <w:bCs/>
          <w:color w:val="auto"/>
        </w:rPr>
        <w:t>组织排放核算表</w:t>
      </w:r>
    </w:p>
    <w:tbl>
      <w:tblPr>
        <w:tblStyle w:val="26"/>
        <w:tblW w:w="921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2"/>
        <w:gridCol w:w="705"/>
        <w:gridCol w:w="1783"/>
        <w:gridCol w:w="862"/>
        <w:gridCol w:w="1332"/>
        <w:gridCol w:w="1733"/>
        <w:gridCol w:w="1113"/>
        <w:gridCol w:w="129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2" w:type="dxa"/>
            <w:vMerge w:val="restart"/>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bookmarkStart w:id="538" w:name="_Ref488964738"/>
            <w:r>
              <w:rPr>
                <w:rFonts w:hint="default" w:ascii="Times New Roman" w:hAnsi="Times New Roman" w:cs="Times New Roman"/>
                <w:color w:val="auto"/>
                <w:kern w:val="10"/>
                <w:sz w:val="21"/>
                <w:szCs w:val="21"/>
                <w:highlight w:val="none"/>
                <w:lang w:val="en-US" w:eastAsia="zh-CN"/>
              </w:rPr>
              <w:t>序号</w:t>
            </w:r>
          </w:p>
        </w:tc>
        <w:tc>
          <w:tcPr>
            <w:tcW w:w="705" w:type="dxa"/>
            <w:vMerge w:val="restart"/>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排放口编号</w:t>
            </w:r>
          </w:p>
        </w:tc>
        <w:tc>
          <w:tcPr>
            <w:tcW w:w="1783" w:type="dxa"/>
            <w:vMerge w:val="restart"/>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eastAsia="zh-CN"/>
              </w:rPr>
            </w:pPr>
            <w:r>
              <w:rPr>
                <w:rFonts w:hint="default" w:ascii="Times New Roman" w:hAnsi="Times New Roman" w:cs="Times New Roman"/>
                <w:color w:val="auto"/>
                <w:kern w:val="10"/>
                <w:sz w:val="21"/>
                <w:szCs w:val="21"/>
                <w:highlight w:val="none"/>
                <w:lang w:eastAsia="zh-CN"/>
              </w:rPr>
              <w:t>产污环节</w:t>
            </w:r>
          </w:p>
        </w:tc>
        <w:tc>
          <w:tcPr>
            <w:tcW w:w="862" w:type="dxa"/>
            <w:vMerge w:val="restart"/>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eastAsia="zh-CN"/>
              </w:rPr>
            </w:pPr>
            <w:r>
              <w:rPr>
                <w:rFonts w:hint="default" w:ascii="Times New Roman" w:hAnsi="Times New Roman" w:cs="Times New Roman"/>
                <w:color w:val="auto"/>
                <w:kern w:val="10"/>
                <w:sz w:val="21"/>
                <w:szCs w:val="21"/>
                <w:highlight w:val="none"/>
                <w:lang w:eastAsia="zh-CN"/>
              </w:rPr>
              <w:t>污染物</w:t>
            </w:r>
          </w:p>
        </w:tc>
        <w:tc>
          <w:tcPr>
            <w:tcW w:w="1332" w:type="dxa"/>
            <w:vMerge w:val="restart"/>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eastAsia="zh-CN"/>
              </w:rPr>
            </w:pPr>
            <w:r>
              <w:rPr>
                <w:rFonts w:hint="default" w:ascii="Times New Roman" w:hAnsi="Times New Roman" w:cs="Times New Roman"/>
                <w:color w:val="auto"/>
                <w:kern w:val="10"/>
                <w:sz w:val="21"/>
                <w:szCs w:val="21"/>
                <w:highlight w:val="none"/>
                <w:lang w:eastAsia="zh-CN"/>
              </w:rPr>
              <w:t>主要污染防治措施</w:t>
            </w:r>
          </w:p>
        </w:tc>
        <w:tc>
          <w:tcPr>
            <w:tcW w:w="2846" w:type="dxa"/>
            <w:gridSpan w:val="2"/>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国家或地方污染物排放标准</w:t>
            </w:r>
          </w:p>
        </w:tc>
        <w:tc>
          <w:tcPr>
            <w:tcW w:w="1291" w:type="dxa"/>
            <w:vMerge w:val="restart"/>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年排放量（t/a）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2"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rPr>
            </w:pPr>
          </w:p>
        </w:tc>
        <w:tc>
          <w:tcPr>
            <w:tcW w:w="705"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rPr>
            </w:pPr>
          </w:p>
        </w:tc>
        <w:tc>
          <w:tcPr>
            <w:tcW w:w="1783"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rPr>
            </w:pPr>
          </w:p>
        </w:tc>
        <w:tc>
          <w:tcPr>
            <w:tcW w:w="862"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rPr>
            </w:pPr>
          </w:p>
        </w:tc>
        <w:tc>
          <w:tcPr>
            <w:tcW w:w="1332"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rPr>
            </w:pPr>
          </w:p>
        </w:tc>
        <w:tc>
          <w:tcPr>
            <w:tcW w:w="1733"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eastAsia="zh-CN"/>
              </w:rPr>
            </w:pPr>
            <w:r>
              <w:rPr>
                <w:rFonts w:hint="default" w:ascii="Times New Roman" w:hAnsi="Times New Roman" w:cs="Times New Roman"/>
                <w:color w:val="auto"/>
                <w:kern w:val="10"/>
                <w:sz w:val="21"/>
                <w:szCs w:val="21"/>
                <w:highlight w:val="none"/>
                <w:lang w:eastAsia="zh-CN"/>
              </w:rPr>
              <w:t>标准名称</w:t>
            </w:r>
          </w:p>
        </w:tc>
        <w:tc>
          <w:tcPr>
            <w:tcW w:w="1113"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eastAsia="zh-CN"/>
              </w:rPr>
            </w:pPr>
            <w:r>
              <w:rPr>
                <w:rFonts w:hint="default" w:ascii="Times New Roman" w:hAnsi="Times New Roman" w:cs="Times New Roman"/>
                <w:color w:val="auto"/>
                <w:kern w:val="10"/>
                <w:sz w:val="21"/>
                <w:szCs w:val="21"/>
                <w:highlight w:val="none"/>
                <w:lang w:eastAsia="zh-CN"/>
              </w:rPr>
              <w:t>浓度限值（</w:t>
            </w:r>
            <w:r>
              <w:rPr>
                <w:rFonts w:hint="default" w:ascii="Times New Roman" w:hAnsi="Times New Roman" w:cs="Times New Roman"/>
                <w:color w:val="auto"/>
                <w:kern w:val="10"/>
                <w:sz w:val="21"/>
                <w:szCs w:val="21"/>
                <w:highlight w:val="none"/>
                <w:lang w:val="en-US" w:eastAsia="zh-CN"/>
              </w:rPr>
              <w:t>μg/m</w:t>
            </w:r>
            <w:r>
              <w:rPr>
                <w:rFonts w:hint="default" w:ascii="Times New Roman" w:hAnsi="Times New Roman" w:cs="Times New Roman"/>
                <w:color w:val="auto"/>
                <w:kern w:val="10"/>
                <w:sz w:val="21"/>
                <w:szCs w:val="21"/>
                <w:highlight w:val="none"/>
                <w:vertAlign w:val="superscript"/>
                <w:lang w:val="en-US" w:eastAsia="zh-CN"/>
              </w:rPr>
              <w:t>3</w:t>
            </w:r>
            <w:r>
              <w:rPr>
                <w:rFonts w:hint="default" w:ascii="Times New Roman" w:hAnsi="Times New Roman" w:cs="Times New Roman"/>
                <w:color w:val="auto"/>
                <w:kern w:val="10"/>
                <w:sz w:val="21"/>
                <w:szCs w:val="21"/>
                <w:highlight w:val="none"/>
                <w:lang w:eastAsia="zh-CN"/>
              </w:rPr>
              <w:t>）</w:t>
            </w:r>
          </w:p>
        </w:tc>
        <w:tc>
          <w:tcPr>
            <w:tcW w:w="12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bCs w:val="0"/>
                <w:color w:val="auto"/>
                <w:sz w:val="20"/>
                <w:szCs w:val="20"/>
                <w:highlight w:val="none"/>
                <w:u w:val="none"/>
                <w:vertAlign w:val="baseli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2" w:type="dxa"/>
            <w:vMerge w:val="restart"/>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1</w:t>
            </w:r>
          </w:p>
        </w:tc>
        <w:tc>
          <w:tcPr>
            <w:tcW w:w="705" w:type="dxa"/>
            <w:vMerge w:val="restart"/>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a</w:t>
            </w:r>
          </w:p>
        </w:tc>
        <w:tc>
          <w:tcPr>
            <w:tcW w:w="1783" w:type="dxa"/>
            <w:vMerge w:val="restart"/>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eastAsia="zh-CN"/>
              </w:rPr>
            </w:pPr>
            <w:r>
              <w:rPr>
                <w:rFonts w:hint="default" w:ascii="Times New Roman" w:hAnsi="Times New Roman" w:cs="Times New Roman"/>
                <w:color w:val="auto"/>
                <w:kern w:val="10"/>
                <w:sz w:val="21"/>
                <w:szCs w:val="21"/>
                <w:highlight w:val="none"/>
                <w:lang w:val="en-US" w:eastAsia="zh-CN"/>
              </w:rPr>
              <w:t>猪舍</w:t>
            </w:r>
          </w:p>
        </w:tc>
        <w:tc>
          <w:tcPr>
            <w:tcW w:w="862"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NH</w:t>
            </w:r>
            <w:r>
              <w:rPr>
                <w:rFonts w:hint="default" w:ascii="Times New Roman" w:hAnsi="Times New Roman" w:cs="Times New Roman"/>
                <w:color w:val="auto"/>
                <w:kern w:val="10"/>
                <w:sz w:val="21"/>
                <w:szCs w:val="21"/>
                <w:highlight w:val="none"/>
                <w:vertAlign w:val="subscript"/>
                <w:lang w:val="en-US" w:eastAsia="zh-CN"/>
              </w:rPr>
              <w:t>3</w:t>
            </w:r>
          </w:p>
        </w:tc>
        <w:tc>
          <w:tcPr>
            <w:tcW w:w="1332" w:type="dxa"/>
            <w:vMerge w:val="restart"/>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eastAsia="zh-CN"/>
              </w:rPr>
            </w:pPr>
            <w:r>
              <w:rPr>
                <w:rFonts w:hint="default" w:ascii="Times New Roman" w:hAnsi="Times New Roman" w:cs="Times New Roman"/>
                <w:color w:val="auto"/>
                <w:kern w:val="10"/>
                <w:sz w:val="21"/>
                <w:szCs w:val="21"/>
                <w:highlight w:val="none"/>
                <w:lang w:eastAsia="zh-CN"/>
              </w:rPr>
              <w:t>喷洒除臭剂、厂区绿化、改善饲料配方等</w:t>
            </w:r>
          </w:p>
        </w:tc>
        <w:tc>
          <w:tcPr>
            <w:tcW w:w="1733" w:type="dxa"/>
            <w:vMerge w:val="restart"/>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eastAsia="zh-CN"/>
              </w:rPr>
            </w:pPr>
            <w:r>
              <w:rPr>
                <w:rFonts w:hint="default" w:ascii="Times New Roman" w:hAnsi="Times New Roman" w:cs="Times New Roman"/>
                <w:color w:val="auto"/>
                <w:kern w:val="10"/>
                <w:sz w:val="21"/>
                <w:szCs w:val="21"/>
                <w:highlight w:val="none"/>
                <w:lang w:eastAsia="zh-CN"/>
              </w:rPr>
              <w:t>《</w:t>
            </w:r>
            <w:r>
              <w:rPr>
                <w:rFonts w:hint="default" w:ascii="Times New Roman" w:hAnsi="Times New Roman" w:cs="Times New Roman"/>
                <w:color w:val="auto"/>
                <w:kern w:val="10"/>
                <w:sz w:val="21"/>
                <w:szCs w:val="21"/>
                <w:highlight w:val="none"/>
              </w:rPr>
              <w:t>恶臭污染物排放标准》（GB14554-93）</w:t>
            </w:r>
          </w:p>
        </w:tc>
        <w:tc>
          <w:tcPr>
            <w:tcW w:w="1113"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1500</w:t>
            </w:r>
          </w:p>
        </w:tc>
        <w:tc>
          <w:tcPr>
            <w:tcW w:w="1291"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0.215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92"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p>
        </w:tc>
        <w:tc>
          <w:tcPr>
            <w:tcW w:w="705"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p>
        </w:tc>
        <w:tc>
          <w:tcPr>
            <w:tcW w:w="1783"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eastAsia="zh-CN"/>
              </w:rPr>
            </w:pPr>
          </w:p>
        </w:tc>
        <w:tc>
          <w:tcPr>
            <w:tcW w:w="862"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H</w:t>
            </w:r>
            <w:r>
              <w:rPr>
                <w:rFonts w:hint="default" w:ascii="Times New Roman" w:hAnsi="Times New Roman" w:cs="Times New Roman"/>
                <w:color w:val="auto"/>
                <w:kern w:val="10"/>
                <w:sz w:val="21"/>
                <w:szCs w:val="21"/>
                <w:highlight w:val="none"/>
                <w:vertAlign w:val="subscript"/>
                <w:lang w:val="en-US" w:eastAsia="zh-CN"/>
              </w:rPr>
              <w:t>2</w:t>
            </w:r>
            <w:r>
              <w:rPr>
                <w:rFonts w:hint="default" w:ascii="Times New Roman" w:hAnsi="Times New Roman" w:cs="Times New Roman"/>
                <w:color w:val="auto"/>
                <w:kern w:val="10"/>
                <w:sz w:val="21"/>
                <w:szCs w:val="21"/>
                <w:highlight w:val="none"/>
                <w:lang w:val="en-US" w:eastAsia="zh-CN"/>
              </w:rPr>
              <w:t>S</w:t>
            </w:r>
          </w:p>
        </w:tc>
        <w:tc>
          <w:tcPr>
            <w:tcW w:w="1332"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eastAsia="zh-CN"/>
              </w:rPr>
            </w:pPr>
          </w:p>
        </w:tc>
        <w:tc>
          <w:tcPr>
            <w:tcW w:w="1733"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eastAsia="zh-CN"/>
              </w:rPr>
            </w:pPr>
          </w:p>
        </w:tc>
        <w:tc>
          <w:tcPr>
            <w:tcW w:w="1113"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60</w:t>
            </w:r>
          </w:p>
        </w:tc>
        <w:tc>
          <w:tcPr>
            <w:tcW w:w="1291"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0.018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392" w:type="dxa"/>
            <w:vMerge w:val="restart"/>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2</w:t>
            </w:r>
          </w:p>
        </w:tc>
        <w:tc>
          <w:tcPr>
            <w:tcW w:w="705" w:type="dxa"/>
            <w:vMerge w:val="restart"/>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b</w:t>
            </w:r>
          </w:p>
        </w:tc>
        <w:tc>
          <w:tcPr>
            <w:tcW w:w="1783" w:type="dxa"/>
            <w:vMerge w:val="restart"/>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eastAsia="zh-CN"/>
              </w:rPr>
            </w:pPr>
            <w:r>
              <w:rPr>
                <w:rFonts w:hint="default" w:ascii="Times New Roman" w:hAnsi="Times New Roman" w:eastAsia="宋体" w:cs="Times New Roman"/>
                <w:color w:val="auto"/>
                <w:sz w:val="21"/>
                <w:szCs w:val="21"/>
              </w:rPr>
              <w:t>污水处理系统</w:t>
            </w:r>
          </w:p>
        </w:tc>
        <w:tc>
          <w:tcPr>
            <w:tcW w:w="862"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NH</w:t>
            </w:r>
            <w:r>
              <w:rPr>
                <w:rFonts w:hint="default" w:ascii="Times New Roman" w:hAnsi="Times New Roman" w:cs="Times New Roman"/>
                <w:color w:val="auto"/>
                <w:kern w:val="10"/>
                <w:sz w:val="21"/>
                <w:szCs w:val="21"/>
                <w:highlight w:val="none"/>
                <w:vertAlign w:val="subscript"/>
                <w:lang w:val="en-US" w:eastAsia="zh-CN"/>
              </w:rPr>
              <w:t>3</w:t>
            </w:r>
          </w:p>
        </w:tc>
        <w:tc>
          <w:tcPr>
            <w:tcW w:w="1332"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eastAsia="zh-CN"/>
              </w:rPr>
            </w:pPr>
          </w:p>
        </w:tc>
        <w:tc>
          <w:tcPr>
            <w:tcW w:w="1733"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eastAsia="zh-CN"/>
              </w:rPr>
            </w:pPr>
          </w:p>
        </w:tc>
        <w:tc>
          <w:tcPr>
            <w:tcW w:w="1113"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1500</w:t>
            </w:r>
          </w:p>
        </w:tc>
        <w:tc>
          <w:tcPr>
            <w:tcW w:w="1291"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0.155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392"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p>
        </w:tc>
        <w:tc>
          <w:tcPr>
            <w:tcW w:w="705"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p>
        </w:tc>
        <w:tc>
          <w:tcPr>
            <w:tcW w:w="1783"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eastAsia="zh-CN"/>
              </w:rPr>
            </w:pPr>
          </w:p>
        </w:tc>
        <w:tc>
          <w:tcPr>
            <w:tcW w:w="862"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H</w:t>
            </w:r>
            <w:r>
              <w:rPr>
                <w:rFonts w:hint="default" w:ascii="Times New Roman" w:hAnsi="Times New Roman" w:cs="Times New Roman"/>
                <w:color w:val="auto"/>
                <w:kern w:val="10"/>
                <w:sz w:val="21"/>
                <w:szCs w:val="21"/>
                <w:highlight w:val="none"/>
                <w:vertAlign w:val="subscript"/>
                <w:lang w:val="en-US" w:eastAsia="zh-CN"/>
              </w:rPr>
              <w:t>2</w:t>
            </w:r>
            <w:r>
              <w:rPr>
                <w:rFonts w:hint="default" w:ascii="Times New Roman" w:hAnsi="Times New Roman" w:cs="Times New Roman"/>
                <w:color w:val="auto"/>
                <w:kern w:val="10"/>
                <w:sz w:val="21"/>
                <w:szCs w:val="21"/>
                <w:highlight w:val="none"/>
                <w:lang w:val="en-US" w:eastAsia="zh-CN"/>
              </w:rPr>
              <w:t>S</w:t>
            </w:r>
          </w:p>
        </w:tc>
        <w:tc>
          <w:tcPr>
            <w:tcW w:w="1332"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eastAsia="zh-CN"/>
              </w:rPr>
            </w:pPr>
          </w:p>
        </w:tc>
        <w:tc>
          <w:tcPr>
            <w:tcW w:w="1733"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eastAsia="zh-CN"/>
              </w:rPr>
            </w:pPr>
          </w:p>
        </w:tc>
        <w:tc>
          <w:tcPr>
            <w:tcW w:w="1113"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60</w:t>
            </w:r>
          </w:p>
        </w:tc>
        <w:tc>
          <w:tcPr>
            <w:tcW w:w="1291"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0.006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392" w:type="dxa"/>
            <w:vMerge w:val="restart"/>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3</w:t>
            </w:r>
          </w:p>
        </w:tc>
        <w:tc>
          <w:tcPr>
            <w:tcW w:w="705" w:type="dxa"/>
            <w:vMerge w:val="restart"/>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c</w:t>
            </w:r>
          </w:p>
        </w:tc>
        <w:tc>
          <w:tcPr>
            <w:tcW w:w="1783"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kern w:val="10"/>
                <w:sz w:val="21"/>
                <w:szCs w:val="21"/>
                <w:highlight w:val="none"/>
                <w:lang w:eastAsia="zh-CN"/>
              </w:rPr>
            </w:pPr>
            <w:r>
              <w:rPr>
                <w:rFonts w:hint="default" w:ascii="Times New Roman" w:hAnsi="Times New Roman" w:eastAsia="宋体" w:cs="Times New Roman"/>
                <w:color w:val="auto"/>
                <w:sz w:val="21"/>
                <w:szCs w:val="21"/>
              </w:rPr>
              <w:t>固粪处理区</w:t>
            </w:r>
          </w:p>
        </w:tc>
        <w:tc>
          <w:tcPr>
            <w:tcW w:w="862"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NH</w:t>
            </w:r>
            <w:r>
              <w:rPr>
                <w:rFonts w:hint="default" w:ascii="Times New Roman" w:hAnsi="Times New Roman" w:cs="Times New Roman"/>
                <w:color w:val="auto"/>
                <w:kern w:val="10"/>
                <w:sz w:val="21"/>
                <w:szCs w:val="21"/>
                <w:highlight w:val="none"/>
                <w:vertAlign w:val="subscript"/>
                <w:lang w:val="en-US" w:eastAsia="zh-CN"/>
              </w:rPr>
              <w:t>3</w:t>
            </w:r>
          </w:p>
        </w:tc>
        <w:tc>
          <w:tcPr>
            <w:tcW w:w="1332"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eastAsia="zh-CN"/>
              </w:rPr>
            </w:pPr>
          </w:p>
        </w:tc>
        <w:tc>
          <w:tcPr>
            <w:tcW w:w="1733"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eastAsia="zh-CN"/>
              </w:rPr>
            </w:pPr>
          </w:p>
        </w:tc>
        <w:tc>
          <w:tcPr>
            <w:tcW w:w="1113"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1500</w:t>
            </w:r>
          </w:p>
        </w:tc>
        <w:tc>
          <w:tcPr>
            <w:tcW w:w="1291"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0.322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392"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p>
        </w:tc>
        <w:tc>
          <w:tcPr>
            <w:tcW w:w="705"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p>
        </w:tc>
        <w:tc>
          <w:tcPr>
            <w:tcW w:w="1783"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eastAsia="zh-CN"/>
              </w:rPr>
            </w:pPr>
          </w:p>
        </w:tc>
        <w:tc>
          <w:tcPr>
            <w:tcW w:w="862"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H</w:t>
            </w:r>
            <w:r>
              <w:rPr>
                <w:rFonts w:hint="default" w:ascii="Times New Roman" w:hAnsi="Times New Roman" w:cs="Times New Roman"/>
                <w:color w:val="auto"/>
                <w:kern w:val="10"/>
                <w:sz w:val="21"/>
                <w:szCs w:val="21"/>
                <w:highlight w:val="none"/>
                <w:vertAlign w:val="subscript"/>
                <w:lang w:val="en-US" w:eastAsia="zh-CN"/>
              </w:rPr>
              <w:t>2</w:t>
            </w:r>
            <w:r>
              <w:rPr>
                <w:rFonts w:hint="default" w:ascii="Times New Roman" w:hAnsi="Times New Roman" w:cs="Times New Roman"/>
                <w:color w:val="auto"/>
                <w:kern w:val="10"/>
                <w:sz w:val="21"/>
                <w:szCs w:val="21"/>
                <w:highlight w:val="none"/>
                <w:lang w:val="en-US" w:eastAsia="zh-CN"/>
              </w:rPr>
              <w:t>S</w:t>
            </w:r>
          </w:p>
        </w:tc>
        <w:tc>
          <w:tcPr>
            <w:tcW w:w="1332"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eastAsia="zh-CN"/>
              </w:rPr>
            </w:pPr>
          </w:p>
        </w:tc>
        <w:tc>
          <w:tcPr>
            <w:tcW w:w="1733"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eastAsia="zh-CN"/>
              </w:rPr>
            </w:pPr>
          </w:p>
        </w:tc>
        <w:tc>
          <w:tcPr>
            <w:tcW w:w="1113"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60</w:t>
            </w:r>
          </w:p>
        </w:tc>
        <w:tc>
          <w:tcPr>
            <w:tcW w:w="1291"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0.019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92" w:type="dxa"/>
            <w:vMerge w:val="restart"/>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4</w:t>
            </w:r>
          </w:p>
        </w:tc>
        <w:tc>
          <w:tcPr>
            <w:tcW w:w="705" w:type="dxa"/>
            <w:vMerge w:val="restart"/>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d</w:t>
            </w:r>
          </w:p>
        </w:tc>
        <w:tc>
          <w:tcPr>
            <w:tcW w:w="1783"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10"/>
                <w:sz w:val="21"/>
                <w:szCs w:val="21"/>
                <w:highlight w:val="none"/>
                <w:lang w:eastAsia="zh-CN"/>
              </w:rPr>
            </w:pPr>
            <w:r>
              <w:rPr>
                <w:rFonts w:hint="default" w:ascii="Times New Roman" w:hAnsi="Times New Roman" w:cs="Times New Roman"/>
                <w:color w:val="auto"/>
                <w:sz w:val="21"/>
                <w:szCs w:val="21"/>
                <w:lang w:eastAsia="zh-CN"/>
              </w:rPr>
              <w:t>沼液存储池</w:t>
            </w:r>
          </w:p>
        </w:tc>
        <w:tc>
          <w:tcPr>
            <w:tcW w:w="862"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NH</w:t>
            </w:r>
            <w:r>
              <w:rPr>
                <w:rFonts w:hint="default" w:ascii="Times New Roman" w:hAnsi="Times New Roman" w:cs="Times New Roman"/>
                <w:color w:val="auto"/>
                <w:kern w:val="10"/>
                <w:sz w:val="21"/>
                <w:szCs w:val="21"/>
                <w:highlight w:val="none"/>
                <w:vertAlign w:val="subscript"/>
                <w:lang w:val="en-US" w:eastAsia="zh-CN"/>
              </w:rPr>
              <w:t>3</w:t>
            </w:r>
          </w:p>
        </w:tc>
        <w:tc>
          <w:tcPr>
            <w:tcW w:w="1332"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eastAsia="zh-CN"/>
              </w:rPr>
            </w:pPr>
          </w:p>
        </w:tc>
        <w:tc>
          <w:tcPr>
            <w:tcW w:w="1733"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eastAsia="zh-CN"/>
              </w:rPr>
            </w:pPr>
          </w:p>
        </w:tc>
        <w:tc>
          <w:tcPr>
            <w:tcW w:w="1113"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1500</w:t>
            </w:r>
          </w:p>
        </w:tc>
        <w:tc>
          <w:tcPr>
            <w:tcW w:w="1291"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0.0219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92"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p>
        </w:tc>
        <w:tc>
          <w:tcPr>
            <w:tcW w:w="705"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p>
        </w:tc>
        <w:tc>
          <w:tcPr>
            <w:tcW w:w="1783"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eastAsia="zh-CN"/>
              </w:rPr>
            </w:pPr>
          </w:p>
        </w:tc>
        <w:tc>
          <w:tcPr>
            <w:tcW w:w="862"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H</w:t>
            </w:r>
            <w:r>
              <w:rPr>
                <w:rFonts w:hint="default" w:ascii="Times New Roman" w:hAnsi="Times New Roman" w:cs="Times New Roman"/>
                <w:color w:val="auto"/>
                <w:kern w:val="10"/>
                <w:sz w:val="21"/>
                <w:szCs w:val="21"/>
                <w:highlight w:val="none"/>
                <w:vertAlign w:val="subscript"/>
                <w:lang w:val="en-US" w:eastAsia="zh-CN"/>
              </w:rPr>
              <w:t>2</w:t>
            </w:r>
            <w:r>
              <w:rPr>
                <w:rFonts w:hint="default" w:ascii="Times New Roman" w:hAnsi="Times New Roman" w:cs="Times New Roman"/>
                <w:color w:val="auto"/>
                <w:kern w:val="10"/>
                <w:sz w:val="21"/>
                <w:szCs w:val="21"/>
                <w:highlight w:val="none"/>
                <w:lang w:val="en-US" w:eastAsia="zh-CN"/>
              </w:rPr>
              <w:t>S</w:t>
            </w:r>
          </w:p>
        </w:tc>
        <w:tc>
          <w:tcPr>
            <w:tcW w:w="1332"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eastAsia="zh-CN"/>
              </w:rPr>
            </w:pPr>
          </w:p>
        </w:tc>
        <w:tc>
          <w:tcPr>
            <w:tcW w:w="1733"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eastAsia="zh-CN"/>
              </w:rPr>
            </w:pPr>
          </w:p>
        </w:tc>
        <w:tc>
          <w:tcPr>
            <w:tcW w:w="1113"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60</w:t>
            </w:r>
          </w:p>
        </w:tc>
        <w:tc>
          <w:tcPr>
            <w:tcW w:w="1291"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0.0022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392" w:type="dxa"/>
            <w:vMerge w:val="restart"/>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5</w:t>
            </w:r>
          </w:p>
        </w:tc>
        <w:tc>
          <w:tcPr>
            <w:tcW w:w="705" w:type="dxa"/>
            <w:vMerge w:val="restart"/>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e</w:t>
            </w:r>
          </w:p>
        </w:tc>
        <w:tc>
          <w:tcPr>
            <w:tcW w:w="1783"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cs="Times New Roman"/>
                <w:color w:val="auto"/>
                <w:kern w:val="10"/>
                <w:sz w:val="21"/>
                <w:szCs w:val="21"/>
                <w:highlight w:val="none"/>
                <w:lang w:eastAsia="zh-CN"/>
              </w:rPr>
            </w:pPr>
            <w:r>
              <w:rPr>
                <w:rFonts w:hint="default" w:ascii="Times New Roman" w:hAnsi="Times New Roman" w:eastAsia="宋体" w:cs="Times New Roman"/>
                <w:color w:val="auto"/>
                <w:sz w:val="21"/>
                <w:szCs w:val="21"/>
              </w:rPr>
              <w:t>病死猪高温无害化处理机</w:t>
            </w:r>
          </w:p>
        </w:tc>
        <w:tc>
          <w:tcPr>
            <w:tcW w:w="862"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NH</w:t>
            </w:r>
            <w:r>
              <w:rPr>
                <w:rFonts w:hint="default" w:ascii="Times New Roman" w:hAnsi="Times New Roman" w:cs="Times New Roman"/>
                <w:color w:val="auto"/>
                <w:kern w:val="10"/>
                <w:sz w:val="21"/>
                <w:szCs w:val="21"/>
                <w:highlight w:val="none"/>
                <w:vertAlign w:val="subscript"/>
                <w:lang w:val="en-US" w:eastAsia="zh-CN"/>
              </w:rPr>
              <w:t>3</w:t>
            </w:r>
          </w:p>
        </w:tc>
        <w:tc>
          <w:tcPr>
            <w:tcW w:w="1332"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eastAsia="zh-CN"/>
              </w:rPr>
            </w:pPr>
          </w:p>
        </w:tc>
        <w:tc>
          <w:tcPr>
            <w:tcW w:w="1733"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eastAsia="zh-CN"/>
              </w:rPr>
            </w:pPr>
          </w:p>
        </w:tc>
        <w:tc>
          <w:tcPr>
            <w:tcW w:w="1113"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1500</w:t>
            </w:r>
          </w:p>
        </w:tc>
        <w:tc>
          <w:tcPr>
            <w:tcW w:w="1291"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0.0007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392"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p>
        </w:tc>
        <w:tc>
          <w:tcPr>
            <w:tcW w:w="705"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p>
        </w:tc>
        <w:tc>
          <w:tcPr>
            <w:tcW w:w="1783"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eastAsia="zh-CN"/>
              </w:rPr>
            </w:pPr>
          </w:p>
        </w:tc>
        <w:tc>
          <w:tcPr>
            <w:tcW w:w="862"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H</w:t>
            </w:r>
            <w:r>
              <w:rPr>
                <w:rFonts w:hint="default" w:ascii="Times New Roman" w:hAnsi="Times New Roman" w:cs="Times New Roman"/>
                <w:color w:val="auto"/>
                <w:kern w:val="10"/>
                <w:sz w:val="21"/>
                <w:szCs w:val="21"/>
                <w:highlight w:val="none"/>
                <w:vertAlign w:val="subscript"/>
                <w:lang w:val="en-US" w:eastAsia="zh-CN"/>
              </w:rPr>
              <w:t>2</w:t>
            </w:r>
            <w:r>
              <w:rPr>
                <w:rFonts w:hint="default" w:ascii="Times New Roman" w:hAnsi="Times New Roman" w:cs="Times New Roman"/>
                <w:color w:val="auto"/>
                <w:kern w:val="10"/>
                <w:sz w:val="21"/>
                <w:szCs w:val="21"/>
                <w:highlight w:val="none"/>
                <w:lang w:val="en-US" w:eastAsia="zh-CN"/>
              </w:rPr>
              <w:t>S</w:t>
            </w:r>
          </w:p>
        </w:tc>
        <w:tc>
          <w:tcPr>
            <w:tcW w:w="1332"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eastAsia="zh-CN"/>
              </w:rPr>
            </w:pPr>
          </w:p>
        </w:tc>
        <w:tc>
          <w:tcPr>
            <w:tcW w:w="1733" w:type="dxa"/>
            <w:vMerge w:val="continue"/>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eastAsia="zh-CN"/>
              </w:rPr>
            </w:pPr>
          </w:p>
        </w:tc>
        <w:tc>
          <w:tcPr>
            <w:tcW w:w="1113"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60</w:t>
            </w:r>
          </w:p>
        </w:tc>
        <w:tc>
          <w:tcPr>
            <w:tcW w:w="1291" w:type="dxa"/>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0.0001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211" w:type="dxa"/>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bCs w:val="0"/>
                <w:color w:val="auto"/>
                <w:sz w:val="20"/>
                <w:szCs w:val="20"/>
                <w:highlight w:val="none"/>
                <w:u w:val="none"/>
                <w:vertAlign w:val="baseline"/>
                <w:lang w:val="en-US" w:eastAsia="zh-CN"/>
              </w:rPr>
            </w:pPr>
            <w:r>
              <w:rPr>
                <w:rFonts w:hint="default" w:ascii="Times New Roman" w:hAnsi="Times New Roman" w:cs="Times New Roman"/>
                <w:b w:val="0"/>
                <w:bCs w:val="0"/>
                <w:color w:val="auto"/>
                <w:sz w:val="20"/>
                <w:szCs w:val="20"/>
                <w:highlight w:val="none"/>
                <w:u w:val="none"/>
                <w:vertAlign w:val="baseline"/>
                <w:lang w:val="en-US" w:eastAsia="zh-CN"/>
              </w:rPr>
              <w:t>无组织排放总计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2880" w:type="dxa"/>
            <w:gridSpan w:val="3"/>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0"/>
                <w:szCs w:val="20"/>
                <w:highlight w:val="none"/>
                <w:u w:val="none"/>
                <w:vertAlign w:val="baseline"/>
                <w:lang w:eastAsia="zh-CN"/>
              </w:rPr>
            </w:pPr>
            <w:r>
              <w:rPr>
                <w:rFonts w:hint="default" w:ascii="Times New Roman" w:hAnsi="Times New Roman" w:eastAsia="宋体" w:cs="Times New Roman"/>
                <w:b w:val="0"/>
                <w:bCs w:val="0"/>
                <w:color w:val="auto"/>
                <w:sz w:val="20"/>
                <w:szCs w:val="20"/>
                <w:highlight w:val="none"/>
                <w:u w:val="none"/>
                <w:vertAlign w:val="baseline"/>
                <w:lang w:eastAsia="zh-CN"/>
              </w:rPr>
              <w:t>无组织排放总计</w:t>
            </w:r>
          </w:p>
        </w:tc>
        <w:tc>
          <w:tcPr>
            <w:tcW w:w="3927"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0"/>
                <w:szCs w:val="20"/>
                <w:highlight w:val="none"/>
                <w:u w:val="none"/>
                <w:vertAlign w:val="baseline"/>
                <w:lang w:eastAsia="zh-CN"/>
              </w:rPr>
            </w:pPr>
            <w:r>
              <w:rPr>
                <w:rFonts w:hint="default" w:ascii="Times New Roman" w:hAnsi="Times New Roman" w:cs="Times New Roman"/>
                <w:b w:val="0"/>
                <w:bCs w:val="0"/>
                <w:color w:val="auto"/>
                <w:sz w:val="20"/>
                <w:szCs w:val="20"/>
                <w:highlight w:val="none"/>
                <w:u w:val="none"/>
                <w:vertAlign w:val="baseline"/>
                <w:lang w:val="en-US" w:eastAsia="zh-CN"/>
              </w:rPr>
              <w:t>NH</w:t>
            </w:r>
            <w:r>
              <w:rPr>
                <w:rFonts w:hint="default" w:ascii="Times New Roman" w:hAnsi="Times New Roman" w:cs="Times New Roman"/>
                <w:b w:val="0"/>
                <w:bCs w:val="0"/>
                <w:color w:val="auto"/>
                <w:sz w:val="20"/>
                <w:szCs w:val="20"/>
                <w:highlight w:val="none"/>
                <w:u w:val="none"/>
                <w:vertAlign w:val="subscript"/>
                <w:lang w:val="en-US" w:eastAsia="zh-CN"/>
              </w:rPr>
              <w:t>3</w:t>
            </w:r>
          </w:p>
        </w:tc>
        <w:tc>
          <w:tcPr>
            <w:tcW w:w="2404" w:type="dxa"/>
            <w:gridSpan w:val="2"/>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0.7146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880" w:type="dxa"/>
            <w:gridSpan w:val="3"/>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0"/>
                <w:szCs w:val="20"/>
                <w:highlight w:val="none"/>
                <w:u w:val="none"/>
                <w:vertAlign w:val="baseline"/>
                <w:lang w:eastAsia="zh-CN"/>
              </w:rPr>
            </w:pPr>
          </w:p>
        </w:tc>
        <w:tc>
          <w:tcPr>
            <w:tcW w:w="3927"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0"/>
                <w:szCs w:val="20"/>
                <w:highlight w:val="none"/>
                <w:u w:val="none"/>
                <w:vertAlign w:val="baseline"/>
                <w:lang w:eastAsia="zh-CN"/>
              </w:rPr>
            </w:pPr>
            <w:r>
              <w:rPr>
                <w:rFonts w:hint="default" w:ascii="Times New Roman" w:hAnsi="Times New Roman" w:cs="Times New Roman"/>
                <w:b w:val="0"/>
                <w:bCs w:val="0"/>
                <w:color w:val="auto"/>
                <w:sz w:val="20"/>
                <w:szCs w:val="20"/>
                <w:highlight w:val="none"/>
                <w:u w:val="none"/>
                <w:vertAlign w:val="baseline"/>
                <w:lang w:val="en-US" w:eastAsia="zh-CN"/>
              </w:rPr>
              <w:t>H</w:t>
            </w:r>
            <w:r>
              <w:rPr>
                <w:rFonts w:hint="default" w:ascii="Times New Roman" w:hAnsi="Times New Roman" w:cs="Times New Roman"/>
                <w:b w:val="0"/>
                <w:bCs w:val="0"/>
                <w:color w:val="auto"/>
                <w:sz w:val="20"/>
                <w:szCs w:val="20"/>
                <w:highlight w:val="none"/>
                <w:u w:val="none"/>
                <w:vertAlign w:val="subscript"/>
                <w:lang w:val="en-US" w:eastAsia="zh-CN"/>
              </w:rPr>
              <w:t>2</w:t>
            </w:r>
            <w:r>
              <w:rPr>
                <w:rFonts w:hint="default" w:ascii="Times New Roman" w:hAnsi="Times New Roman" w:cs="Times New Roman"/>
                <w:b w:val="0"/>
                <w:bCs w:val="0"/>
                <w:color w:val="auto"/>
                <w:sz w:val="20"/>
                <w:szCs w:val="20"/>
                <w:highlight w:val="none"/>
                <w:u w:val="none"/>
                <w:vertAlign w:val="baseline"/>
                <w:lang w:val="en-US" w:eastAsia="zh-CN"/>
              </w:rPr>
              <w:t>S</w:t>
            </w:r>
          </w:p>
        </w:tc>
        <w:tc>
          <w:tcPr>
            <w:tcW w:w="2404" w:type="dxa"/>
            <w:gridSpan w:val="2"/>
            <w:tcBorders>
              <w:tl2br w:val="nil"/>
              <w:tr2bl w:val="nil"/>
            </w:tcBorders>
            <w:noWrap w:val="0"/>
            <w:vAlign w:val="center"/>
          </w:tcPr>
          <w:p>
            <w:pPr>
              <w:spacing w:line="320" w:lineRule="exact"/>
              <w:ind w:firstLine="0" w:firstLineChars="0"/>
              <w:jc w:val="center"/>
              <w:rPr>
                <w:rFonts w:hint="default" w:ascii="Times New Roman" w:hAnsi="Times New Roman" w:cs="Times New Roman"/>
                <w:color w:val="auto"/>
                <w:kern w:val="10"/>
                <w:sz w:val="21"/>
                <w:szCs w:val="21"/>
                <w:highlight w:val="none"/>
                <w:lang w:val="en-US" w:eastAsia="zh-CN"/>
              </w:rPr>
            </w:pPr>
            <w:r>
              <w:rPr>
                <w:rFonts w:hint="default" w:ascii="Times New Roman" w:hAnsi="Times New Roman" w:cs="Times New Roman"/>
                <w:color w:val="auto"/>
                <w:kern w:val="10"/>
                <w:sz w:val="21"/>
                <w:szCs w:val="21"/>
                <w:highlight w:val="none"/>
                <w:lang w:val="en-US" w:eastAsia="zh-CN"/>
              </w:rPr>
              <w:t>0.0453</w:t>
            </w:r>
          </w:p>
        </w:tc>
      </w:tr>
    </w:tbl>
    <w:p>
      <w:pPr>
        <w:pStyle w:val="49"/>
        <w:ind w:firstLine="482"/>
        <w:jc w:val="center"/>
        <w:rPr>
          <w:rFonts w:hint="default" w:ascii="Times New Roman" w:hAnsi="Times New Roman" w:cs="Times New Roman"/>
          <w:b/>
          <w:bCs/>
          <w:color w:val="auto"/>
        </w:rPr>
      </w:pPr>
      <w:r>
        <w:rPr>
          <w:rFonts w:hint="default" w:ascii="Times New Roman" w:hAnsi="Times New Roman" w:cs="Times New Roman"/>
          <w:b/>
          <w:bCs/>
          <w:color w:val="auto"/>
        </w:rPr>
        <w:t>表</w:t>
      </w:r>
      <w:bookmarkEnd w:id="538"/>
      <w:r>
        <w:rPr>
          <w:rFonts w:hint="default" w:ascii="Times New Roman" w:hAnsi="Times New Roman" w:cs="Times New Roman"/>
          <w:b/>
          <w:bCs/>
          <w:color w:val="auto"/>
        </w:rPr>
        <w:t>5.2-</w:t>
      </w:r>
      <w:r>
        <w:rPr>
          <w:rFonts w:hint="eastAsia" w:ascii="Times New Roman" w:hAnsi="Times New Roman" w:cs="Times New Roman"/>
          <w:b/>
          <w:bCs/>
          <w:color w:val="auto"/>
          <w:lang w:val="en-US" w:eastAsia="zh-CN"/>
        </w:rPr>
        <w:t>20</w:t>
      </w:r>
      <w:r>
        <w:rPr>
          <w:rFonts w:hint="default" w:ascii="Times New Roman" w:hAnsi="Times New Roman" w:cs="Times New Roman"/>
          <w:b/>
          <w:bCs/>
          <w:color w:val="auto"/>
        </w:rPr>
        <w:t xml:space="preserve">  大气污染物年排放量核算表</w:t>
      </w:r>
    </w:p>
    <w:tbl>
      <w:tblPr>
        <w:tblStyle w:val="25"/>
        <w:tblW w:w="932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07"/>
        <w:gridCol w:w="3523"/>
        <w:gridCol w:w="369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tblHeader/>
          <w:jc w:val="center"/>
        </w:trPr>
        <w:tc>
          <w:tcPr>
            <w:tcW w:w="2107"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kern w:val="10"/>
                <w:sz w:val="21"/>
                <w:szCs w:val="21"/>
              </w:rPr>
            </w:pPr>
            <w:r>
              <w:rPr>
                <w:rFonts w:hint="default" w:ascii="Times New Roman" w:hAnsi="Times New Roman" w:cs="Times New Roman"/>
                <w:color w:val="auto"/>
                <w:kern w:val="10"/>
                <w:sz w:val="21"/>
                <w:szCs w:val="21"/>
              </w:rPr>
              <w:t>序号</w:t>
            </w:r>
          </w:p>
        </w:tc>
        <w:tc>
          <w:tcPr>
            <w:tcW w:w="3523"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kern w:val="10"/>
                <w:sz w:val="21"/>
                <w:szCs w:val="21"/>
              </w:rPr>
            </w:pPr>
            <w:r>
              <w:rPr>
                <w:rFonts w:hint="default" w:ascii="Times New Roman" w:hAnsi="Times New Roman" w:cs="Times New Roman"/>
                <w:color w:val="auto"/>
                <w:kern w:val="10"/>
                <w:sz w:val="21"/>
                <w:szCs w:val="21"/>
              </w:rPr>
              <w:t>污染物</w:t>
            </w:r>
          </w:p>
        </w:tc>
        <w:tc>
          <w:tcPr>
            <w:tcW w:w="3694"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kern w:val="10"/>
                <w:sz w:val="21"/>
                <w:szCs w:val="21"/>
              </w:rPr>
            </w:pPr>
            <w:r>
              <w:rPr>
                <w:rFonts w:hint="default" w:ascii="Times New Roman" w:hAnsi="Times New Roman" w:cs="Times New Roman"/>
                <w:color w:val="auto"/>
                <w:kern w:val="10"/>
                <w:sz w:val="21"/>
                <w:szCs w:val="21"/>
              </w:rPr>
              <w:t>年排放量/（t/a）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107" w:type="dxa"/>
            <w:tcBorders>
              <w:tl2br w:val="nil"/>
              <w:tr2bl w:val="nil"/>
            </w:tcBorders>
            <w:vAlign w:val="center"/>
          </w:tcPr>
          <w:p>
            <w:pPr>
              <w:spacing w:line="320" w:lineRule="exact"/>
              <w:ind w:firstLine="0" w:firstLineChars="0"/>
              <w:jc w:val="center"/>
              <w:rPr>
                <w:rFonts w:hint="eastAsia" w:ascii="Times New Roman" w:hAnsi="Times New Roman" w:eastAsia="宋体" w:cs="Times New Roman"/>
                <w:color w:val="auto"/>
                <w:kern w:val="10"/>
                <w:sz w:val="21"/>
                <w:szCs w:val="21"/>
                <w:lang w:val="en-US" w:eastAsia="zh-CN"/>
              </w:rPr>
            </w:pPr>
            <w:r>
              <w:rPr>
                <w:rFonts w:hint="eastAsia" w:cs="Times New Roman"/>
                <w:color w:val="auto"/>
                <w:kern w:val="10"/>
                <w:sz w:val="21"/>
                <w:szCs w:val="21"/>
                <w:lang w:val="en-US" w:eastAsia="zh-CN"/>
              </w:rPr>
              <w:t>1</w:t>
            </w:r>
          </w:p>
        </w:tc>
        <w:tc>
          <w:tcPr>
            <w:tcW w:w="3523"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color w:val="auto"/>
                <w:kern w:val="10"/>
                <w:sz w:val="21"/>
                <w:szCs w:val="21"/>
              </w:rPr>
            </w:pPr>
            <w:r>
              <w:rPr>
                <w:rFonts w:hint="default" w:ascii="Times New Roman" w:hAnsi="Times New Roman" w:cs="Times New Roman"/>
                <w:color w:val="auto"/>
                <w:sz w:val="20"/>
                <w:szCs w:val="20"/>
              </w:rPr>
              <w:t>NH</w:t>
            </w:r>
            <w:r>
              <w:rPr>
                <w:rFonts w:hint="default" w:ascii="Times New Roman" w:hAnsi="Times New Roman" w:cs="Times New Roman"/>
                <w:color w:val="auto"/>
                <w:sz w:val="20"/>
                <w:szCs w:val="20"/>
                <w:vertAlign w:val="subscript"/>
              </w:rPr>
              <w:t>3</w:t>
            </w:r>
          </w:p>
        </w:tc>
        <w:tc>
          <w:tcPr>
            <w:tcW w:w="3694"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kern w:val="10"/>
                <w:sz w:val="21"/>
                <w:szCs w:val="21"/>
              </w:rPr>
            </w:pPr>
            <w:r>
              <w:rPr>
                <w:rFonts w:hint="default" w:ascii="Times New Roman" w:hAnsi="Times New Roman" w:cs="Times New Roman"/>
                <w:color w:val="auto"/>
                <w:kern w:val="10"/>
                <w:sz w:val="21"/>
                <w:szCs w:val="21"/>
                <w:highlight w:val="none"/>
                <w:lang w:val="en-US" w:eastAsia="zh-CN"/>
              </w:rPr>
              <w:t>0.7146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107" w:type="dxa"/>
            <w:tcBorders>
              <w:tl2br w:val="nil"/>
              <w:tr2bl w:val="nil"/>
            </w:tcBorders>
            <w:vAlign w:val="center"/>
          </w:tcPr>
          <w:p>
            <w:pPr>
              <w:spacing w:line="320" w:lineRule="exact"/>
              <w:ind w:firstLine="0" w:firstLineChars="0"/>
              <w:jc w:val="center"/>
              <w:rPr>
                <w:rFonts w:hint="eastAsia" w:ascii="Times New Roman" w:hAnsi="Times New Roman" w:eastAsia="宋体" w:cs="Times New Roman"/>
                <w:color w:val="auto"/>
                <w:kern w:val="10"/>
                <w:sz w:val="21"/>
                <w:szCs w:val="21"/>
                <w:lang w:val="en-US" w:eastAsia="zh-CN"/>
              </w:rPr>
            </w:pPr>
            <w:r>
              <w:rPr>
                <w:rFonts w:hint="eastAsia" w:cs="Times New Roman"/>
                <w:color w:val="auto"/>
                <w:kern w:val="10"/>
                <w:sz w:val="21"/>
                <w:szCs w:val="21"/>
                <w:lang w:val="en-US" w:eastAsia="zh-CN"/>
              </w:rPr>
              <w:t>2</w:t>
            </w:r>
          </w:p>
        </w:tc>
        <w:tc>
          <w:tcPr>
            <w:tcW w:w="3523"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color w:val="auto"/>
                <w:kern w:val="10"/>
                <w:sz w:val="21"/>
                <w:szCs w:val="21"/>
              </w:rPr>
            </w:pPr>
            <w:r>
              <w:rPr>
                <w:rFonts w:hint="default" w:ascii="Times New Roman" w:hAnsi="Times New Roman" w:cs="Times New Roman"/>
                <w:color w:val="auto"/>
                <w:sz w:val="20"/>
                <w:szCs w:val="20"/>
              </w:rPr>
              <w:t>H</w:t>
            </w:r>
            <w:r>
              <w:rPr>
                <w:rFonts w:hint="default" w:ascii="Times New Roman" w:hAnsi="Times New Roman" w:cs="Times New Roman"/>
                <w:color w:val="auto"/>
                <w:sz w:val="20"/>
                <w:szCs w:val="20"/>
                <w:vertAlign w:val="subscript"/>
              </w:rPr>
              <w:t>2</w:t>
            </w:r>
            <w:r>
              <w:rPr>
                <w:rFonts w:hint="default" w:ascii="Times New Roman" w:hAnsi="Times New Roman" w:cs="Times New Roman"/>
                <w:color w:val="auto"/>
                <w:sz w:val="20"/>
                <w:szCs w:val="20"/>
              </w:rPr>
              <w:t>S</w:t>
            </w:r>
          </w:p>
        </w:tc>
        <w:tc>
          <w:tcPr>
            <w:tcW w:w="3694" w:type="dxa"/>
            <w:tcBorders>
              <w:tl2br w:val="nil"/>
              <w:tr2bl w:val="nil"/>
            </w:tcBorders>
            <w:vAlign w:val="center"/>
          </w:tcPr>
          <w:p>
            <w:pPr>
              <w:spacing w:line="320" w:lineRule="exact"/>
              <w:ind w:firstLine="0" w:firstLineChars="0"/>
              <w:jc w:val="center"/>
              <w:rPr>
                <w:rFonts w:hint="default" w:ascii="Times New Roman" w:hAnsi="Times New Roman" w:cs="Times New Roman"/>
                <w:color w:val="auto"/>
                <w:kern w:val="10"/>
                <w:sz w:val="21"/>
                <w:szCs w:val="21"/>
              </w:rPr>
            </w:pPr>
            <w:r>
              <w:rPr>
                <w:rFonts w:hint="default" w:ascii="Times New Roman" w:hAnsi="Times New Roman" w:cs="Times New Roman"/>
                <w:color w:val="auto"/>
                <w:kern w:val="10"/>
                <w:sz w:val="21"/>
                <w:szCs w:val="21"/>
                <w:highlight w:val="none"/>
                <w:lang w:val="en-US" w:eastAsia="zh-CN"/>
              </w:rPr>
              <w:t>0.0453</w:t>
            </w:r>
          </w:p>
        </w:tc>
      </w:tr>
    </w:tbl>
    <w:p>
      <w:pPr>
        <w:ind w:firstLine="480"/>
        <w:jc w:val="left"/>
        <w:rPr>
          <w:rFonts w:hint="default" w:ascii="Times New Roman" w:hAnsi="Times New Roman" w:cs="Times New Roman"/>
          <w:color w:val="auto"/>
        </w:rPr>
      </w:pPr>
      <w:r>
        <w:rPr>
          <w:rFonts w:hint="default" w:ascii="Times New Roman" w:hAnsi="Times New Roman" w:cs="Times New Roman"/>
          <w:color w:val="auto"/>
        </w:rPr>
        <w:t>综上所述，本项目产生的废气经上述措施治理后，不会对周围及敏感点大气环境造成明显的不良影响。</w:t>
      </w:r>
    </w:p>
    <w:p>
      <w:pPr>
        <w:ind w:firstLine="482"/>
        <w:jc w:val="center"/>
        <w:rPr>
          <w:rFonts w:hint="default" w:ascii="Times New Roman" w:hAnsi="Times New Roman" w:cs="Times New Roman"/>
          <w:color w:val="auto"/>
        </w:rPr>
      </w:pPr>
      <w:r>
        <w:rPr>
          <w:rFonts w:hint="default" w:ascii="Times New Roman" w:hAnsi="Times New Roman" w:cs="Times New Roman"/>
          <w:b/>
          <w:color w:val="auto"/>
        </w:rPr>
        <w:t>建设项目大气环境影响评价自查表</w:t>
      </w:r>
    </w:p>
    <w:tbl>
      <w:tblPr>
        <w:tblStyle w:val="26"/>
        <w:tblW w:w="928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855"/>
        <w:gridCol w:w="959"/>
        <w:gridCol w:w="368"/>
        <w:gridCol w:w="112"/>
        <w:gridCol w:w="256"/>
        <w:gridCol w:w="124"/>
        <w:gridCol w:w="116"/>
        <w:gridCol w:w="553"/>
        <w:gridCol w:w="261"/>
        <w:gridCol w:w="114"/>
        <w:gridCol w:w="103"/>
        <w:gridCol w:w="505"/>
        <w:gridCol w:w="408"/>
        <w:gridCol w:w="177"/>
        <w:gridCol w:w="559"/>
        <w:gridCol w:w="68"/>
        <w:gridCol w:w="168"/>
        <w:gridCol w:w="232"/>
        <w:gridCol w:w="478"/>
        <w:gridCol w:w="77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55" w:type="dxa"/>
            <w:gridSpan w:val="2"/>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position w:val="-1"/>
                <w:sz w:val="18"/>
                <w:szCs w:val="18"/>
              </w:rPr>
              <w:t>工作内容</w:t>
            </w:r>
          </w:p>
        </w:tc>
        <w:tc>
          <w:tcPr>
            <w:tcW w:w="6333" w:type="dxa"/>
            <w:gridSpan w:val="19"/>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position w:val="-1"/>
                <w:sz w:val="18"/>
                <w:szCs w:val="18"/>
              </w:rPr>
              <w:t>自查项目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tcBorders>
              <w:tl2br w:val="nil"/>
              <w:tr2bl w:val="nil"/>
            </w:tcBorders>
            <w:vAlign w:val="center"/>
          </w:tcPr>
          <w:p>
            <w:pPr>
              <w:adjustRightInd/>
              <w:snapToGrid/>
              <w:spacing w:before="7"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评价等级与范围</w:t>
            </w:r>
          </w:p>
        </w:tc>
        <w:tc>
          <w:tcPr>
            <w:tcW w:w="1855"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position w:val="-1"/>
                <w:sz w:val="18"/>
                <w:szCs w:val="18"/>
              </w:rPr>
              <w:t>评价等级</w:t>
            </w:r>
          </w:p>
        </w:tc>
        <w:tc>
          <w:tcPr>
            <w:tcW w:w="2488" w:type="dxa"/>
            <w:gridSpan w:val="7"/>
            <w:tcBorders>
              <w:tl2br w:val="nil"/>
              <w:tr2bl w:val="nil"/>
            </w:tcBorders>
            <w:vAlign w:val="center"/>
          </w:tcPr>
          <w:p>
            <w:pPr>
              <w:adjustRightInd/>
              <w:snapToGrid/>
              <w:spacing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cs="Times New Roman"/>
                <w:bCs/>
                <w:color w:val="auto"/>
                <w:position w:val="-1"/>
                <w:sz w:val="18"/>
                <w:szCs w:val="18"/>
              </w:rPr>
              <w:t>一级</w:t>
            </w:r>
            <w:r>
              <w:rPr>
                <w:rFonts w:hint="default" w:ascii="Times New Roman" w:hAnsi="Times New Roman" w:eastAsia="仿宋" w:cs="Times New Roman"/>
                <w:bCs/>
                <w:color w:val="auto"/>
                <w:position w:val="-1"/>
                <w:sz w:val="18"/>
                <w:szCs w:val="18"/>
              </w:rPr>
              <w:sym w:font="Wingdings 2" w:char="0052"/>
            </w:r>
          </w:p>
        </w:tc>
        <w:tc>
          <w:tcPr>
            <w:tcW w:w="2195" w:type="dxa"/>
            <w:gridSpan w:val="8"/>
            <w:tcBorders>
              <w:tl2br w:val="nil"/>
              <w:tr2bl w:val="nil"/>
            </w:tcBorders>
            <w:vAlign w:val="center"/>
          </w:tcPr>
          <w:p>
            <w:pPr>
              <w:adjustRightInd/>
              <w:snapToGrid/>
              <w:spacing w:line="240" w:lineRule="auto"/>
              <w:ind w:firstLine="0" w:firstLineChars="0"/>
              <w:jc w:val="center"/>
              <w:rPr>
                <w:rFonts w:hint="default" w:ascii="Times New Roman" w:hAnsi="Times New Roman" w:eastAsia="仿宋" w:cs="Times New Roman"/>
                <w:bCs/>
                <w:color w:val="auto"/>
                <w:sz w:val="21"/>
                <w:szCs w:val="21"/>
                <w:lang w:eastAsia="zh-CN"/>
              </w:rPr>
            </w:pPr>
            <w:r>
              <w:rPr>
                <w:rFonts w:hint="default" w:ascii="Times New Roman" w:hAnsi="Times New Roman" w:cs="Times New Roman"/>
                <w:bCs/>
                <w:color w:val="auto"/>
                <w:position w:val="-1"/>
                <w:sz w:val="18"/>
                <w:szCs w:val="18"/>
              </w:rPr>
              <w:t>二级</w:t>
            </w:r>
            <w:r>
              <w:rPr>
                <w:rFonts w:hint="default" w:ascii="Times New Roman" w:hAnsi="Times New Roman" w:eastAsia="仿宋" w:cs="Times New Roman"/>
                <w:bCs/>
                <w:color w:val="auto"/>
                <w:position w:val="-1"/>
                <w:sz w:val="18"/>
                <w:szCs w:val="18"/>
                <w:lang w:eastAsia="zh-CN"/>
              </w:rPr>
              <w:t>□</w:t>
            </w:r>
          </w:p>
        </w:tc>
        <w:tc>
          <w:tcPr>
            <w:tcW w:w="1650" w:type="dxa"/>
            <w:gridSpan w:val="4"/>
            <w:tcBorders>
              <w:tl2br w:val="nil"/>
              <w:tr2bl w:val="nil"/>
            </w:tcBorders>
            <w:vAlign w:val="center"/>
          </w:tcPr>
          <w:p>
            <w:pPr>
              <w:adjustRightInd/>
              <w:snapToGrid/>
              <w:spacing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cs="Times New Roman"/>
                <w:bCs/>
                <w:color w:val="auto"/>
                <w:position w:val="-1"/>
                <w:sz w:val="18"/>
                <w:szCs w:val="18"/>
              </w:rPr>
              <w:t>三级</w:t>
            </w:r>
            <w:r>
              <w:rPr>
                <w:rFonts w:hint="default" w:ascii="Times New Roman" w:hAnsi="Times New Roman" w:eastAsia="仿宋" w:cs="Times New Roman"/>
                <w:bCs/>
                <w:color w:val="auto"/>
                <w:position w:val="-1"/>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p>
        </w:tc>
        <w:tc>
          <w:tcPr>
            <w:tcW w:w="1855"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position w:val="-1"/>
                <w:sz w:val="18"/>
                <w:szCs w:val="18"/>
              </w:rPr>
              <w:t>评价范围</w:t>
            </w:r>
          </w:p>
        </w:tc>
        <w:tc>
          <w:tcPr>
            <w:tcW w:w="2488" w:type="dxa"/>
            <w:gridSpan w:val="7"/>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边长</w:t>
            </w:r>
            <w:r>
              <w:rPr>
                <w:rFonts w:hint="default" w:ascii="Times New Roman" w:hAnsi="Times New Roman" w:eastAsia="Times New Roman" w:cs="Times New Roman"/>
                <w:bCs/>
                <w:color w:val="auto"/>
                <w:spacing w:val="-1"/>
                <w:sz w:val="18"/>
                <w:szCs w:val="18"/>
              </w:rPr>
              <w:t>=</w:t>
            </w:r>
            <w:r>
              <w:rPr>
                <w:rFonts w:hint="default" w:ascii="Times New Roman" w:hAnsi="Times New Roman" w:eastAsia="Times New Roman" w:cs="Times New Roman"/>
                <w:bCs/>
                <w:color w:val="auto"/>
                <w:spacing w:val="1"/>
                <w:sz w:val="18"/>
                <w:szCs w:val="18"/>
              </w:rPr>
              <w:t>50</w:t>
            </w:r>
            <w:r>
              <w:rPr>
                <w:rFonts w:hint="default" w:ascii="Times New Roman" w:hAnsi="Times New Roman" w:eastAsia="Times New Roman" w:cs="Times New Roman"/>
                <w:bCs/>
                <w:color w:val="auto"/>
                <w:spacing w:val="-1"/>
                <w:sz w:val="18"/>
                <w:szCs w:val="18"/>
              </w:rPr>
              <w:t>k</w:t>
            </w:r>
            <w:r>
              <w:rPr>
                <w:rFonts w:hint="default" w:ascii="Times New Roman" w:hAnsi="Times New Roman" w:eastAsia="Times New Roman" w:cs="Times New Roman"/>
                <w:bCs/>
                <w:color w:val="auto"/>
                <w:spacing w:val="-3"/>
                <w:sz w:val="18"/>
                <w:szCs w:val="18"/>
              </w:rPr>
              <w:t>m</w:t>
            </w:r>
            <w:r>
              <w:rPr>
                <w:rFonts w:hint="default" w:ascii="Times New Roman" w:hAnsi="Times New Roman" w:eastAsia="仿宋" w:cs="Times New Roman"/>
                <w:bCs/>
                <w:color w:val="auto"/>
                <w:sz w:val="18"/>
                <w:szCs w:val="18"/>
              </w:rPr>
              <w:sym w:font="Wingdings 2" w:char="00A3"/>
            </w:r>
          </w:p>
        </w:tc>
        <w:tc>
          <w:tcPr>
            <w:tcW w:w="2195" w:type="dxa"/>
            <w:gridSpan w:val="8"/>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边长</w:t>
            </w:r>
            <w:r>
              <w:rPr>
                <w:rFonts w:hint="default" w:ascii="Times New Roman" w:hAnsi="Times New Roman" w:eastAsia="Times New Roman" w:cs="Times New Roman"/>
                <w:bCs/>
                <w:color w:val="auto"/>
                <w:spacing w:val="1"/>
                <w:sz w:val="18"/>
                <w:szCs w:val="18"/>
              </w:rPr>
              <w:t>5</w:t>
            </w:r>
            <w:r>
              <w:rPr>
                <w:rFonts w:hint="default" w:ascii="Times New Roman" w:hAnsi="Times New Roman" w:cs="Times New Roman"/>
                <w:bCs/>
                <w:color w:val="auto"/>
                <w:sz w:val="18"/>
                <w:szCs w:val="18"/>
              </w:rPr>
              <w:t>～</w:t>
            </w:r>
            <w:r>
              <w:rPr>
                <w:rFonts w:hint="default" w:ascii="Times New Roman" w:hAnsi="Times New Roman" w:eastAsia="Times New Roman" w:cs="Times New Roman"/>
                <w:bCs/>
                <w:color w:val="auto"/>
                <w:spacing w:val="-1"/>
                <w:sz w:val="18"/>
                <w:szCs w:val="18"/>
              </w:rPr>
              <w:t>5</w:t>
            </w:r>
            <w:r>
              <w:rPr>
                <w:rFonts w:hint="default" w:ascii="Times New Roman" w:hAnsi="Times New Roman" w:eastAsia="Times New Roman" w:cs="Times New Roman"/>
                <w:bCs/>
                <w:color w:val="auto"/>
                <w:spacing w:val="1"/>
                <w:sz w:val="18"/>
                <w:szCs w:val="18"/>
              </w:rPr>
              <w:t>0</w:t>
            </w:r>
            <w:r>
              <w:rPr>
                <w:rFonts w:hint="default" w:ascii="Times New Roman" w:hAnsi="Times New Roman" w:eastAsia="Times New Roman" w:cs="Times New Roman"/>
                <w:bCs/>
                <w:color w:val="auto"/>
                <w:spacing w:val="-1"/>
                <w:sz w:val="18"/>
                <w:szCs w:val="18"/>
              </w:rPr>
              <w:t>k</w:t>
            </w:r>
            <w:r>
              <w:rPr>
                <w:rFonts w:hint="default" w:ascii="Times New Roman" w:hAnsi="Times New Roman" w:eastAsia="Times New Roman" w:cs="Times New Roman"/>
                <w:bCs/>
                <w:color w:val="auto"/>
                <w:spacing w:val="-3"/>
                <w:sz w:val="18"/>
                <w:szCs w:val="18"/>
              </w:rPr>
              <w:t>m</w:t>
            </w:r>
            <w:r>
              <w:rPr>
                <w:rFonts w:hint="default" w:ascii="Times New Roman" w:hAnsi="Times New Roman" w:eastAsia="仿宋" w:cs="Times New Roman"/>
                <w:bCs/>
                <w:color w:val="auto"/>
                <w:sz w:val="18"/>
                <w:szCs w:val="18"/>
              </w:rPr>
              <w:t>□</w:t>
            </w:r>
          </w:p>
        </w:tc>
        <w:tc>
          <w:tcPr>
            <w:tcW w:w="1650" w:type="dxa"/>
            <w:gridSpan w:val="4"/>
            <w:tcBorders>
              <w:tl2br w:val="nil"/>
              <w:tr2bl w:val="nil"/>
            </w:tcBorders>
            <w:vAlign w:val="center"/>
          </w:tcPr>
          <w:p>
            <w:pPr>
              <w:adjustRightInd/>
              <w:snapToGrid/>
              <w:spacing w:line="240" w:lineRule="auto"/>
              <w:ind w:firstLine="0" w:firstLineChars="0"/>
              <w:jc w:val="center"/>
              <w:rPr>
                <w:rFonts w:hint="default" w:ascii="Times New Roman" w:hAnsi="Times New Roman" w:eastAsia="仿宋" w:cs="Times New Roman"/>
                <w:bCs/>
                <w:color w:val="auto"/>
                <w:sz w:val="21"/>
                <w:szCs w:val="21"/>
                <w:lang w:eastAsia="zh-CN"/>
              </w:rPr>
            </w:pPr>
            <w:r>
              <w:rPr>
                <w:rFonts w:hint="default" w:ascii="Times New Roman" w:hAnsi="Times New Roman" w:cs="Times New Roman"/>
                <w:bCs/>
                <w:color w:val="auto"/>
                <w:sz w:val="18"/>
                <w:szCs w:val="18"/>
              </w:rPr>
              <w:t>边长</w:t>
            </w:r>
            <w:r>
              <w:rPr>
                <w:rFonts w:hint="default" w:ascii="Times New Roman" w:hAnsi="Times New Roman" w:eastAsia="Times New Roman" w:cs="Times New Roman"/>
                <w:bCs/>
                <w:color w:val="auto"/>
                <w:spacing w:val="-1"/>
                <w:sz w:val="18"/>
                <w:szCs w:val="18"/>
              </w:rPr>
              <w:t>=</w:t>
            </w:r>
            <w:r>
              <w:rPr>
                <w:rFonts w:hint="default" w:ascii="Times New Roman" w:hAnsi="Times New Roman" w:eastAsia="Times New Roman" w:cs="Times New Roman"/>
                <w:bCs/>
                <w:color w:val="auto"/>
                <w:sz w:val="18"/>
                <w:szCs w:val="18"/>
              </w:rPr>
              <w:t>5</w:t>
            </w:r>
            <w:r>
              <w:rPr>
                <w:rFonts w:hint="default" w:ascii="Times New Roman" w:hAnsi="Times New Roman" w:eastAsia="Times New Roman" w:cs="Times New Roman"/>
                <w:bCs/>
                <w:color w:val="auto"/>
                <w:spacing w:val="-1"/>
                <w:sz w:val="18"/>
                <w:szCs w:val="18"/>
              </w:rPr>
              <w:t>k</w:t>
            </w:r>
            <w:r>
              <w:rPr>
                <w:rFonts w:hint="default" w:ascii="Times New Roman" w:hAnsi="Times New Roman" w:eastAsia="Times New Roman" w:cs="Times New Roman"/>
                <w:bCs/>
                <w:color w:val="auto"/>
                <w:spacing w:val="-3"/>
                <w:sz w:val="18"/>
                <w:szCs w:val="18"/>
              </w:rPr>
              <w:t>m</w:t>
            </w:r>
            <w:r>
              <w:rPr>
                <w:rFonts w:hint="default" w:ascii="Times New Roman" w:hAnsi="Times New Roman" w:eastAsia="仿宋" w:cs="Times New Roman"/>
                <w:bCs/>
                <w:color w:val="auto"/>
                <w:sz w:val="18"/>
                <w:szCs w:val="18"/>
                <w:lang w:eastAsia="zh-CN"/>
              </w:rPr>
              <w:sym w:font="Wingdings 2" w:char="0052"/>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评价因子</w:t>
            </w:r>
          </w:p>
        </w:tc>
        <w:tc>
          <w:tcPr>
            <w:tcW w:w="1855"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eastAsia="Times New Roman" w:cs="Times New Roman"/>
                <w:bCs/>
                <w:color w:val="auto"/>
                <w:spacing w:val="1"/>
                <w:sz w:val="18"/>
                <w:szCs w:val="18"/>
              </w:rPr>
              <w:t>S</w:t>
            </w:r>
            <w:r>
              <w:rPr>
                <w:rFonts w:hint="default" w:ascii="Times New Roman" w:hAnsi="Times New Roman" w:eastAsia="Times New Roman" w:cs="Times New Roman"/>
                <w:bCs/>
                <w:color w:val="auto"/>
                <w:sz w:val="18"/>
                <w:szCs w:val="18"/>
              </w:rPr>
              <w:t>O</w:t>
            </w:r>
            <w:r>
              <w:rPr>
                <w:rFonts w:hint="default" w:ascii="Times New Roman" w:hAnsi="Times New Roman" w:eastAsia="Times New Roman" w:cs="Times New Roman"/>
                <w:bCs/>
                <w:color w:val="auto"/>
                <w:position w:val="-1"/>
                <w:sz w:val="12"/>
                <w:szCs w:val="12"/>
              </w:rPr>
              <w:t>2</w:t>
            </w:r>
            <w:r>
              <w:rPr>
                <w:rFonts w:hint="default" w:ascii="Times New Roman" w:hAnsi="Times New Roman" w:eastAsia="Times New Roman" w:cs="Times New Roman"/>
                <w:bCs/>
                <w:color w:val="auto"/>
                <w:spacing w:val="-1"/>
                <w:sz w:val="18"/>
                <w:szCs w:val="18"/>
              </w:rPr>
              <w:t>+</w:t>
            </w:r>
            <w:r>
              <w:rPr>
                <w:rFonts w:hint="default" w:ascii="Times New Roman" w:hAnsi="Times New Roman" w:eastAsia="Times New Roman" w:cs="Times New Roman"/>
                <w:bCs/>
                <w:color w:val="auto"/>
                <w:sz w:val="18"/>
                <w:szCs w:val="18"/>
              </w:rPr>
              <w:t>N</w:t>
            </w:r>
            <w:r>
              <w:rPr>
                <w:rFonts w:hint="default" w:ascii="Times New Roman" w:hAnsi="Times New Roman" w:eastAsia="Times New Roman" w:cs="Times New Roman"/>
                <w:bCs/>
                <w:color w:val="auto"/>
                <w:spacing w:val="-1"/>
                <w:sz w:val="18"/>
                <w:szCs w:val="18"/>
              </w:rPr>
              <w:t>O</w:t>
            </w:r>
            <w:r>
              <w:rPr>
                <w:rFonts w:hint="default" w:ascii="Times New Roman" w:hAnsi="Times New Roman" w:eastAsia="Times New Roman" w:cs="Times New Roman"/>
                <w:bCs/>
                <w:i/>
                <w:color w:val="auto"/>
                <w:position w:val="-1"/>
                <w:sz w:val="12"/>
                <w:szCs w:val="12"/>
              </w:rPr>
              <w:t>x</w:t>
            </w:r>
            <w:r>
              <w:rPr>
                <w:rFonts w:hint="default" w:ascii="Times New Roman" w:hAnsi="Times New Roman" w:cs="Times New Roman"/>
                <w:bCs/>
                <w:color w:val="auto"/>
                <w:sz w:val="18"/>
                <w:szCs w:val="18"/>
              </w:rPr>
              <w:t>排放量</w:t>
            </w:r>
          </w:p>
        </w:tc>
        <w:tc>
          <w:tcPr>
            <w:tcW w:w="1327" w:type="dxa"/>
            <w:gridSpan w:val="2"/>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eastAsia="仿宋" w:cs="Times New Roman"/>
                <w:bCs/>
                <w:color w:val="auto"/>
                <w:sz w:val="18"/>
                <w:szCs w:val="18"/>
              </w:rPr>
              <w:t>≥</w:t>
            </w:r>
            <w:r>
              <w:rPr>
                <w:rFonts w:hint="default" w:ascii="Times New Roman" w:hAnsi="Times New Roman" w:eastAsia="Times New Roman" w:cs="Times New Roman"/>
                <w:bCs/>
                <w:color w:val="auto"/>
                <w:spacing w:val="1"/>
                <w:sz w:val="18"/>
                <w:szCs w:val="18"/>
              </w:rPr>
              <w:t>2</w:t>
            </w:r>
            <w:r>
              <w:rPr>
                <w:rFonts w:hint="default" w:ascii="Times New Roman" w:hAnsi="Times New Roman" w:eastAsia="Times New Roman" w:cs="Times New Roman"/>
                <w:bCs/>
                <w:color w:val="auto"/>
                <w:spacing w:val="-1"/>
                <w:sz w:val="18"/>
                <w:szCs w:val="18"/>
              </w:rPr>
              <w:t>0</w:t>
            </w:r>
            <w:r>
              <w:rPr>
                <w:rFonts w:hint="default" w:ascii="Times New Roman" w:hAnsi="Times New Roman" w:eastAsia="Times New Roman" w:cs="Times New Roman"/>
                <w:bCs/>
                <w:color w:val="auto"/>
                <w:spacing w:val="1"/>
                <w:sz w:val="18"/>
                <w:szCs w:val="18"/>
              </w:rPr>
              <w:t>0</w:t>
            </w:r>
            <w:r>
              <w:rPr>
                <w:rFonts w:hint="default" w:ascii="Times New Roman" w:hAnsi="Times New Roman" w:eastAsia="Times New Roman" w:cs="Times New Roman"/>
                <w:bCs/>
                <w:color w:val="auto"/>
                <w:spacing w:val="-1"/>
                <w:sz w:val="18"/>
                <w:szCs w:val="18"/>
              </w:rPr>
              <w:t>0</w:t>
            </w:r>
            <w:r>
              <w:rPr>
                <w:rFonts w:hint="default" w:ascii="Times New Roman" w:hAnsi="Times New Roman" w:eastAsia="Times New Roman" w:cs="Times New Roman"/>
                <w:bCs/>
                <w:color w:val="auto"/>
                <w:sz w:val="18"/>
                <w:szCs w:val="18"/>
              </w:rPr>
              <w:t>t</w:t>
            </w:r>
            <w:r>
              <w:rPr>
                <w:rFonts w:hint="default" w:ascii="Times New Roman" w:hAnsi="Times New Roman" w:eastAsia="Times New Roman" w:cs="Times New Roman"/>
                <w:bCs/>
                <w:color w:val="auto"/>
                <w:spacing w:val="1"/>
                <w:sz w:val="18"/>
                <w:szCs w:val="18"/>
              </w:rPr>
              <w:t>/</w:t>
            </w:r>
            <w:r>
              <w:rPr>
                <w:rFonts w:hint="default" w:ascii="Times New Roman" w:hAnsi="Times New Roman" w:eastAsia="Times New Roman" w:cs="Times New Roman"/>
                <w:bCs/>
                <w:color w:val="auto"/>
                <w:spacing w:val="-3"/>
                <w:sz w:val="18"/>
                <w:szCs w:val="18"/>
              </w:rPr>
              <w:t>a</w:t>
            </w:r>
            <w:r>
              <w:rPr>
                <w:rFonts w:hint="default" w:ascii="Times New Roman" w:hAnsi="Times New Roman" w:eastAsia="仿宋" w:cs="Times New Roman"/>
                <w:bCs/>
                <w:color w:val="auto"/>
                <w:sz w:val="18"/>
                <w:szCs w:val="18"/>
              </w:rPr>
              <w:t>□</w:t>
            </w:r>
          </w:p>
        </w:tc>
        <w:tc>
          <w:tcPr>
            <w:tcW w:w="3356" w:type="dxa"/>
            <w:gridSpan w:val="13"/>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eastAsia="Times New Roman" w:cs="Times New Roman"/>
                <w:bCs/>
                <w:color w:val="auto"/>
                <w:spacing w:val="1"/>
                <w:sz w:val="18"/>
                <w:szCs w:val="18"/>
              </w:rPr>
              <w:t>50</w:t>
            </w:r>
            <w:r>
              <w:rPr>
                <w:rFonts w:hint="default" w:ascii="Times New Roman" w:hAnsi="Times New Roman" w:eastAsia="Times New Roman" w:cs="Times New Roman"/>
                <w:bCs/>
                <w:color w:val="auto"/>
                <w:sz w:val="18"/>
                <w:szCs w:val="18"/>
              </w:rPr>
              <w:t>0~</w:t>
            </w:r>
            <w:r>
              <w:rPr>
                <w:rFonts w:hint="default" w:ascii="Times New Roman" w:hAnsi="Times New Roman" w:eastAsia="Times New Roman" w:cs="Times New Roman"/>
                <w:bCs/>
                <w:color w:val="auto"/>
                <w:spacing w:val="1"/>
                <w:sz w:val="18"/>
                <w:szCs w:val="18"/>
              </w:rPr>
              <w:t>2</w:t>
            </w:r>
            <w:r>
              <w:rPr>
                <w:rFonts w:hint="default" w:ascii="Times New Roman" w:hAnsi="Times New Roman" w:eastAsia="Times New Roman" w:cs="Times New Roman"/>
                <w:bCs/>
                <w:color w:val="auto"/>
                <w:spacing w:val="-1"/>
                <w:sz w:val="18"/>
                <w:szCs w:val="18"/>
              </w:rPr>
              <w:t>0</w:t>
            </w:r>
            <w:r>
              <w:rPr>
                <w:rFonts w:hint="default" w:ascii="Times New Roman" w:hAnsi="Times New Roman" w:eastAsia="Times New Roman" w:cs="Times New Roman"/>
                <w:bCs/>
                <w:color w:val="auto"/>
                <w:spacing w:val="1"/>
                <w:sz w:val="18"/>
                <w:szCs w:val="18"/>
              </w:rPr>
              <w:t>0</w:t>
            </w:r>
            <w:r>
              <w:rPr>
                <w:rFonts w:hint="default" w:ascii="Times New Roman" w:hAnsi="Times New Roman" w:eastAsia="Times New Roman" w:cs="Times New Roman"/>
                <w:bCs/>
                <w:color w:val="auto"/>
                <w:spacing w:val="-1"/>
                <w:sz w:val="18"/>
                <w:szCs w:val="18"/>
              </w:rPr>
              <w:t>0</w:t>
            </w:r>
            <w:r>
              <w:rPr>
                <w:rFonts w:hint="default" w:ascii="Times New Roman" w:hAnsi="Times New Roman" w:eastAsia="Times New Roman" w:cs="Times New Roman"/>
                <w:bCs/>
                <w:color w:val="auto"/>
                <w:sz w:val="18"/>
                <w:szCs w:val="18"/>
              </w:rPr>
              <w:t>t/</w:t>
            </w:r>
            <w:r>
              <w:rPr>
                <w:rFonts w:hint="default" w:ascii="Times New Roman" w:hAnsi="Times New Roman" w:eastAsia="Times New Roman" w:cs="Times New Roman"/>
                <w:bCs/>
                <w:color w:val="auto"/>
                <w:spacing w:val="-1"/>
                <w:sz w:val="18"/>
                <w:szCs w:val="18"/>
              </w:rPr>
              <w:t>a</w:t>
            </w:r>
            <w:r>
              <w:rPr>
                <w:rFonts w:hint="default" w:ascii="Times New Roman" w:hAnsi="Times New Roman" w:eastAsia="仿宋" w:cs="Times New Roman"/>
                <w:bCs/>
                <w:color w:val="auto"/>
                <w:sz w:val="18"/>
                <w:szCs w:val="18"/>
              </w:rPr>
              <w:t>□</w:t>
            </w:r>
          </w:p>
        </w:tc>
        <w:tc>
          <w:tcPr>
            <w:tcW w:w="1650" w:type="dxa"/>
            <w:gridSpan w:val="4"/>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eastAsia="仿宋" w:cs="Times New Roman"/>
                <w:bCs/>
                <w:color w:val="auto"/>
                <w:spacing w:val="2"/>
                <w:sz w:val="18"/>
                <w:szCs w:val="18"/>
              </w:rPr>
              <w:t>＜</w:t>
            </w:r>
            <w:r>
              <w:rPr>
                <w:rFonts w:hint="default" w:ascii="Times New Roman" w:hAnsi="Times New Roman" w:eastAsia="Times New Roman" w:cs="Times New Roman"/>
                <w:bCs/>
                <w:color w:val="auto"/>
                <w:spacing w:val="-1"/>
                <w:sz w:val="18"/>
                <w:szCs w:val="18"/>
              </w:rPr>
              <w:t>5</w:t>
            </w:r>
            <w:r>
              <w:rPr>
                <w:rFonts w:hint="default" w:ascii="Times New Roman" w:hAnsi="Times New Roman" w:eastAsia="Times New Roman" w:cs="Times New Roman"/>
                <w:bCs/>
                <w:color w:val="auto"/>
                <w:spacing w:val="1"/>
                <w:sz w:val="18"/>
                <w:szCs w:val="18"/>
              </w:rPr>
              <w:t>0</w:t>
            </w:r>
            <w:r>
              <w:rPr>
                <w:rFonts w:hint="default" w:ascii="Times New Roman" w:hAnsi="Times New Roman" w:eastAsia="Times New Roman" w:cs="Times New Roman"/>
                <w:bCs/>
                <w:color w:val="auto"/>
                <w:sz w:val="18"/>
                <w:szCs w:val="18"/>
              </w:rPr>
              <w:t>0t</w:t>
            </w:r>
            <w:r>
              <w:rPr>
                <w:rFonts w:hint="default" w:ascii="Times New Roman" w:hAnsi="Times New Roman" w:eastAsia="Times New Roman" w:cs="Times New Roman"/>
                <w:bCs/>
                <w:color w:val="auto"/>
                <w:spacing w:val="1"/>
                <w:sz w:val="18"/>
                <w:szCs w:val="18"/>
              </w:rPr>
              <w:t>/</w:t>
            </w:r>
            <w:r>
              <w:rPr>
                <w:rFonts w:hint="default" w:ascii="Times New Roman" w:hAnsi="Times New Roman" w:eastAsia="Times New Roman" w:cs="Times New Roman"/>
                <w:bCs/>
                <w:color w:val="auto"/>
                <w:spacing w:val="-2"/>
                <w:sz w:val="18"/>
                <w:szCs w:val="18"/>
              </w:rPr>
              <w:t>a</w:t>
            </w:r>
            <w:r>
              <w:rPr>
                <w:rFonts w:hint="default" w:ascii="Times New Roman" w:hAnsi="Times New Roman" w:eastAsia="仿宋" w:cs="Times New Roman"/>
                <w:bCs/>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p>
        </w:tc>
        <w:tc>
          <w:tcPr>
            <w:tcW w:w="1855"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评价因子</w:t>
            </w:r>
          </w:p>
        </w:tc>
        <w:tc>
          <w:tcPr>
            <w:tcW w:w="3471" w:type="dxa"/>
            <w:gridSpan w:val="11"/>
            <w:tcBorders>
              <w:tl2br w:val="nil"/>
              <w:tr2bl w:val="nil"/>
            </w:tcBorders>
            <w:vAlign w:val="center"/>
          </w:tcPr>
          <w:p>
            <w:pPr>
              <w:pStyle w:val="56"/>
              <w:autoSpaceDE w:val="0"/>
              <w:autoSpaceDN w:val="0"/>
              <w:spacing w:line="240" w:lineRule="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基本污染物（SO</w:t>
            </w:r>
            <w:r>
              <w:rPr>
                <w:rFonts w:hint="default" w:ascii="Times New Roman" w:hAnsi="Times New Roman" w:cs="Times New Roman"/>
                <w:color w:val="auto"/>
                <w:sz w:val="18"/>
                <w:szCs w:val="18"/>
                <w:vertAlign w:val="subscript"/>
                <w:lang w:eastAsia="zh-CN"/>
              </w:rPr>
              <w:t>2</w:t>
            </w:r>
            <w:r>
              <w:rPr>
                <w:rFonts w:hint="default" w:ascii="Times New Roman" w:hAnsi="Times New Roman" w:cs="Times New Roman"/>
                <w:color w:val="auto"/>
                <w:sz w:val="18"/>
                <w:szCs w:val="18"/>
                <w:lang w:eastAsia="zh-CN"/>
              </w:rPr>
              <w:t>、NO</w:t>
            </w:r>
            <w:r>
              <w:rPr>
                <w:rFonts w:hint="default" w:ascii="Times New Roman" w:hAnsi="Times New Roman" w:cs="Times New Roman"/>
                <w:color w:val="auto"/>
                <w:sz w:val="18"/>
                <w:szCs w:val="18"/>
                <w:vertAlign w:val="subscript"/>
                <w:lang w:eastAsia="zh-CN"/>
              </w:rPr>
              <w:t>2</w:t>
            </w:r>
            <w:r>
              <w:rPr>
                <w:rFonts w:hint="default" w:ascii="Times New Roman" w:hAnsi="Times New Roman" w:cs="Times New Roman"/>
                <w:color w:val="auto"/>
                <w:sz w:val="18"/>
                <w:szCs w:val="18"/>
                <w:lang w:eastAsia="zh-CN"/>
              </w:rPr>
              <w:t>、PM</w:t>
            </w:r>
            <w:r>
              <w:rPr>
                <w:rFonts w:hint="default" w:ascii="Times New Roman" w:hAnsi="Times New Roman" w:cs="Times New Roman"/>
                <w:color w:val="auto"/>
                <w:sz w:val="18"/>
                <w:szCs w:val="18"/>
                <w:vertAlign w:val="subscript"/>
                <w:lang w:eastAsia="zh-CN"/>
              </w:rPr>
              <w:t>10</w:t>
            </w:r>
            <w:r>
              <w:rPr>
                <w:rFonts w:hint="default" w:ascii="Times New Roman" w:hAnsi="Times New Roman" w:cs="Times New Roman"/>
                <w:color w:val="auto"/>
                <w:sz w:val="18"/>
                <w:szCs w:val="18"/>
                <w:lang w:eastAsia="zh-CN"/>
              </w:rPr>
              <w:t>）</w:t>
            </w:r>
          </w:p>
          <w:p>
            <w:pPr>
              <w:tabs>
                <w:tab w:val="left" w:pos="3060"/>
              </w:tabs>
              <w:adjustRightInd/>
              <w:snapToGrid/>
              <w:spacing w:before="27"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color w:val="auto"/>
                <w:position w:val="1"/>
                <w:sz w:val="18"/>
                <w:szCs w:val="18"/>
                <w:lang w:eastAsia="zh-CN"/>
              </w:rPr>
              <w:t>其他污染物（NH</w:t>
            </w:r>
            <w:r>
              <w:rPr>
                <w:rFonts w:hint="default" w:ascii="Times New Roman" w:hAnsi="Times New Roman" w:cs="Times New Roman"/>
                <w:color w:val="auto"/>
                <w:sz w:val="18"/>
                <w:szCs w:val="18"/>
                <w:vertAlign w:val="subscript"/>
                <w:lang w:eastAsia="zh-CN"/>
              </w:rPr>
              <w:t>3</w:t>
            </w:r>
            <w:r>
              <w:rPr>
                <w:rFonts w:hint="default" w:ascii="Times New Roman" w:hAnsi="Times New Roman" w:cs="Times New Roman"/>
                <w:color w:val="auto"/>
                <w:position w:val="1"/>
                <w:sz w:val="18"/>
                <w:szCs w:val="18"/>
                <w:lang w:eastAsia="zh-CN"/>
              </w:rPr>
              <w:t>、H</w:t>
            </w:r>
            <w:r>
              <w:rPr>
                <w:rFonts w:hint="default" w:ascii="Times New Roman" w:hAnsi="Times New Roman" w:cs="Times New Roman"/>
                <w:color w:val="auto"/>
                <w:sz w:val="18"/>
                <w:szCs w:val="18"/>
                <w:vertAlign w:val="subscript"/>
                <w:lang w:eastAsia="zh-CN"/>
              </w:rPr>
              <w:t>2</w:t>
            </w:r>
            <w:r>
              <w:rPr>
                <w:rFonts w:hint="default" w:ascii="Times New Roman" w:hAnsi="Times New Roman" w:cs="Times New Roman"/>
                <w:color w:val="auto"/>
                <w:position w:val="1"/>
                <w:sz w:val="18"/>
                <w:szCs w:val="18"/>
                <w:lang w:eastAsia="zh-CN"/>
              </w:rPr>
              <w:t>S</w:t>
            </w:r>
            <w:r>
              <w:rPr>
                <w:rFonts w:hint="default" w:ascii="Times New Roman" w:hAnsi="Times New Roman" w:cs="Times New Roman"/>
                <w:color w:val="auto"/>
                <w:sz w:val="18"/>
                <w:szCs w:val="18"/>
                <w:lang w:eastAsia="zh-CN"/>
              </w:rPr>
              <w:t>）</w:t>
            </w:r>
          </w:p>
        </w:tc>
        <w:tc>
          <w:tcPr>
            <w:tcW w:w="2862" w:type="dxa"/>
            <w:gridSpan w:val="8"/>
            <w:tcBorders>
              <w:tl2br w:val="nil"/>
              <w:tr2bl w:val="nil"/>
            </w:tcBorders>
            <w:vAlign w:val="center"/>
          </w:tcPr>
          <w:p>
            <w:pPr>
              <w:adjustRightInd/>
              <w:snapToGrid/>
              <w:spacing w:before="27" w:line="240" w:lineRule="auto"/>
              <w:ind w:firstLine="360"/>
              <w:jc w:val="center"/>
              <w:rPr>
                <w:rFonts w:hint="default" w:ascii="Times New Roman" w:hAnsi="Times New Roman" w:eastAsia="仿宋" w:cs="Times New Roman"/>
                <w:bCs/>
                <w:color w:val="auto"/>
                <w:position w:val="1"/>
                <w:sz w:val="18"/>
                <w:szCs w:val="18"/>
              </w:rPr>
            </w:pPr>
            <w:r>
              <w:rPr>
                <w:rFonts w:hint="default" w:ascii="Times New Roman" w:hAnsi="Times New Roman" w:cs="Times New Roman"/>
                <w:bCs/>
                <w:color w:val="auto"/>
                <w:position w:val="1"/>
                <w:sz w:val="18"/>
                <w:szCs w:val="18"/>
              </w:rPr>
              <w:t>包括二次</w:t>
            </w:r>
            <w:r>
              <w:rPr>
                <w:rFonts w:hint="default" w:ascii="Times New Roman" w:hAnsi="Times New Roman" w:eastAsia="Times New Roman" w:cs="Times New Roman"/>
                <w:bCs/>
                <w:color w:val="auto"/>
                <w:spacing w:val="3"/>
                <w:position w:val="1"/>
                <w:sz w:val="18"/>
                <w:szCs w:val="18"/>
              </w:rPr>
              <w:t>P</w:t>
            </w:r>
            <w:r>
              <w:rPr>
                <w:rFonts w:hint="default" w:ascii="Times New Roman" w:hAnsi="Times New Roman" w:eastAsia="Times New Roman" w:cs="Times New Roman"/>
                <w:bCs/>
                <w:color w:val="auto"/>
                <w:spacing w:val="1"/>
                <w:position w:val="1"/>
                <w:sz w:val="18"/>
                <w:szCs w:val="18"/>
              </w:rPr>
              <w:t>M</w:t>
            </w:r>
            <w:r>
              <w:rPr>
                <w:rFonts w:hint="default" w:ascii="Times New Roman" w:hAnsi="Times New Roman" w:eastAsia="Times New Roman" w:cs="Times New Roman"/>
                <w:bCs/>
                <w:color w:val="auto"/>
                <w:sz w:val="12"/>
                <w:szCs w:val="12"/>
              </w:rPr>
              <w:t>2</w:t>
            </w:r>
            <w:r>
              <w:rPr>
                <w:rFonts w:hint="default" w:ascii="Times New Roman" w:hAnsi="Times New Roman" w:eastAsia="Times New Roman" w:cs="Times New Roman"/>
                <w:bCs/>
                <w:color w:val="auto"/>
                <w:spacing w:val="1"/>
                <w:sz w:val="12"/>
                <w:szCs w:val="12"/>
              </w:rPr>
              <w:t>.</w:t>
            </w:r>
            <w:r>
              <w:rPr>
                <w:rFonts w:hint="default" w:ascii="Times New Roman" w:hAnsi="Times New Roman" w:eastAsia="Times New Roman" w:cs="Times New Roman"/>
                <w:bCs/>
                <w:color w:val="auto"/>
                <w:spacing w:val="-2"/>
                <w:sz w:val="12"/>
                <w:szCs w:val="12"/>
              </w:rPr>
              <w:t>5</w:t>
            </w:r>
            <w:r>
              <w:rPr>
                <w:rFonts w:hint="default" w:ascii="Times New Roman" w:hAnsi="Times New Roman" w:eastAsia="仿宋" w:cs="Times New Roman"/>
                <w:bCs/>
                <w:color w:val="auto"/>
                <w:position w:val="1"/>
                <w:sz w:val="18"/>
                <w:szCs w:val="18"/>
              </w:rPr>
              <w:t>□</w:t>
            </w:r>
          </w:p>
          <w:p>
            <w:pPr>
              <w:adjustRightInd/>
              <w:snapToGrid/>
              <w:spacing w:before="27"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不包括二次</w:t>
            </w:r>
            <w:r>
              <w:rPr>
                <w:rFonts w:hint="default" w:ascii="Times New Roman" w:hAnsi="Times New Roman" w:eastAsia="Times New Roman" w:cs="Times New Roman"/>
                <w:bCs/>
                <w:color w:val="auto"/>
                <w:spacing w:val="3"/>
                <w:sz w:val="18"/>
                <w:szCs w:val="18"/>
              </w:rPr>
              <w:t>P</w:t>
            </w:r>
            <w:r>
              <w:rPr>
                <w:rFonts w:hint="default" w:ascii="Times New Roman" w:hAnsi="Times New Roman" w:eastAsia="Times New Roman" w:cs="Times New Roman"/>
                <w:bCs/>
                <w:color w:val="auto"/>
                <w:spacing w:val="1"/>
                <w:sz w:val="18"/>
                <w:szCs w:val="18"/>
              </w:rPr>
              <w:t>M</w:t>
            </w:r>
            <w:r>
              <w:rPr>
                <w:rFonts w:hint="default" w:ascii="Times New Roman" w:hAnsi="Times New Roman" w:eastAsia="Times New Roman" w:cs="Times New Roman"/>
                <w:bCs/>
                <w:color w:val="auto"/>
                <w:position w:val="-1"/>
                <w:sz w:val="12"/>
                <w:szCs w:val="12"/>
              </w:rPr>
              <w:t>2</w:t>
            </w:r>
            <w:r>
              <w:rPr>
                <w:rFonts w:hint="default" w:ascii="Times New Roman" w:hAnsi="Times New Roman" w:eastAsia="Times New Roman" w:cs="Times New Roman"/>
                <w:bCs/>
                <w:color w:val="auto"/>
                <w:spacing w:val="1"/>
                <w:position w:val="-1"/>
                <w:sz w:val="12"/>
                <w:szCs w:val="12"/>
              </w:rPr>
              <w:t>.</w:t>
            </w:r>
            <w:r>
              <w:rPr>
                <w:rFonts w:hint="default" w:ascii="Times New Roman" w:hAnsi="Times New Roman" w:eastAsia="Times New Roman" w:cs="Times New Roman"/>
                <w:bCs/>
                <w:color w:val="auto"/>
                <w:spacing w:val="-2"/>
                <w:position w:val="-1"/>
                <w:sz w:val="12"/>
                <w:szCs w:val="12"/>
              </w:rPr>
              <w:t>5</w:t>
            </w:r>
            <w:r>
              <w:rPr>
                <w:rFonts w:hint="default" w:ascii="Times New Roman" w:hAnsi="Times New Roman" w:eastAsia="仿宋" w:cs="Times New Roman"/>
                <w:bCs/>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position w:val="-1"/>
                <w:sz w:val="18"/>
                <w:szCs w:val="18"/>
              </w:rPr>
              <w:t>评价标准</w:t>
            </w:r>
          </w:p>
        </w:tc>
        <w:tc>
          <w:tcPr>
            <w:tcW w:w="1855"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position w:val="-1"/>
                <w:sz w:val="18"/>
                <w:szCs w:val="18"/>
              </w:rPr>
              <w:t>评价标准</w:t>
            </w:r>
          </w:p>
        </w:tc>
        <w:tc>
          <w:tcPr>
            <w:tcW w:w="1935" w:type="dxa"/>
            <w:gridSpan w:val="6"/>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position w:val="-1"/>
                <w:sz w:val="18"/>
                <w:szCs w:val="18"/>
              </w:rPr>
              <w:t>国家标准</w:t>
            </w:r>
            <w:r>
              <w:rPr>
                <w:rFonts w:hint="default" w:ascii="Times New Roman" w:hAnsi="Times New Roman" w:eastAsia="仿宋" w:cs="Times New Roman"/>
                <w:bCs/>
                <w:color w:val="auto"/>
                <w:position w:val="-1"/>
                <w:sz w:val="18"/>
                <w:szCs w:val="18"/>
              </w:rPr>
              <w:t>☑</w:t>
            </w:r>
          </w:p>
        </w:tc>
        <w:tc>
          <w:tcPr>
            <w:tcW w:w="1536" w:type="dxa"/>
            <w:gridSpan w:val="5"/>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rPr>
            </w:pPr>
            <w:r>
              <w:rPr>
                <w:rFonts w:hint="default" w:ascii="Times New Roman" w:hAnsi="Times New Roman" w:cs="Times New Roman"/>
                <w:bCs/>
                <w:color w:val="auto"/>
                <w:position w:val="-1"/>
                <w:sz w:val="18"/>
                <w:szCs w:val="18"/>
              </w:rPr>
              <w:t>地方标准</w:t>
            </w:r>
            <w:r>
              <w:rPr>
                <w:rFonts w:hint="default" w:ascii="Times New Roman" w:hAnsi="Times New Roman" w:eastAsia="仿宋" w:cs="Times New Roman"/>
                <w:bCs/>
                <w:color w:val="auto"/>
                <w:position w:val="-1"/>
                <w:sz w:val="18"/>
                <w:szCs w:val="18"/>
              </w:rPr>
              <w:t>□</w:t>
            </w:r>
          </w:p>
        </w:tc>
        <w:tc>
          <w:tcPr>
            <w:tcW w:w="1612" w:type="dxa"/>
            <w:gridSpan w:val="6"/>
            <w:tcBorders>
              <w:tl2br w:val="nil"/>
              <w:tr2bl w:val="nil"/>
            </w:tcBorders>
            <w:vAlign w:val="center"/>
          </w:tcPr>
          <w:p>
            <w:pPr>
              <w:adjustRightInd/>
              <w:snapToGrid/>
              <w:spacing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cs="Times New Roman"/>
                <w:bCs/>
                <w:color w:val="auto"/>
                <w:sz w:val="18"/>
                <w:szCs w:val="18"/>
              </w:rPr>
              <w:t>附录</w:t>
            </w:r>
            <w:r>
              <w:rPr>
                <w:rFonts w:hint="default" w:ascii="Times New Roman" w:hAnsi="Times New Roman" w:eastAsia="Times New Roman" w:cs="Times New Roman"/>
                <w:bCs/>
                <w:color w:val="auto"/>
                <w:sz w:val="18"/>
                <w:szCs w:val="18"/>
              </w:rPr>
              <w:t>D</w:t>
            </w:r>
            <w:r>
              <w:rPr>
                <w:rFonts w:hint="default" w:ascii="Times New Roman" w:hAnsi="Times New Roman" w:eastAsia="仿宋" w:cs="Times New Roman"/>
                <w:bCs/>
                <w:color w:val="auto"/>
                <w:sz w:val="18"/>
                <w:szCs w:val="18"/>
              </w:rPr>
              <w:t>☑</w:t>
            </w:r>
          </w:p>
        </w:tc>
        <w:tc>
          <w:tcPr>
            <w:tcW w:w="1250" w:type="dxa"/>
            <w:gridSpan w:val="2"/>
            <w:tcBorders>
              <w:tl2br w:val="nil"/>
              <w:tr2bl w:val="nil"/>
            </w:tcBorders>
            <w:vAlign w:val="center"/>
          </w:tcPr>
          <w:p>
            <w:pPr>
              <w:adjustRightInd/>
              <w:snapToGrid/>
              <w:spacing w:line="240" w:lineRule="auto"/>
              <w:ind w:firstLine="0" w:firstLineChars="0"/>
              <w:jc w:val="center"/>
              <w:rPr>
                <w:rFonts w:hint="default" w:ascii="Times New Roman" w:hAnsi="Times New Roman" w:eastAsia="仿宋" w:cs="Times New Roman"/>
                <w:bCs/>
                <w:color w:val="auto"/>
                <w:sz w:val="21"/>
                <w:szCs w:val="21"/>
                <w:lang w:eastAsia="zh-CN"/>
              </w:rPr>
            </w:pPr>
            <w:r>
              <w:rPr>
                <w:rFonts w:hint="default" w:ascii="Times New Roman" w:hAnsi="Times New Roman" w:cs="Times New Roman"/>
                <w:bCs/>
                <w:color w:val="auto"/>
                <w:position w:val="-1"/>
                <w:sz w:val="18"/>
                <w:szCs w:val="18"/>
              </w:rPr>
              <w:t>其他标准</w:t>
            </w:r>
            <w:r>
              <w:rPr>
                <w:rFonts w:hint="default" w:ascii="Times New Roman" w:hAnsi="Times New Roman" w:eastAsia="仿宋" w:cs="Times New Roman"/>
                <w:bCs/>
                <w:color w:val="auto"/>
                <w:position w:val="-1"/>
                <w:sz w:val="18"/>
                <w:szCs w:val="18"/>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现状评价</w:t>
            </w:r>
          </w:p>
        </w:tc>
        <w:tc>
          <w:tcPr>
            <w:tcW w:w="1855"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position w:val="-1"/>
                <w:sz w:val="18"/>
                <w:szCs w:val="18"/>
              </w:rPr>
              <w:t>环境功能区</w:t>
            </w:r>
          </w:p>
        </w:tc>
        <w:tc>
          <w:tcPr>
            <w:tcW w:w="2488" w:type="dxa"/>
            <w:gridSpan w:val="7"/>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position w:val="-1"/>
                <w:sz w:val="18"/>
                <w:szCs w:val="18"/>
              </w:rPr>
              <w:t>一类区</w:t>
            </w:r>
            <w:r>
              <w:rPr>
                <w:rFonts w:hint="default" w:ascii="Times New Roman" w:hAnsi="Times New Roman" w:eastAsia="仿宋" w:cs="Times New Roman"/>
                <w:bCs/>
                <w:color w:val="auto"/>
                <w:position w:val="-1"/>
                <w:sz w:val="18"/>
                <w:szCs w:val="18"/>
              </w:rPr>
              <w:t>□</w:t>
            </w:r>
          </w:p>
        </w:tc>
        <w:tc>
          <w:tcPr>
            <w:tcW w:w="2127" w:type="dxa"/>
            <w:gridSpan w:val="7"/>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position w:val="-1"/>
                <w:sz w:val="18"/>
                <w:szCs w:val="18"/>
              </w:rPr>
              <w:t>二类区</w:t>
            </w:r>
            <w:r>
              <w:rPr>
                <w:rFonts w:hint="default" w:ascii="Times New Roman" w:hAnsi="Times New Roman" w:eastAsia="仿宋" w:cs="Times New Roman"/>
                <w:bCs/>
                <w:color w:val="auto"/>
                <w:position w:val="-1"/>
                <w:sz w:val="18"/>
                <w:szCs w:val="18"/>
              </w:rPr>
              <w:t>☑</w:t>
            </w:r>
          </w:p>
        </w:tc>
        <w:tc>
          <w:tcPr>
            <w:tcW w:w="1718" w:type="dxa"/>
            <w:gridSpan w:val="5"/>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position w:val="-1"/>
                <w:sz w:val="18"/>
                <w:szCs w:val="18"/>
              </w:rPr>
              <w:t>一类区和二类区</w:t>
            </w:r>
            <w:r>
              <w:rPr>
                <w:rFonts w:hint="default" w:ascii="Times New Roman" w:hAnsi="Times New Roman" w:eastAsia="仿宋" w:cs="Times New Roman"/>
                <w:bCs/>
                <w:color w:val="auto"/>
                <w:position w:val="-1"/>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p>
        </w:tc>
        <w:tc>
          <w:tcPr>
            <w:tcW w:w="1855"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position w:val="-1"/>
                <w:sz w:val="18"/>
                <w:szCs w:val="18"/>
              </w:rPr>
              <w:t>评价基准年</w:t>
            </w:r>
          </w:p>
        </w:tc>
        <w:tc>
          <w:tcPr>
            <w:tcW w:w="6333" w:type="dxa"/>
            <w:gridSpan w:val="19"/>
            <w:tcBorders>
              <w:tl2br w:val="nil"/>
              <w:tr2bl w:val="nil"/>
            </w:tcBorders>
            <w:vAlign w:val="center"/>
          </w:tcPr>
          <w:p>
            <w:pPr>
              <w:tabs>
                <w:tab w:val="left" w:pos="3440"/>
              </w:tabs>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position w:val="-1"/>
                <w:sz w:val="18"/>
                <w:szCs w:val="18"/>
              </w:rPr>
              <w:t>（2018）年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p>
        </w:tc>
        <w:tc>
          <w:tcPr>
            <w:tcW w:w="1855"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position w:val="-1"/>
                <w:sz w:val="18"/>
                <w:szCs w:val="18"/>
              </w:rPr>
              <w:t>环境空气质量</w:t>
            </w:r>
            <w:r>
              <w:rPr>
                <w:rFonts w:hint="default" w:ascii="Times New Roman" w:hAnsi="Times New Roman" w:cs="Times New Roman"/>
                <w:bCs/>
                <w:color w:val="auto"/>
                <w:position w:val="-2"/>
                <w:sz w:val="18"/>
                <w:szCs w:val="18"/>
              </w:rPr>
              <w:t>现状调查数据来源</w:t>
            </w:r>
          </w:p>
        </w:tc>
        <w:tc>
          <w:tcPr>
            <w:tcW w:w="2488" w:type="dxa"/>
            <w:gridSpan w:val="7"/>
            <w:tcBorders>
              <w:tl2br w:val="nil"/>
              <w:tr2bl w:val="nil"/>
            </w:tcBorders>
            <w:vAlign w:val="center"/>
          </w:tcPr>
          <w:p>
            <w:pPr>
              <w:adjustRightInd/>
              <w:snapToGrid/>
              <w:spacing w:before="97"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cs="Times New Roman"/>
                <w:bCs/>
                <w:color w:val="auto"/>
                <w:sz w:val="18"/>
                <w:szCs w:val="18"/>
              </w:rPr>
              <w:t>长期例行监测数据</w:t>
            </w:r>
            <w:r>
              <w:rPr>
                <w:rFonts w:hint="default" w:ascii="Times New Roman" w:hAnsi="Times New Roman" w:eastAsia="仿宋" w:cs="Times New Roman"/>
                <w:bCs/>
                <w:color w:val="auto"/>
                <w:sz w:val="18"/>
                <w:szCs w:val="18"/>
              </w:rPr>
              <w:t>□</w:t>
            </w:r>
          </w:p>
        </w:tc>
        <w:tc>
          <w:tcPr>
            <w:tcW w:w="2195" w:type="dxa"/>
            <w:gridSpan w:val="8"/>
            <w:tcBorders>
              <w:tl2br w:val="nil"/>
              <w:tr2bl w:val="nil"/>
            </w:tcBorders>
            <w:vAlign w:val="center"/>
          </w:tcPr>
          <w:p>
            <w:pPr>
              <w:adjustRightInd/>
              <w:snapToGrid/>
              <w:spacing w:before="97"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主管部门发布的数</w:t>
            </w:r>
            <w:r>
              <w:rPr>
                <w:rFonts w:hint="default" w:ascii="Times New Roman" w:hAnsi="Times New Roman" w:cs="Times New Roman"/>
                <w:bCs/>
                <w:color w:val="auto"/>
                <w:spacing w:val="1"/>
                <w:sz w:val="18"/>
                <w:szCs w:val="18"/>
              </w:rPr>
              <w:t>据</w:t>
            </w:r>
            <w:r>
              <w:rPr>
                <w:rFonts w:hint="default" w:ascii="Times New Roman" w:hAnsi="Times New Roman" w:eastAsia="仿宋" w:cs="Times New Roman"/>
                <w:bCs/>
                <w:color w:val="auto"/>
                <w:sz w:val="18"/>
                <w:szCs w:val="18"/>
              </w:rPr>
              <w:t>☑</w:t>
            </w:r>
          </w:p>
        </w:tc>
        <w:tc>
          <w:tcPr>
            <w:tcW w:w="1650" w:type="dxa"/>
            <w:gridSpan w:val="4"/>
            <w:tcBorders>
              <w:tl2br w:val="nil"/>
              <w:tr2bl w:val="nil"/>
            </w:tcBorders>
            <w:vAlign w:val="center"/>
          </w:tcPr>
          <w:p>
            <w:pPr>
              <w:adjustRightInd/>
              <w:snapToGrid/>
              <w:spacing w:before="97"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现状补充监测</w:t>
            </w:r>
            <w:r>
              <w:rPr>
                <w:rFonts w:hint="default" w:ascii="Times New Roman" w:hAnsi="Times New Roman" w:eastAsia="仿宋" w:cs="Times New Roman"/>
                <w:bCs/>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p>
        </w:tc>
        <w:tc>
          <w:tcPr>
            <w:tcW w:w="1855"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position w:val="-1"/>
                <w:sz w:val="18"/>
                <w:szCs w:val="18"/>
              </w:rPr>
              <w:t>现状评价</w:t>
            </w:r>
          </w:p>
        </w:tc>
        <w:tc>
          <w:tcPr>
            <w:tcW w:w="3471" w:type="dxa"/>
            <w:gridSpan w:val="11"/>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position w:val="-1"/>
                <w:sz w:val="18"/>
                <w:szCs w:val="18"/>
              </w:rPr>
              <w:t>达标区</w:t>
            </w:r>
            <w:r>
              <w:rPr>
                <w:rFonts w:hint="default" w:ascii="Times New Roman" w:hAnsi="Times New Roman" w:eastAsia="仿宋" w:cs="Times New Roman"/>
                <w:bCs/>
                <w:color w:val="auto"/>
                <w:position w:val="-1"/>
                <w:sz w:val="18"/>
                <w:szCs w:val="18"/>
              </w:rPr>
              <w:t>□</w:t>
            </w:r>
          </w:p>
        </w:tc>
        <w:tc>
          <w:tcPr>
            <w:tcW w:w="2862" w:type="dxa"/>
            <w:gridSpan w:val="8"/>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position w:val="-1"/>
                <w:sz w:val="18"/>
                <w:szCs w:val="18"/>
              </w:rPr>
              <w:t>不达标区</w:t>
            </w:r>
            <w:r>
              <w:rPr>
                <w:rFonts w:hint="default" w:ascii="Times New Roman" w:hAnsi="Times New Roman" w:eastAsia="仿宋" w:cs="Times New Roman"/>
                <w:bCs/>
                <w:color w:val="auto"/>
                <w:position w:val="-1"/>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污染源调查</w:t>
            </w:r>
          </w:p>
        </w:tc>
        <w:tc>
          <w:tcPr>
            <w:tcW w:w="1855"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调查内容</w:t>
            </w:r>
          </w:p>
        </w:tc>
        <w:tc>
          <w:tcPr>
            <w:tcW w:w="1935" w:type="dxa"/>
            <w:gridSpan w:val="6"/>
            <w:tcBorders>
              <w:tl2br w:val="nil"/>
              <w:tr2bl w:val="nil"/>
            </w:tcBorders>
            <w:vAlign w:val="center"/>
          </w:tcPr>
          <w:p>
            <w:pPr>
              <w:adjustRightInd/>
              <w:snapToGrid/>
              <w:spacing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cs="Times New Roman"/>
                <w:bCs/>
                <w:color w:val="auto"/>
                <w:position w:val="-1"/>
                <w:sz w:val="18"/>
                <w:szCs w:val="18"/>
              </w:rPr>
              <w:t>本项目正常排放源</w:t>
            </w:r>
            <w:r>
              <w:rPr>
                <w:rFonts w:hint="default" w:ascii="Times New Roman" w:hAnsi="Times New Roman" w:eastAsia="仿宋" w:cs="Times New Roman"/>
                <w:bCs/>
                <w:color w:val="auto"/>
                <w:position w:val="-1"/>
                <w:sz w:val="18"/>
                <w:szCs w:val="18"/>
              </w:rPr>
              <w:t>☑</w:t>
            </w:r>
            <w:r>
              <w:rPr>
                <w:rFonts w:hint="default" w:ascii="Times New Roman" w:hAnsi="Times New Roman" w:cs="Times New Roman"/>
                <w:bCs/>
                <w:color w:val="auto"/>
                <w:position w:val="-2"/>
                <w:sz w:val="18"/>
                <w:szCs w:val="18"/>
              </w:rPr>
              <w:t>本项目非正常排放源</w:t>
            </w:r>
            <w:r>
              <w:rPr>
                <w:rFonts w:hint="default" w:ascii="Times New Roman" w:hAnsi="Times New Roman" w:eastAsia="仿宋" w:cs="Times New Roman"/>
                <w:bCs/>
                <w:color w:val="auto"/>
                <w:position w:val="-2"/>
                <w:sz w:val="18"/>
                <w:szCs w:val="18"/>
              </w:rPr>
              <w:t>□</w:t>
            </w:r>
            <w:r>
              <w:rPr>
                <w:rFonts w:hint="default" w:ascii="Times New Roman" w:hAnsi="Times New Roman" w:cs="Times New Roman"/>
                <w:bCs/>
                <w:color w:val="auto"/>
                <w:position w:val="-2"/>
                <w:sz w:val="18"/>
                <w:szCs w:val="18"/>
              </w:rPr>
              <w:t>现有污染源</w:t>
            </w:r>
            <w:r>
              <w:rPr>
                <w:rFonts w:hint="default" w:ascii="Times New Roman" w:hAnsi="Times New Roman" w:eastAsia="仿宋" w:cs="Times New Roman"/>
                <w:bCs/>
                <w:color w:val="auto"/>
                <w:position w:val="-2"/>
                <w:sz w:val="18"/>
                <w:szCs w:val="18"/>
              </w:rPr>
              <w:t>□</w:t>
            </w:r>
          </w:p>
        </w:tc>
        <w:tc>
          <w:tcPr>
            <w:tcW w:w="1536" w:type="dxa"/>
            <w:gridSpan w:val="5"/>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rPr>
            </w:pPr>
            <w:r>
              <w:rPr>
                <w:rFonts w:hint="default" w:ascii="Times New Roman" w:hAnsi="Times New Roman" w:cs="Times New Roman"/>
                <w:bCs/>
                <w:color w:val="auto"/>
                <w:sz w:val="18"/>
                <w:szCs w:val="18"/>
              </w:rPr>
              <w:t>拟替代的污染源</w:t>
            </w:r>
            <w:r>
              <w:rPr>
                <w:rFonts w:hint="default" w:ascii="Times New Roman" w:hAnsi="Times New Roman" w:eastAsia="仿宋" w:cs="Times New Roman"/>
                <w:bCs/>
                <w:color w:val="auto"/>
                <w:sz w:val="18"/>
                <w:szCs w:val="18"/>
              </w:rPr>
              <w:t>□</w:t>
            </w:r>
          </w:p>
        </w:tc>
        <w:tc>
          <w:tcPr>
            <w:tcW w:w="1612" w:type="dxa"/>
            <w:gridSpan w:val="6"/>
            <w:tcBorders>
              <w:tl2br w:val="nil"/>
              <w:tr2bl w:val="nil"/>
            </w:tcBorders>
            <w:vAlign w:val="center"/>
          </w:tcPr>
          <w:p>
            <w:pPr>
              <w:adjustRightInd/>
              <w:snapToGrid/>
              <w:spacing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cs="Times New Roman"/>
                <w:bCs/>
                <w:color w:val="auto"/>
                <w:sz w:val="18"/>
                <w:szCs w:val="18"/>
              </w:rPr>
              <w:t>其他在建、拟建项目污染</w:t>
            </w:r>
            <w:r>
              <w:rPr>
                <w:rFonts w:hint="default" w:ascii="Times New Roman" w:hAnsi="Times New Roman" w:cs="Times New Roman"/>
                <w:bCs/>
                <w:color w:val="auto"/>
                <w:spacing w:val="1"/>
                <w:sz w:val="18"/>
                <w:szCs w:val="18"/>
              </w:rPr>
              <w:t>源</w:t>
            </w:r>
            <w:r>
              <w:rPr>
                <w:rFonts w:hint="default" w:ascii="Times New Roman" w:hAnsi="Times New Roman" w:eastAsia="仿宋" w:cs="Times New Roman"/>
                <w:bCs/>
                <w:color w:val="auto"/>
                <w:sz w:val="18"/>
                <w:szCs w:val="18"/>
              </w:rPr>
              <w:t>□</w:t>
            </w:r>
          </w:p>
        </w:tc>
        <w:tc>
          <w:tcPr>
            <w:tcW w:w="1250" w:type="dxa"/>
            <w:gridSpan w:val="2"/>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区域污染源</w:t>
            </w:r>
            <w:r>
              <w:rPr>
                <w:rFonts w:hint="default" w:ascii="Times New Roman" w:hAnsi="Times New Roman" w:eastAsia="仿宋" w:cs="Times New Roman"/>
                <w:bCs/>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大气环境影响预测与评价</w:t>
            </w:r>
          </w:p>
        </w:tc>
        <w:tc>
          <w:tcPr>
            <w:tcW w:w="1855" w:type="dxa"/>
            <w:tcBorders>
              <w:tl2br w:val="nil"/>
              <w:tr2bl w:val="nil"/>
            </w:tcBorders>
            <w:vAlign w:val="center"/>
          </w:tcPr>
          <w:p>
            <w:pPr>
              <w:adjustRightInd/>
              <w:snapToGrid/>
              <w:spacing w:before="95"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预测模型</w:t>
            </w:r>
          </w:p>
        </w:tc>
        <w:tc>
          <w:tcPr>
            <w:tcW w:w="959" w:type="dxa"/>
            <w:tcBorders>
              <w:tl2br w:val="nil"/>
              <w:tr2bl w:val="nil"/>
            </w:tcBorders>
            <w:vAlign w:val="center"/>
          </w:tcPr>
          <w:p>
            <w:pPr>
              <w:adjustRightInd/>
              <w:snapToGrid/>
              <w:spacing w:before="51"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eastAsia="Times New Roman" w:cs="Times New Roman"/>
                <w:bCs/>
                <w:color w:val="auto"/>
                <w:spacing w:val="-3"/>
                <w:sz w:val="18"/>
                <w:szCs w:val="18"/>
              </w:rPr>
              <w:t>A</w:t>
            </w:r>
            <w:r>
              <w:rPr>
                <w:rFonts w:hint="default" w:ascii="Times New Roman" w:hAnsi="Times New Roman" w:eastAsia="Times New Roman" w:cs="Times New Roman"/>
                <w:bCs/>
                <w:color w:val="auto"/>
                <w:sz w:val="18"/>
                <w:szCs w:val="18"/>
              </w:rPr>
              <w:t>ER</w:t>
            </w:r>
            <w:r>
              <w:rPr>
                <w:rFonts w:hint="default" w:ascii="Times New Roman" w:hAnsi="Times New Roman" w:eastAsia="Times New Roman" w:cs="Times New Roman"/>
                <w:bCs/>
                <w:color w:val="auto"/>
                <w:spacing w:val="1"/>
                <w:sz w:val="18"/>
                <w:szCs w:val="18"/>
              </w:rPr>
              <w:t>M</w:t>
            </w:r>
            <w:r>
              <w:rPr>
                <w:rFonts w:hint="default" w:ascii="Times New Roman" w:hAnsi="Times New Roman" w:eastAsia="Times New Roman" w:cs="Times New Roman"/>
                <w:bCs/>
                <w:color w:val="auto"/>
                <w:sz w:val="18"/>
                <w:szCs w:val="18"/>
              </w:rPr>
              <w:t>OD</w:t>
            </w:r>
            <w:r>
              <w:rPr>
                <w:rFonts w:hint="default" w:ascii="Times New Roman" w:hAnsi="Times New Roman" w:eastAsia="仿宋" w:cs="Times New Roman"/>
                <w:bCs/>
                <w:color w:val="auto"/>
                <w:position w:val="-1"/>
                <w:sz w:val="18"/>
                <w:szCs w:val="18"/>
              </w:rPr>
              <w:t>□</w:t>
            </w:r>
          </w:p>
        </w:tc>
        <w:tc>
          <w:tcPr>
            <w:tcW w:w="860" w:type="dxa"/>
            <w:gridSpan w:val="4"/>
            <w:tcBorders>
              <w:tl2br w:val="nil"/>
              <w:tr2bl w:val="nil"/>
            </w:tcBorders>
            <w:vAlign w:val="center"/>
          </w:tcPr>
          <w:p>
            <w:pPr>
              <w:adjustRightInd/>
              <w:snapToGrid/>
              <w:spacing w:before="51" w:line="240" w:lineRule="auto"/>
              <w:ind w:firstLine="0" w:firstLineChars="0"/>
              <w:jc w:val="center"/>
              <w:rPr>
                <w:rFonts w:hint="default" w:ascii="Times New Roman" w:hAnsi="Times New Roman" w:cs="Times New Roman"/>
                <w:bCs/>
                <w:color w:val="auto"/>
              </w:rPr>
            </w:pPr>
            <w:r>
              <w:rPr>
                <w:rFonts w:hint="default" w:ascii="Times New Roman" w:hAnsi="Times New Roman" w:eastAsia="Times New Roman" w:cs="Times New Roman"/>
                <w:bCs/>
                <w:color w:val="auto"/>
                <w:spacing w:val="-3"/>
                <w:sz w:val="18"/>
                <w:szCs w:val="18"/>
              </w:rPr>
              <w:t>A</w:t>
            </w:r>
            <w:r>
              <w:rPr>
                <w:rFonts w:hint="default" w:ascii="Times New Roman" w:hAnsi="Times New Roman" w:eastAsia="Times New Roman" w:cs="Times New Roman"/>
                <w:bCs/>
                <w:color w:val="auto"/>
                <w:sz w:val="18"/>
                <w:szCs w:val="18"/>
              </w:rPr>
              <w:t>DMS</w:t>
            </w:r>
            <w:r>
              <w:rPr>
                <w:rFonts w:hint="default" w:ascii="Times New Roman" w:hAnsi="Times New Roman" w:eastAsia="仿宋" w:cs="Times New Roman"/>
                <w:bCs/>
                <w:color w:val="auto"/>
                <w:position w:val="-1"/>
                <w:sz w:val="18"/>
                <w:szCs w:val="18"/>
              </w:rPr>
              <w:t>□</w:t>
            </w:r>
          </w:p>
        </w:tc>
        <w:tc>
          <w:tcPr>
            <w:tcW w:w="1044" w:type="dxa"/>
            <w:gridSpan w:val="4"/>
            <w:tcBorders>
              <w:tl2br w:val="nil"/>
              <w:tr2bl w:val="nil"/>
            </w:tcBorders>
            <w:vAlign w:val="center"/>
          </w:tcPr>
          <w:p>
            <w:pPr>
              <w:adjustRightInd/>
              <w:snapToGrid/>
              <w:spacing w:before="51" w:line="240" w:lineRule="auto"/>
              <w:ind w:firstLine="0" w:firstLineChars="0"/>
              <w:jc w:val="center"/>
              <w:rPr>
                <w:rFonts w:hint="default" w:ascii="Times New Roman" w:hAnsi="Times New Roman" w:cs="Times New Roman"/>
                <w:bCs/>
                <w:color w:val="auto"/>
              </w:rPr>
            </w:pPr>
            <w:r>
              <w:rPr>
                <w:rFonts w:hint="default" w:ascii="Times New Roman" w:hAnsi="Times New Roman" w:eastAsia="Times New Roman" w:cs="Times New Roman"/>
                <w:bCs/>
                <w:color w:val="auto"/>
                <w:spacing w:val="-3"/>
                <w:sz w:val="18"/>
                <w:szCs w:val="18"/>
              </w:rPr>
              <w:t>A</w:t>
            </w:r>
            <w:r>
              <w:rPr>
                <w:rFonts w:hint="default" w:ascii="Times New Roman" w:hAnsi="Times New Roman" w:eastAsia="Times New Roman" w:cs="Times New Roman"/>
                <w:bCs/>
                <w:color w:val="auto"/>
                <w:sz w:val="18"/>
                <w:szCs w:val="18"/>
              </w:rPr>
              <w:t>U</w:t>
            </w:r>
            <w:r>
              <w:rPr>
                <w:rFonts w:hint="default" w:ascii="Times New Roman" w:hAnsi="Times New Roman" w:eastAsia="Times New Roman" w:cs="Times New Roman"/>
                <w:bCs/>
                <w:color w:val="auto"/>
                <w:spacing w:val="3"/>
                <w:sz w:val="18"/>
                <w:szCs w:val="18"/>
              </w:rPr>
              <w:t>S</w:t>
            </w:r>
            <w:r>
              <w:rPr>
                <w:rFonts w:hint="default" w:ascii="Times New Roman" w:hAnsi="Times New Roman" w:eastAsia="Times New Roman" w:cs="Times New Roman"/>
                <w:bCs/>
                <w:color w:val="auto"/>
                <w:spacing w:val="-14"/>
                <w:sz w:val="18"/>
                <w:szCs w:val="18"/>
              </w:rPr>
              <w:t>T</w:t>
            </w:r>
            <w:r>
              <w:rPr>
                <w:rFonts w:hint="default" w:ascii="Times New Roman" w:hAnsi="Times New Roman" w:eastAsia="Times New Roman" w:cs="Times New Roman"/>
                <w:bCs/>
                <w:color w:val="auto"/>
                <w:sz w:val="18"/>
                <w:szCs w:val="18"/>
              </w:rPr>
              <w:t>A</w:t>
            </w:r>
            <w:r>
              <w:rPr>
                <w:rFonts w:hint="default" w:ascii="Times New Roman" w:hAnsi="Times New Roman" w:eastAsia="Times New Roman" w:cs="Times New Roman"/>
                <w:bCs/>
                <w:color w:val="auto"/>
                <w:spacing w:val="-2"/>
                <w:sz w:val="18"/>
                <w:szCs w:val="18"/>
              </w:rPr>
              <w:t>L</w:t>
            </w:r>
            <w:r>
              <w:rPr>
                <w:rFonts w:hint="default" w:ascii="Times New Roman" w:hAnsi="Times New Roman" w:eastAsia="Times New Roman" w:cs="Times New Roman"/>
                <w:bCs/>
                <w:color w:val="auto"/>
                <w:spacing w:val="1"/>
                <w:sz w:val="18"/>
                <w:szCs w:val="18"/>
              </w:rPr>
              <w:t>2000</w:t>
            </w:r>
            <w:r>
              <w:rPr>
                <w:rFonts w:hint="default" w:ascii="Times New Roman" w:hAnsi="Times New Roman" w:eastAsia="仿宋" w:cs="Times New Roman"/>
                <w:bCs/>
                <w:color w:val="auto"/>
                <w:position w:val="-1"/>
                <w:sz w:val="18"/>
                <w:szCs w:val="18"/>
              </w:rPr>
              <w:t>□</w:t>
            </w:r>
          </w:p>
        </w:tc>
        <w:tc>
          <w:tcPr>
            <w:tcW w:w="1016" w:type="dxa"/>
            <w:gridSpan w:val="3"/>
            <w:tcBorders>
              <w:tl2br w:val="nil"/>
              <w:tr2bl w:val="nil"/>
            </w:tcBorders>
            <w:vAlign w:val="center"/>
          </w:tcPr>
          <w:p>
            <w:pPr>
              <w:adjustRightInd/>
              <w:snapToGrid/>
              <w:spacing w:before="51"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eastAsia="Times New Roman" w:cs="Times New Roman"/>
                <w:bCs/>
                <w:color w:val="auto"/>
                <w:sz w:val="18"/>
                <w:szCs w:val="18"/>
              </w:rPr>
              <w:t>ED</w:t>
            </w:r>
            <w:r>
              <w:rPr>
                <w:rFonts w:hint="default" w:ascii="Times New Roman" w:hAnsi="Times New Roman" w:eastAsia="Times New Roman" w:cs="Times New Roman"/>
                <w:bCs/>
                <w:color w:val="auto"/>
                <w:spacing w:val="1"/>
                <w:sz w:val="18"/>
                <w:szCs w:val="18"/>
              </w:rPr>
              <w:t>MS</w:t>
            </w:r>
            <w:r>
              <w:rPr>
                <w:rFonts w:hint="default" w:ascii="Times New Roman" w:hAnsi="Times New Roman" w:eastAsia="Times New Roman" w:cs="Times New Roman"/>
                <w:bCs/>
                <w:color w:val="auto"/>
                <w:sz w:val="18"/>
                <w:szCs w:val="18"/>
              </w:rPr>
              <w:t>/</w:t>
            </w:r>
            <w:r>
              <w:rPr>
                <w:rFonts w:hint="default" w:ascii="Times New Roman" w:hAnsi="Times New Roman" w:eastAsia="Times New Roman" w:cs="Times New Roman"/>
                <w:bCs/>
                <w:color w:val="auto"/>
                <w:spacing w:val="-2"/>
                <w:sz w:val="18"/>
                <w:szCs w:val="18"/>
              </w:rPr>
              <w:t>A</w:t>
            </w:r>
            <w:r>
              <w:rPr>
                <w:rFonts w:hint="default" w:ascii="Times New Roman" w:hAnsi="Times New Roman" w:eastAsia="Times New Roman" w:cs="Times New Roman"/>
                <w:bCs/>
                <w:color w:val="auto"/>
                <w:sz w:val="18"/>
                <w:szCs w:val="18"/>
              </w:rPr>
              <w:t>EDT</w:t>
            </w:r>
            <w:r>
              <w:rPr>
                <w:rFonts w:hint="default" w:ascii="Times New Roman" w:hAnsi="Times New Roman" w:eastAsia="仿宋" w:cs="Times New Roman"/>
                <w:bCs/>
                <w:color w:val="auto"/>
                <w:position w:val="-1"/>
                <w:sz w:val="18"/>
                <w:szCs w:val="18"/>
              </w:rPr>
              <w:t>□</w:t>
            </w:r>
          </w:p>
        </w:tc>
        <w:tc>
          <w:tcPr>
            <w:tcW w:w="804" w:type="dxa"/>
            <w:gridSpan w:val="3"/>
            <w:tcBorders>
              <w:tl2br w:val="nil"/>
              <w:tr2bl w:val="nil"/>
            </w:tcBorders>
            <w:vAlign w:val="center"/>
          </w:tcPr>
          <w:p>
            <w:pPr>
              <w:adjustRightInd/>
              <w:snapToGrid/>
              <w:spacing w:before="51" w:line="240" w:lineRule="auto"/>
              <w:ind w:firstLine="0" w:firstLineChars="0"/>
              <w:jc w:val="center"/>
              <w:rPr>
                <w:rFonts w:hint="default" w:ascii="Times New Roman" w:hAnsi="Times New Roman" w:cs="Times New Roman"/>
                <w:bCs/>
                <w:color w:val="auto"/>
              </w:rPr>
            </w:pPr>
            <w:r>
              <w:rPr>
                <w:rFonts w:hint="default" w:ascii="Times New Roman" w:hAnsi="Times New Roman" w:eastAsia="Times New Roman" w:cs="Times New Roman"/>
                <w:bCs/>
                <w:color w:val="auto"/>
                <w:sz w:val="18"/>
                <w:szCs w:val="18"/>
              </w:rPr>
              <w:t>CA</w:t>
            </w:r>
            <w:r>
              <w:rPr>
                <w:rFonts w:hint="default" w:ascii="Times New Roman" w:hAnsi="Times New Roman" w:eastAsia="Times New Roman" w:cs="Times New Roman"/>
                <w:bCs/>
                <w:color w:val="auto"/>
                <w:spacing w:val="-2"/>
                <w:sz w:val="18"/>
                <w:szCs w:val="18"/>
              </w:rPr>
              <w:t>L</w:t>
            </w:r>
            <w:r>
              <w:rPr>
                <w:rFonts w:hint="default" w:ascii="Times New Roman" w:hAnsi="Times New Roman" w:eastAsia="Times New Roman" w:cs="Times New Roman"/>
                <w:bCs/>
                <w:color w:val="auto"/>
                <w:spacing w:val="3"/>
                <w:sz w:val="18"/>
                <w:szCs w:val="18"/>
              </w:rPr>
              <w:t>P</w:t>
            </w:r>
            <w:r>
              <w:rPr>
                <w:rFonts w:hint="default" w:ascii="Times New Roman" w:hAnsi="Times New Roman" w:eastAsia="Times New Roman" w:cs="Times New Roman"/>
                <w:bCs/>
                <w:color w:val="auto"/>
                <w:sz w:val="18"/>
                <w:szCs w:val="18"/>
              </w:rPr>
              <w:t>UFF</w:t>
            </w:r>
            <w:r>
              <w:rPr>
                <w:rFonts w:hint="default" w:ascii="Times New Roman" w:hAnsi="Times New Roman" w:eastAsia="仿宋" w:cs="Times New Roman"/>
                <w:bCs/>
                <w:color w:val="auto"/>
                <w:position w:val="-1"/>
                <w:sz w:val="18"/>
                <w:szCs w:val="18"/>
              </w:rPr>
              <w:t>□</w:t>
            </w:r>
          </w:p>
        </w:tc>
        <w:tc>
          <w:tcPr>
            <w:tcW w:w="878" w:type="dxa"/>
            <w:gridSpan w:val="3"/>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position w:val="-1"/>
                <w:sz w:val="18"/>
                <w:szCs w:val="18"/>
              </w:rPr>
              <w:t>网格模型</w:t>
            </w:r>
            <w:r>
              <w:rPr>
                <w:rFonts w:hint="default" w:ascii="Times New Roman" w:hAnsi="Times New Roman" w:eastAsia="仿宋" w:cs="Times New Roman"/>
                <w:bCs/>
                <w:color w:val="auto"/>
                <w:position w:val="-2"/>
                <w:sz w:val="18"/>
                <w:szCs w:val="18"/>
              </w:rPr>
              <w:t>□</w:t>
            </w:r>
          </w:p>
        </w:tc>
        <w:tc>
          <w:tcPr>
            <w:tcW w:w="772"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rPr>
            </w:pPr>
            <w:r>
              <w:rPr>
                <w:rFonts w:hint="default" w:ascii="Times New Roman" w:hAnsi="Times New Roman" w:cs="Times New Roman"/>
                <w:bCs/>
                <w:color w:val="auto"/>
                <w:position w:val="-1"/>
                <w:sz w:val="18"/>
                <w:szCs w:val="18"/>
              </w:rPr>
              <w:t>其他</w:t>
            </w:r>
            <w:r>
              <w:rPr>
                <w:rFonts w:hint="default" w:ascii="Times New Roman" w:hAnsi="Times New Roman" w:eastAsia="仿宋" w:cs="Times New Roman"/>
                <w:bCs/>
                <w:color w:val="auto"/>
                <w:position w:val="-2"/>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p>
        </w:tc>
        <w:tc>
          <w:tcPr>
            <w:tcW w:w="1855"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position w:val="-1"/>
                <w:sz w:val="18"/>
                <w:szCs w:val="18"/>
              </w:rPr>
              <w:t>预测范围</w:t>
            </w:r>
          </w:p>
        </w:tc>
        <w:tc>
          <w:tcPr>
            <w:tcW w:w="1819" w:type="dxa"/>
            <w:gridSpan w:val="5"/>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边长</w:t>
            </w:r>
            <w:r>
              <w:rPr>
                <w:rFonts w:hint="default" w:ascii="Times New Roman" w:hAnsi="Times New Roman" w:eastAsia="仿宋" w:cs="Times New Roman"/>
                <w:bCs/>
                <w:color w:val="auto"/>
                <w:sz w:val="18"/>
                <w:szCs w:val="18"/>
              </w:rPr>
              <w:t>≥</w:t>
            </w:r>
            <w:r>
              <w:rPr>
                <w:rFonts w:hint="default" w:ascii="Times New Roman" w:hAnsi="Times New Roman" w:eastAsia="Times New Roman" w:cs="Times New Roman"/>
                <w:bCs/>
                <w:color w:val="auto"/>
                <w:spacing w:val="1"/>
                <w:sz w:val="18"/>
                <w:szCs w:val="18"/>
              </w:rPr>
              <w:t>50</w:t>
            </w:r>
            <w:r>
              <w:rPr>
                <w:rFonts w:hint="default" w:ascii="Times New Roman" w:hAnsi="Times New Roman" w:eastAsia="Times New Roman" w:cs="Times New Roman"/>
                <w:bCs/>
                <w:color w:val="auto"/>
                <w:spacing w:val="-1"/>
                <w:sz w:val="18"/>
                <w:szCs w:val="18"/>
              </w:rPr>
              <w:t>k</w:t>
            </w:r>
            <w:r>
              <w:rPr>
                <w:rFonts w:hint="default" w:ascii="Times New Roman" w:hAnsi="Times New Roman" w:eastAsia="Times New Roman" w:cs="Times New Roman"/>
                <w:bCs/>
                <w:color w:val="auto"/>
                <w:spacing w:val="-3"/>
                <w:sz w:val="18"/>
                <w:szCs w:val="18"/>
              </w:rPr>
              <w:t>m</w:t>
            </w:r>
            <w:r>
              <w:rPr>
                <w:rFonts w:hint="default" w:ascii="Times New Roman" w:hAnsi="Times New Roman" w:eastAsia="仿宋" w:cs="Times New Roman"/>
                <w:bCs/>
                <w:color w:val="auto"/>
                <w:sz w:val="18"/>
                <w:szCs w:val="18"/>
              </w:rPr>
              <w:t>□</w:t>
            </w:r>
          </w:p>
        </w:tc>
        <w:tc>
          <w:tcPr>
            <w:tcW w:w="2864" w:type="dxa"/>
            <w:gridSpan w:val="10"/>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边长</w:t>
            </w:r>
            <w:r>
              <w:rPr>
                <w:rFonts w:hint="default" w:ascii="Times New Roman" w:hAnsi="Times New Roman" w:eastAsia="Times New Roman" w:cs="Times New Roman"/>
                <w:bCs/>
                <w:color w:val="auto"/>
                <w:spacing w:val="1"/>
                <w:sz w:val="18"/>
                <w:szCs w:val="18"/>
              </w:rPr>
              <w:t>5</w:t>
            </w:r>
            <w:r>
              <w:rPr>
                <w:rFonts w:hint="default" w:ascii="Times New Roman" w:hAnsi="Times New Roman" w:cs="Times New Roman"/>
                <w:bCs/>
                <w:color w:val="auto"/>
                <w:sz w:val="18"/>
                <w:szCs w:val="18"/>
              </w:rPr>
              <w:t>～</w:t>
            </w:r>
            <w:r>
              <w:rPr>
                <w:rFonts w:hint="default" w:ascii="Times New Roman" w:hAnsi="Times New Roman" w:eastAsia="Times New Roman" w:cs="Times New Roman"/>
                <w:bCs/>
                <w:color w:val="auto"/>
                <w:spacing w:val="-1"/>
                <w:sz w:val="18"/>
                <w:szCs w:val="18"/>
              </w:rPr>
              <w:t>5</w:t>
            </w:r>
            <w:r>
              <w:rPr>
                <w:rFonts w:hint="default" w:ascii="Times New Roman" w:hAnsi="Times New Roman" w:eastAsia="Times New Roman" w:cs="Times New Roman"/>
                <w:bCs/>
                <w:color w:val="auto"/>
                <w:spacing w:val="1"/>
                <w:sz w:val="18"/>
                <w:szCs w:val="18"/>
              </w:rPr>
              <w:t>0</w:t>
            </w:r>
            <w:r>
              <w:rPr>
                <w:rFonts w:hint="default" w:ascii="Times New Roman" w:hAnsi="Times New Roman" w:eastAsia="Times New Roman" w:cs="Times New Roman"/>
                <w:bCs/>
                <w:color w:val="auto"/>
                <w:spacing w:val="-1"/>
                <w:sz w:val="18"/>
                <w:szCs w:val="18"/>
              </w:rPr>
              <w:t>k</w:t>
            </w:r>
            <w:r>
              <w:rPr>
                <w:rFonts w:hint="default" w:ascii="Times New Roman" w:hAnsi="Times New Roman" w:eastAsia="Times New Roman" w:cs="Times New Roman"/>
                <w:bCs/>
                <w:color w:val="auto"/>
                <w:sz w:val="18"/>
                <w:szCs w:val="18"/>
              </w:rPr>
              <w:t>m</w:t>
            </w:r>
            <w:r>
              <w:rPr>
                <w:rFonts w:hint="default" w:ascii="Times New Roman" w:hAnsi="Times New Roman" w:eastAsia="仿宋" w:cs="Times New Roman"/>
                <w:bCs/>
                <w:color w:val="auto"/>
                <w:sz w:val="18"/>
                <w:szCs w:val="18"/>
              </w:rPr>
              <w:t>□</w:t>
            </w:r>
          </w:p>
        </w:tc>
        <w:tc>
          <w:tcPr>
            <w:tcW w:w="1650" w:type="dxa"/>
            <w:gridSpan w:val="4"/>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边长</w:t>
            </w:r>
            <w:r>
              <w:rPr>
                <w:rFonts w:hint="default" w:ascii="Times New Roman" w:hAnsi="Times New Roman" w:eastAsia="Times New Roman" w:cs="Times New Roman"/>
                <w:bCs/>
                <w:color w:val="auto"/>
                <w:sz w:val="18"/>
                <w:szCs w:val="18"/>
              </w:rPr>
              <w:t>=5</w:t>
            </w:r>
            <w:r>
              <w:rPr>
                <w:rFonts w:hint="default" w:ascii="Times New Roman" w:hAnsi="Times New Roman" w:eastAsia="Times New Roman" w:cs="Times New Roman"/>
                <w:bCs/>
                <w:color w:val="auto"/>
                <w:spacing w:val="-1"/>
                <w:sz w:val="18"/>
                <w:szCs w:val="18"/>
              </w:rPr>
              <w:t>k</w:t>
            </w:r>
            <w:r>
              <w:rPr>
                <w:rFonts w:hint="default" w:ascii="Times New Roman" w:hAnsi="Times New Roman" w:eastAsia="Times New Roman" w:cs="Times New Roman"/>
                <w:bCs/>
                <w:color w:val="auto"/>
                <w:sz w:val="18"/>
                <w:szCs w:val="18"/>
              </w:rPr>
              <w:t>m</w:t>
            </w:r>
            <w:r>
              <w:rPr>
                <w:rFonts w:hint="default" w:ascii="Times New Roman" w:hAnsi="Times New Roman" w:eastAsia="仿宋" w:cs="Times New Roman"/>
                <w:bCs/>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p>
        </w:tc>
        <w:tc>
          <w:tcPr>
            <w:tcW w:w="1855" w:type="dxa"/>
            <w:tcBorders>
              <w:tl2br w:val="nil"/>
              <w:tr2bl w:val="nil"/>
            </w:tcBorders>
            <w:vAlign w:val="center"/>
          </w:tcPr>
          <w:p>
            <w:pPr>
              <w:adjustRightInd/>
              <w:snapToGrid/>
              <w:spacing w:before="97"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预测因子</w:t>
            </w:r>
          </w:p>
        </w:tc>
        <w:tc>
          <w:tcPr>
            <w:tcW w:w="3471" w:type="dxa"/>
            <w:gridSpan w:val="11"/>
            <w:tcBorders>
              <w:tl2br w:val="nil"/>
              <w:tr2bl w:val="nil"/>
            </w:tcBorders>
            <w:vAlign w:val="center"/>
          </w:tcPr>
          <w:p>
            <w:pPr>
              <w:tabs>
                <w:tab w:val="left" w:pos="2960"/>
              </w:tabs>
              <w:adjustRightInd/>
              <w:snapToGrid/>
              <w:spacing w:before="97"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预测因子</w:t>
            </w:r>
            <w:r>
              <w:rPr>
                <w:rFonts w:hint="default" w:ascii="Times New Roman" w:hAnsi="Times New Roman" w:eastAsia="Times New Roman" w:cs="Times New Roman"/>
                <w:bCs/>
                <w:color w:val="auto"/>
                <w:sz w:val="18"/>
                <w:szCs w:val="18"/>
              </w:rPr>
              <w:t>()</w:t>
            </w:r>
          </w:p>
        </w:tc>
        <w:tc>
          <w:tcPr>
            <w:tcW w:w="2862" w:type="dxa"/>
            <w:gridSpan w:val="8"/>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包括二次</w:t>
            </w:r>
            <w:r>
              <w:rPr>
                <w:rFonts w:hint="default" w:ascii="Times New Roman" w:hAnsi="Times New Roman" w:eastAsia="Times New Roman" w:cs="Times New Roman"/>
                <w:bCs/>
                <w:color w:val="auto"/>
                <w:spacing w:val="3"/>
                <w:sz w:val="18"/>
                <w:szCs w:val="18"/>
              </w:rPr>
              <w:t>P</w:t>
            </w:r>
            <w:r>
              <w:rPr>
                <w:rFonts w:hint="default" w:ascii="Times New Roman" w:hAnsi="Times New Roman" w:eastAsia="Times New Roman" w:cs="Times New Roman"/>
                <w:bCs/>
                <w:color w:val="auto"/>
                <w:spacing w:val="1"/>
                <w:sz w:val="18"/>
                <w:szCs w:val="18"/>
              </w:rPr>
              <w:t>M</w:t>
            </w:r>
            <w:r>
              <w:rPr>
                <w:rFonts w:hint="default" w:ascii="Times New Roman" w:hAnsi="Times New Roman" w:eastAsia="Times New Roman" w:cs="Times New Roman"/>
                <w:bCs/>
                <w:color w:val="auto"/>
                <w:position w:val="-1"/>
                <w:sz w:val="12"/>
                <w:szCs w:val="12"/>
              </w:rPr>
              <w:t>2</w:t>
            </w:r>
            <w:r>
              <w:rPr>
                <w:rFonts w:hint="default" w:ascii="Times New Roman" w:hAnsi="Times New Roman" w:eastAsia="Times New Roman" w:cs="Times New Roman"/>
                <w:bCs/>
                <w:color w:val="auto"/>
                <w:spacing w:val="1"/>
                <w:position w:val="-1"/>
                <w:sz w:val="12"/>
                <w:szCs w:val="12"/>
              </w:rPr>
              <w:t>.</w:t>
            </w:r>
            <w:r>
              <w:rPr>
                <w:rFonts w:hint="default" w:ascii="Times New Roman" w:hAnsi="Times New Roman" w:eastAsia="Times New Roman" w:cs="Times New Roman"/>
                <w:bCs/>
                <w:color w:val="auto"/>
                <w:position w:val="-1"/>
                <w:sz w:val="12"/>
                <w:szCs w:val="12"/>
              </w:rPr>
              <w:t>5</w:t>
            </w:r>
            <w:r>
              <w:rPr>
                <w:rFonts w:hint="default" w:ascii="Times New Roman" w:hAnsi="Times New Roman" w:eastAsia="仿宋" w:cs="Times New Roman"/>
                <w:bCs/>
                <w:color w:val="auto"/>
                <w:sz w:val="18"/>
                <w:szCs w:val="18"/>
              </w:rPr>
              <w:t>□</w:t>
            </w:r>
            <w:r>
              <w:rPr>
                <w:rFonts w:hint="default" w:ascii="Times New Roman" w:hAnsi="Times New Roman" w:cs="Times New Roman"/>
                <w:bCs/>
                <w:color w:val="auto"/>
                <w:sz w:val="18"/>
                <w:szCs w:val="18"/>
              </w:rPr>
              <w:t>不包括二次</w:t>
            </w:r>
            <w:r>
              <w:rPr>
                <w:rFonts w:hint="default" w:ascii="Times New Roman" w:hAnsi="Times New Roman" w:eastAsia="Times New Roman" w:cs="Times New Roman"/>
                <w:bCs/>
                <w:color w:val="auto"/>
                <w:spacing w:val="3"/>
                <w:sz w:val="18"/>
                <w:szCs w:val="18"/>
              </w:rPr>
              <w:t>P</w:t>
            </w:r>
            <w:r>
              <w:rPr>
                <w:rFonts w:hint="default" w:ascii="Times New Roman" w:hAnsi="Times New Roman" w:eastAsia="Times New Roman" w:cs="Times New Roman"/>
                <w:bCs/>
                <w:color w:val="auto"/>
                <w:spacing w:val="1"/>
                <w:sz w:val="18"/>
                <w:szCs w:val="18"/>
              </w:rPr>
              <w:t>M</w:t>
            </w:r>
            <w:r>
              <w:rPr>
                <w:rFonts w:hint="default" w:ascii="Times New Roman" w:hAnsi="Times New Roman" w:eastAsia="Times New Roman" w:cs="Times New Roman"/>
                <w:bCs/>
                <w:color w:val="auto"/>
                <w:position w:val="-1"/>
                <w:sz w:val="12"/>
                <w:szCs w:val="12"/>
              </w:rPr>
              <w:t>2</w:t>
            </w:r>
            <w:r>
              <w:rPr>
                <w:rFonts w:hint="default" w:ascii="Times New Roman" w:hAnsi="Times New Roman" w:eastAsia="Times New Roman" w:cs="Times New Roman"/>
                <w:bCs/>
                <w:color w:val="auto"/>
                <w:spacing w:val="1"/>
                <w:position w:val="-1"/>
                <w:sz w:val="12"/>
                <w:szCs w:val="12"/>
              </w:rPr>
              <w:t>.</w:t>
            </w:r>
            <w:r>
              <w:rPr>
                <w:rFonts w:hint="default" w:ascii="Times New Roman" w:hAnsi="Times New Roman" w:eastAsia="Times New Roman" w:cs="Times New Roman"/>
                <w:bCs/>
                <w:color w:val="auto"/>
                <w:position w:val="-1"/>
                <w:sz w:val="12"/>
                <w:szCs w:val="12"/>
              </w:rPr>
              <w:t>5</w:t>
            </w:r>
            <w:r>
              <w:rPr>
                <w:rFonts w:hint="default" w:ascii="Times New Roman" w:hAnsi="Times New Roman" w:eastAsia="仿宋" w:cs="Times New Roman"/>
                <w:bCs/>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p>
        </w:tc>
        <w:tc>
          <w:tcPr>
            <w:tcW w:w="1855"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正常排放短期浓度贡献值</w:t>
            </w:r>
          </w:p>
        </w:tc>
        <w:tc>
          <w:tcPr>
            <w:tcW w:w="3471" w:type="dxa"/>
            <w:gridSpan w:val="11"/>
            <w:tcBorders>
              <w:tl2br w:val="nil"/>
              <w:tr2bl w:val="nil"/>
            </w:tcBorders>
            <w:vAlign w:val="center"/>
          </w:tcPr>
          <w:p>
            <w:pPr>
              <w:tabs>
                <w:tab w:val="left" w:pos="1240"/>
              </w:tabs>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position w:val="11"/>
                <w:sz w:val="18"/>
                <w:szCs w:val="18"/>
              </w:rPr>
              <w:t>C</w:t>
            </w:r>
            <w:r>
              <w:rPr>
                <w:rFonts w:hint="default" w:ascii="Times New Roman" w:hAnsi="Times New Roman" w:cs="Times New Roman"/>
                <w:bCs/>
                <w:color w:val="auto"/>
                <w:position w:val="11"/>
                <w:sz w:val="18"/>
                <w:szCs w:val="18"/>
                <w:vertAlign w:val="subscript"/>
              </w:rPr>
              <w:t>本项目</w:t>
            </w:r>
            <w:r>
              <w:rPr>
                <w:rFonts w:hint="default" w:ascii="Times New Roman" w:hAnsi="Times New Roman" w:cs="Times New Roman"/>
                <w:bCs/>
                <w:color w:val="auto"/>
                <w:position w:val="11"/>
                <w:sz w:val="18"/>
                <w:szCs w:val="18"/>
              </w:rPr>
              <w:t>最大占标率</w:t>
            </w:r>
            <w:r>
              <w:rPr>
                <w:rFonts w:hint="default" w:ascii="Times New Roman" w:hAnsi="Times New Roman" w:eastAsia="仿宋" w:cs="Times New Roman"/>
                <w:bCs/>
                <w:color w:val="auto"/>
                <w:spacing w:val="2"/>
                <w:position w:val="11"/>
                <w:sz w:val="18"/>
                <w:szCs w:val="18"/>
              </w:rPr>
              <w:t>≤</w:t>
            </w:r>
            <w:r>
              <w:rPr>
                <w:rFonts w:hint="default" w:ascii="Times New Roman" w:hAnsi="Times New Roman" w:eastAsia="Times New Roman" w:cs="Times New Roman"/>
                <w:bCs/>
                <w:color w:val="auto"/>
                <w:spacing w:val="-1"/>
                <w:position w:val="11"/>
                <w:sz w:val="18"/>
                <w:szCs w:val="18"/>
              </w:rPr>
              <w:t>1</w:t>
            </w:r>
            <w:r>
              <w:rPr>
                <w:rFonts w:hint="default" w:ascii="Times New Roman" w:hAnsi="Times New Roman" w:eastAsia="Times New Roman" w:cs="Times New Roman"/>
                <w:bCs/>
                <w:color w:val="auto"/>
                <w:spacing w:val="1"/>
                <w:position w:val="11"/>
                <w:sz w:val="18"/>
                <w:szCs w:val="18"/>
              </w:rPr>
              <w:t>00</w:t>
            </w:r>
            <w:r>
              <w:rPr>
                <w:rFonts w:hint="default" w:ascii="Times New Roman" w:hAnsi="Times New Roman" w:eastAsia="Times New Roman" w:cs="Times New Roman"/>
                <w:bCs/>
                <w:color w:val="auto"/>
                <w:spacing w:val="-3"/>
                <w:position w:val="11"/>
                <w:sz w:val="18"/>
                <w:szCs w:val="18"/>
              </w:rPr>
              <w:t>%</w:t>
            </w:r>
            <w:r>
              <w:rPr>
                <w:rFonts w:hint="default" w:ascii="Times New Roman" w:hAnsi="Times New Roman" w:eastAsia="仿宋" w:cs="Times New Roman"/>
                <w:bCs/>
                <w:color w:val="auto"/>
                <w:position w:val="11"/>
                <w:sz w:val="18"/>
                <w:szCs w:val="18"/>
              </w:rPr>
              <w:t>□</w:t>
            </w:r>
          </w:p>
        </w:tc>
        <w:tc>
          <w:tcPr>
            <w:tcW w:w="2862" w:type="dxa"/>
            <w:gridSpan w:val="8"/>
            <w:tcBorders>
              <w:tl2br w:val="nil"/>
              <w:tr2bl w:val="nil"/>
            </w:tcBorders>
            <w:vAlign w:val="center"/>
          </w:tcPr>
          <w:p>
            <w:pPr>
              <w:tabs>
                <w:tab w:val="left" w:pos="840"/>
              </w:tabs>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position w:val="11"/>
                <w:sz w:val="18"/>
                <w:szCs w:val="18"/>
              </w:rPr>
              <w:t>C</w:t>
            </w:r>
            <w:r>
              <w:rPr>
                <w:rFonts w:hint="default" w:ascii="Times New Roman" w:hAnsi="Times New Roman" w:cs="Times New Roman"/>
                <w:bCs/>
                <w:color w:val="auto"/>
                <w:position w:val="11"/>
                <w:sz w:val="18"/>
                <w:szCs w:val="18"/>
                <w:vertAlign w:val="subscript"/>
              </w:rPr>
              <w:t>本项目</w:t>
            </w:r>
            <w:r>
              <w:rPr>
                <w:rFonts w:hint="default" w:ascii="Times New Roman" w:hAnsi="Times New Roman" w:cs="Times New Roman"/>
                <w:bCs/>
                <w:color w:val="auto"/>
                <w:position w:val="11"/>
                <w:sz w:val="18"/>
                <w:szCs w:val="18"/>
              </w:rPr>
              <w:t>最大占标率</w:t>
            </w:r>
            <w:r>
              <w:rPr>
                <w:rFonts w:hint="default" w:ascii="Times New Roman" w:hAnsi="Times New Roman" w:eastAsia="仿宋" w:cs="Times New Roman"/>
                <w:bCs/>
                <w:color w:val="auto"/>
                <w:spacing w:val="2"/>
                <w:position w:val="11"/>
                <w:sz w:val="18"/>
                <w:szCs w:val="18"/>
              </w:rPr>
              <w:t>＞</w:t>
            </w:r>
            <w:r>
              <w:rPr>
                <w:rFonts w:hint="default" w:ascii="Times New Roman" w:hAnsi="Times New Roman" w:eastAsia="Times New Roman" w:cs="Times New Roman"/>
                <w:bCs/>
                <w:color w:val="auto"/>
                <w:spacing w:val="-1"/>
                <w:position w:val="11"/>
                <w:sz w:val="18"/>
                <w:szCs w:val="18"/>
              </w:rPr>
              <w:t>1</w:t>
            </w:r>
            <w:r>
              <w:rPr>
                <w:rFonts w:hint="default" w:ascii="Times New Roman" w:hAnsi="Times New Roman" w:eastAsia="Times New Roman" w:cs="Times New Roman"/>
                <w:bCs/>
                <w:color w:val="auto"/>
                <w:spacing w:val="1"/>
                <w:position w:val="11"/>
                <w:sz w:val="18"/>
                <w:szCs w:val="18"/>
              </w:rPr>
              <w:t>00</w:t>
            </w:r>
            <w:r>
              <w:rPr>
                <w:rFonts w:hint="default" w:ascii="Times New Roman" w:hAnsi="Times New Roman" w:eastAsia="Times New Roman" w:cs="Times New Roman"/>
                <w:bCs/>
                <w:color w:val="auto"/>
                <w:position w:val="11"/>
                <w:sz w:val="18"/>
                <w:szCs w:val="18"/>
              </w:rPr>
              <w:t>%</w:t>
            </w:r>
            <w:r>
              <w:rPr>
                <w:rFonts w:hint="default" w:ascii="Times New Roman" w:hAnsi="Times New Roman" w:eastAsia="仿宋" w:cs="Times New Roman"/>
                <w:bCs/>
                <w:color w:val="auto"/>
                <w:position w:val="11"/>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p>
        </w:tc>
        <w:tc>
          <w:tcPr>
            <w:tcW w:w="1855" w:type="dxa"/>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正常排放年均浓度贡献值</w:t>
            </w:r>
          </w:p>
        </w:tc>
        <w:tc>
          <w:tcPr>
            <w:tcW w:w="959" w:type="dxa"/>
            <w:tcBorders>
              <w:tl2br w:val="nil"/>
              <w:tr2bl w:val="nil"/>
            </w:tcBorders>
            <w:vAlign w:val="center"/>
          </w:tcPr>
          <w:p>
            <w:pPr>
              <w:adjustRightInd/>
              <w:snapToGrid/>
              <w:spacing w:before="80"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一类区</w:t>
            </w:r>
          </w:p>
        </w:tc>
        <w:tc>
          <w:tcPr>
            <w:tcW w:w="2512" w:type="dxa"/>
            <w:gridSpan w:val="10"/>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rPr>
            </w:pPr>
            <w:r>
              <w:rPr>
                <w:rFonts w:hint="default" w:ascii="Times New Roman" w:hAnsi="Times New Roman" w:cs="Times New Roman"/>
                <w:bCs/>
                <w:color w:val="auto"/>
                <w:position w:val="11"/>
                <w:sz w:val="18"/>
                <w:szCs w:val="18"/>
              </w:rPr>
              <w:t>C</w:t>
            </w:r>
            <w:r>
              <w:rPr>
                <w:rFonts w:hint="default" w:ascii="Times New Roman" w:hAnsi="Times New Roman" w:cs="Times New Roman"/>
                <w:bCs/>
                <w:color w:val="auto"/>
                <w:position w:val="11"/>
                <w:sz w:val="18"/>
                <w:szCs w:val="18"/>
                <w:vertAlign w:val="subscript"/>
              </w:rPr>
              <w:t>本项目</w:t>
            </w:r>
            <w:r>
              <w:rPr>
                <w:rFonts w:hint="default" w:ascii="Times New Roman" w:hAnsi="Times New Roman" w:cs="Times New Roman"/>
                <w:bCs/>
                <w:color w:val="auto"/>
                <w:position w:val="11"/>
                <w:sz w:val="18"/>
                <w:szCs w:val="18"/>
              </w:rPr>
              <w:t>最大占标率</w:t>
            </w:r>
            <w:r>
              <w:rPr>
                <w:rFonts w:hint="default" w:ascii="Times New Roman" w:hAnsi="Times New Roman" w:eastAsia="仿宋" w:cs="Times New Roman"/>
                <w:bCs/>
                <w:color w:val="auto"/>
                <w:spacing w:val="2"/>
                <w:position w:val="11"/>
                <w:sz w:val="18"/>
                <w:szCs w:val="18"/>
              </w:rPr>
              <w:t>≤</w:t>
            </w:r>
            <w:r>
              <w:rPr>
                <w:rFonts w:hint="default" w:ascii="Times New Roman" w:hAnsi="Times New Roman" w:eastAsia="Times New Roman" w:cs="Times New Roman"/>
                <w:bCs/>
                <w:color w:val="auto"/>
                <w:spacing w:val="-1"/>
                <w:position w:val="11"/>
                <w:sz w:val="18"/>
                <w:szCs w:val="18"/>
              </w:rPr>
              <w:t>1</w:t>
            </w:r>
            <w:r>
              <w:rPr>
                <w:rFonts w:hint="default" w:ascii="Times New Roman" w:hAnsi="Times New Roman" w:eastAsia="Times New Roman" w:cs="Times New Roman"/>
                <w:bCs/>
                <w:color w:val="auto"/>
                <w:spacing w:val="1"/>
                <w:position w:val="11"/>
                <w:sz w:val="18"/>
                <w:szCs w:val="18"/>
              </w:rPr>
              <w:t>0</w:t>
            </w:r>
            <w:r>
              <w:rPr>
                <w:rFonts w:hint="default" w:ascii="Times New Roman" w:hAnsi="Times New Roman" w:eastAsia="Times New Roman" w:cs="Times New Roman"/>
                <w:bCs/>
                <w:color w:val="auto"/>
                <w:spacing w:val="-1"/>
                <w:position w:val="11"/>
                <w:sz w:val="18"/>
                <w:szCs w:val="18"/>
              </w:rPr>
              <w:t>%</w:t>
            </w:r>
            <w:r>
              <w:rPr>
                <w:rFonts w:hint="default" w:ascii="Times New Roman" w:hAnsi="Times New Roman" w:eastAsia="仿宋" w:cs="Times New Roman"/>
                <w:bCs/>
                <w:color w:val="auto"/>
                <w:position w:val="11"/>
                <w:sz w:val="18"/>
                <w:szCs w:val="18"/>
              </w:rPr>
              <w:t>□</w:t>
            </w:r>
          </w:p>
        </w:tc>
        <w:tc>
          <w:tcPr>
            <w:tcW w:w="2862" w:type="dxa"/>
            <w:gridSpan w:val="8"/>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position w:val="11"/>
                <w:sz w:val="18"/>
                <w:szCs w:val="18"/>
              </w:rPr>
              <w:t>C</w:t>
            </w:r>
            <w:r>
              <w:rPr>
                <w:rFonts w:hint="default" w:ascii="Times New Roman" w:hAnsi="Times New Roman" w:cs="Times New Roman"/>
                <w:bCs/>
                <w:color w:val="auto"/>
                <w:position w:val="11"/>
                <w:sz w:val="18"/>
                <w:szCs w:val="18"/>
                <w:vertAlign w:val="subscript"/>
              </w:rPr>
              <w:t>本项目</w:t>
            </w:r>
            <w:r>
              <w:rPr>
                <w:rFonts w:hint="default" w:ascii="Times New Roman" w:hAnsi="Times New Roman" w:cs="Times New Roman"/>
                <w:bCs/>
                <w:color w:val="auto"/>
                <w:position w:val="11"/>
                <w:sz w:val="18"/>
                <w:szCs w:val="18"/>
              </w:rPr>
              <w:t>最大标率</w:t>
            </w:r>
            <w:r>
              <w:rPr>
                <w:rFonts w:hint="default" w:ascii="Times New Roman" w:hAnsi="Times New Roman" w:eastAsia="仿宋" w:cs="Times New Roman"/>
                <w:bCs/>
                <w:color w:val="auto"/>
                <w:spacing w:val="2"/>
                <w:position w:val="11"/>
                <w:sz w:val="18"/>
                <w:szCs w:val="18"/>
              </w:rPr>
              <w:t>＞</w:t>
            </w:r>
            <w:r>
              <w:rPr>
                <w:rFonts w:hint="default" w:ascii="Times New Roman" w:hAnsi="Times New Roman" w:eastAsia="Times New Roman" w:cs="Times New Roman"/>
                <w:bCs/>
                <w:color w:val="auto"/>
                <w:spacing w:val="-1"/>
                <w:position w:val="11"/>
                <w:sz w:val="18"/>
                <w:szCs w:val="18"/>
              </w:rPr>
              <w:t>1</w:t>
            </w:r>
            <w:r>
              <w:rPr>
                <w:rFonts w:hint="default" w:ascii="Times New Roman" w:hAnsi="Times New Roman" w:eastAsia="Times New Roman" w:cs="Times New Roman"/>
                <w:bCs/>
                <w:color w:val="auto"/>
                <w:spacing w:val="1"/>
                <w:position w:val="11"/>
                <w:sz w:val="18"/>
                <w:szCs w:val="18"/>
              </w:rPr>
              <w:t>0</w:t>
            </w:r>
            <w:r>
              <w:rPr>
                <w:rFonts w:hint="default" w:ascii="Times New Roman" w:hAnsi="Times New Roman" w:eastAsia="Times New Roman" w:cs="Times New Roman"/>
                <w:bCs/>
                <w:color w:val="auto"/>
                <w:position w:val="11"/>
                <w:sz w:val="18"/>
                <w:szCs w:val="18"/>
              </w:rPr>
              <w:t>%</w:t>
            </w:r>
            <w:r>
              <w:rPr>
                <w:rFonts w:hint="default" w:ascii="Times New Roman" w:hAnsi="Times New Roman" w:eastAsia="仿宋" w:cs="Times New Roman"/>
                <w:bCs/>
                <w:color w:val="auto"/>
                <w:position w:val="11"/>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p>
        </w:tc>
        <w:tc>
          <w:tcPr>
            <w:tcW w:w="1855" w:type="dxa"/>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p>
        </w:tc>
        <w:tc>
          <w:tcPr>
            <w:tcW w:w="959" w:type="dxa"/>
            <w:tcBorders>
              <w:tl2br w:val="nil"/>
              <w:tr2bl w:val="nil"/>
            </w:tcBorders>
            <w:vAlign w:val="center"/>
          </w:tcPr>
          <w:p>
            <w:pPr>
              <w:adjustRightInd/>
              <w:snapToGrid/>
              <w:spacing w:before="42"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二类区</w:t>
            </w:r>
          </w:p>
        </w:tc>
        <w:tc>
          <w:tcPr>
            <w:tcW w:w="2512" w:type="dxa"/>
            <w:gridSpan w:val="10"/>
            <w:tcBorders>
              <w:tl2br w:val="nil"/>
              <w:tr2bl w:val="nil"/>
            </w:tcBorders>
            <w:vAlign w:val="center"/>
          </w:tcPr>
          <w:p>
            <w:pPr>
              <w:tabs>
                <w:tab w:val="left" w:pos="780"/>
              </w:tabs>
              <w:adjustRightInd/>
              <w:snapToGrid/>
              <w:spacing w:line="240" w:lineRule="auto"/>
              <w:ind w:firstLine="0" w:firstLineChars="0"/>
              <w:jc w:val="center"/>
              <w:rPr>
                <w:rFonts w:hint="default" w:ascii="Times New Roman" w:hAnsi="Times New Roman" w:cs="Times New Roman"/>
                <w:bCs/>
                <w:color w:val="auto"/>
              </w:rPr>
            </w:pPr>
            <w:r>
              <w:rPr>
                <w:rFonts w:hint="default" w:ascii="Times New Roman" w:hAnsi="Times New Roman" w:cs="Times New Roman"/>
                <w:bCs/>
                <w:color w:val="auto"/>
                <w:position w:val="11"/>
                <w:sz w:val="18"/>
                <w:szCs w:val="18"/>
              </w:rPr>
              <w:t>C</w:t>
            </w:r>
            <w:r>
              <w:rPr>
                <w:rFonts w:hint="default" w:ascii="Times New Roman" w:hAnsi="Times New Roman" w:cs="Times New Roman"/>
                <w:bCs/>
                <w:color w:val="auto"/>
                <w:position w:val="11"/>
                <w:sz w:val="18"/>
                <w:szCs w:val="18"/>
                <w:vertAlign w:val="subscript"/>
              </w:rPr>
              <w:t>本项目</w:t>
            </w:r>
            <w:r>
              <w:rPr>
                <w:rFonts w:hint="default" w:ascii="Times New Roman" w:hAnsi="Times New Roman" w:cs="Times New Roman"/>
                <w:bCs/>
                <w:color w:val="auto"/>
                <w:position w:val="8"/>
                <w:sz w:val="18"/>
                <w:szCs w:val="18"/>
              </w:rPr>
              <w:t>最大占标率</w:t>
            </w:r>
            <w:r>
              <w:rPr>
                <w:rFonts w:hint="default" w:ascii="Times New Roman" w:hAnsi="Times New Roman" w:eastAsia="仿宋" w:cs="Times New Roman"/>
                <w:bCs/>
                <w:color w:val="auto"/>
                <w:spacing w:val="2"/>
                <w:position w:val="8"/>
                <w:sz w:val="18"/>
                <w:szCs w:val="18"/>
              </w:rPr>
              <w:t>≤</w:t>
            </w:r>
            <w:r>
              <w:rPr>
                <w:rFonts w:hint="default" w:ascii="Times New Roman" w:hAnsi="Times New Roman" w:eastAsia="Times New Roman" w:cs="Times New Roman"/>
                <w:bCs/>
                <w:color w:val="auto"/>
                <w:spacing w:val="-1"/>
                <w:position w:val="8"/>
                <w:sz w:val="18"/>
                <w:szCs w:val="18"/>
              </w:rPr>
              <w:t>3</w:t>
            </w:r>
            <w:r>
              <w:rPr>
                <w:rFonts w:hint="default" w:ascii="Times New Roman" w:hAnsi="Times New Roman" w:eastAsia="Times New Roman" w:cs="Times New Roman"/>
                <w:bCs/>
                <w:color w:val="auto"/>
                <w:spacing w:val="1"/>
                <w:position w:val="8"/>
                <w:sz w:val="18"/>
                <w:szCs w:val="18"/>
              </w:rPr>
              <w:t>0</w:t>
            </w:r>
            <w:r>
              <w:rPr>
                <w:rFonts w:hint="default" w:ascii="Times New Roman" w:hAnsi="Times New Roman" w:eastAsia="Times New Roman" w:cs="Times New Roman"/>
                <w:bCs/>
                <w:color w:val="auto"/>
                <w:spacing w:val="-1"/>
                <w:position w:val="8"/>
                <w:sz w:val="18"/>
                <w:szCs w:val="18"/>
              </w:rPr>
              <w:t>%</w:t>
            </w:r>
            <w:r>
              <w:rPr>
                <w:rFonts w:hint="default" w:ascii="Times New Roman" w:hAnsi="Times New Roman" w:eastAsia="仿宋" w:cs="Times New Roman"/>
                <w:bCs/>
                <w:color w:val="auto"/>
                <w:position w:val="8"/>
                <w:sz w:val="18"/>
                <w:szCs w:val="18"/>
              </w:rPr>
              <w:t>□</w:t>
            </w:r>
          </w:p>
        </w:tc>
        <w:tc>
          <w:tcPr>
            <w:tcW w:w="2862" w:type="dxa"/>
            <w:gridSpan w:val="8"/>
            <w:tcBorders>
              <w:tl2br w:val="nil"/>
              <w:tr2bl w:val="nil"/>
            </w:tcBorders>
            <w:vAlign w:val="center"/>
          </w:tcPr>
          <w:p>
            <w:pPr>
              <w:tabs>
                <w:tab w:val="left" w:pos="980"/>
              </w:tabs>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position w:val="11"/>
                <w:sz w:val="18"/>
                <w:szCs w:val="18"/>
              </w:rPr>
              <w:t>C</w:t>
            </w:r>
            <w:r>
              <w:rPr>
                <w:rFonts w:hint="default" w:ascii="Times New Roman" w:hAnsi="Times New Roman" w:cs="Times New Roman"/>
                <w:bCs/>
                <w:color w:val="auto"/>
                <w:position w:val="11"/>
                <w:sz w:val="18"/>
                <w:szCs w:val="18"/>
                <w:vertAlign w:val="subscript"/>
              </w:rPr>
              <w:t>本项目</w:t>
            </w:r>
            <w:r>
              <w:rPr>
                <w:rFonts w:hint="default" w:ascii="Times New Roman" w:hAnsi="Times New Roman" w:cs="Times New Roman"/>
                <w:bCs/>
                <w:color w:val="auto"/>
                <w:position w:val="8"/>
                <w:sz w:val="18"/>
                <w:szCs w:val="18"/>
              </w:rPr>
              <w:t>最大标率</w:t>
            </w:r>
            <w:r>
              <w:rPr>
                <w:rFonts w:hint="default" w:ascii="Times New Roman" w:hAnsi="Times New Roman" w:eastAsia="仿宋" w:cs="Times New Roman"/>
                <w:bCs/>
                <w:color w:val="auto"/>
                <w:spacing w:val="2"/>
                <w:position w:val="8"/>
                <w:sz w:val="18"/>
                <w:szCs w:val="18"/>
              </w:rPr>
              <w:t>＞</w:t>
            </w:r>
            <w:r>
              <w:rPr>
                <w:rFonts w:hint="default" w:ascii="Times New Roman" w:hAnsi="Times New Roman" w:eastAsia="Times New Roman" w:cs="Times New Roman"/>
                <w:bCs/>
                <w:color w:val="auto"/>
                <w:spacing w:val="-1"/>
                <w:position w:val="8"/>
                <w:sz w:val="18"/>
                <w:szCs w:val="18"/>
              </w:rPr>
              <w:t>3</w:t>
            </w:r>
            <w:r>
              <w:rPr>
                <w:rFonts w:hint="default" w:ascii="Times New Roman" w:hAnsi="Times New Roman" w:eastAsia="Times New Roman" w:cs="Times New Roman"/>
                <w:bCs/>
                <w:color w:val="auto"/>
                <w:spacing w:val="1"/>
                <w:position w:val="8"/>
                <w:sz w:val="18"/>
                <w:szCs w:val="18"/>
              </w:rPr>
              <w:t>0</w:t>
            </w:r>
            <w:r>
              <w:rPr>
                <w:rFonts w:hint="default" w:ascii="Times New Roman" w:hAnsi="Times New Roman" w:eastAsia="Times New Roman" w:cs="Times New Roman"/>
                <w:bCs/>
                <w:color w:val="auto"/>
                <w:position w:val="8"/>
                <w:sz w:val="18"/>
                <w:szCs w:val="18"/>
              </w:rPr>
              <w:t>%</w:t>
            </w:r>
            <w:r>
              <w:rPr>
                <w:rFonts w:hint="default" w:ascii="Times New Roman" w:hAnsi="Times New Roman" w:eastAsia="仿宋" w:cs="Times New Roman"/>
                <w:bCs/>
                <w:color w:val="auto"/>
                <w:position w:val="8"/>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p>
        </w:tc>
        <w:tc>
          <w:tcPr>
            <w:tcW w:w="1855"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非正常排放</w:t>
            </w:r>
            <w:r>
              <w:rPr>
                <w:rFonts w:hint="default" w:ascii="Times New Roman" w:hAnsi="Times New Roman" w:eastAsia="Times New Roman" w:cs="Times New Roman"/>
                <w:bCs/>
                <w:color w:val="auto"/>
                <w:spacing w:val="1"/>
                <w:sz w:val="18"/>
                <w:szCs w:val="18"/>
              </w:rPr>
              <w:t>1</w:t>
            </w:r>
            <w:r>
              <w:rPr>
                <w:rFonts w:hint="default" w:ascii="Times New Roman" w:hAnsi="Times New Roman" w:eastAsia="Times New Roman" w:cs="Times New Roman"/>
                <w:bCs/>
                <w:color w:val="auto"/>
                <w:sz w:val="18"/>
                <w:szCs w:val="18"/>
              </w:rPr>
              <w:t>h</w:t>
            </w:r>
            <w:r>
              <w:rPr>
                <w:rFonts w:hint="default" w:ascii="Times New Roman" w:hAnsi="Times New Roman" w:cs="Times New Roman"/>
                <w:bCs/>
                <w:color w:val="auto"/>
                <w:sz w:val="18"/>
                <w:szCs w:val="18"/>
              </w:rPr>
              <w:t>浓度</w:t>
            </w:r>
            <w:r>
              <w:rPr>
                <w:rFonts w:hint="default" w:ascii="Times New Roman" w:hAnsi="Times New Roman" w:cs="Times New Roman"/>
                <w:bCs/>
                <w:color w:val="auto"/>
                <w:position w:val="-1"/>
                <w:sz w:val="18"/>
                <w:szCs w:val="18"/>
              </w:rPr>
              <w:t>贡献值</w:t>
            </w:r>
          </w:p>
        </w:tc>
        <w:tc>
          <w:tcPr>
            <w:tcW w:w="1439" w:type="dxa"/>
            <w:gridSpan w:val="3"/>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position w:val="-1"/>
                <w:sz w:val="18"/>
                <w:szCs w:val="18"/>
              </w:rPr>
              <w:t>非正常持续时长（0.5）</w:t>
            </w:r>
            <w:r>
              <w:rPr>
                <w:rFonts w:hint="default" w:ascii="Times New Roman" w:hAnsi="Times New Roman" w:eastAsia="Times New Roman" w:cs="Times New Roman"/>
                <w:bCs/>
                <w:color w:val="auto"/>
                <w:position w:val="-1"/>
                <w:sz w:val="18"/>
                <w:szCs w:val="18"/>
              </w:rPr>
              <w:t>h</w:t>
            </w:r>
          </w:p>
        </w:tc>
        <w:tc>
          <w:tcPr>
            <w:tcW w:w="2617" w:type="dxa"/>
            <w:gridSpan w:val="10"/>
            <w:tcBorders>
              <w:tl2br w:val="nil"/>
              <w:tr2bl w:val="nil"/>
            </w:tcBorders>
            <w:vAlign w:val="center"/>
          </w:tcPr>
          <w:p>
            <w:pPr>
              <w:tabs>
                <w:tab w:val="left" w:pos="920"/>
              </w:tabs>
              <w:adjustRightInd/>
              <w:snapToGrid/>
              <w:spacing w:line="240" w:lineRule="auto"/>
              <w:ind w:firstLine="0" w:firstLineChars="0"/>
              <w:jc w:val="center"/>
              <w:rPr>
                <w:rFonts w:hint="default" w:ascii="Times New Roman" w:hAnsi="Times New Roman" w:eastAsia="仿宋" w:cs="Times New Roman"/>
                <w:bCs/>
                <w:color w:val="auto"/>
              </w:rPr>
            </w:pPr>
            <w:r>
              <w:rPr>
                <w:rFonts w:hint="default" w:ascii="Times New Roman" w:hAnsi="Times New Roman" w:cs="Times New Roman"/>
                <w:bCs/>
                <w:color w:val="auto"/>
                <w:position w:val="11"/>
                <w:sz w:val="18"/>
                <w:szCs w:val="18"/>
              </w:rPr>
              <w:t>C</w:t>
            </w:r>
            <w:r>
              <w:rPr>
                <w:rFonts w:hint="default" w:ascii="Times New Roman" w:hAnsi="Times New Roman" w:cs="Times New Roman"/>
                <w:bCs/>
                <w:color w:val="auto"/>
                <w:position w:val="11"/>
                <w:sz w:val="18"/>
                <w:szCs w:val="18"/>
                <w:vertAlign w:val="subscript"/>
              </w:rPr>
              <w:t>本项目</w:t>
            </w:r>
            <w:r>
              <w:rPr>
                <w:rFonts w:hint="default" w:ascii="Times New Roman" w:hAnsi="Times New Roman" w:cs="Times New Roman"/>
                <w:bCs/>
                <w:color w:val="auto"/>
                <w:position w:val="12"/>
                <w:sz w:val="18"/>
                <w:szCs w:val="18"/>
              </w:rPr>
              <w:t>占标率</w:t>
            </w:r>
            <w:r>
              <w:rPr>
                <w:rFonts w:hint="default" w:ascii="Times New Roman" w:hAnsi="Times New Roman" w:eastAsia="仿宋" w:cs="Times New Roman"/>
                <w:bCs/>
                <w:color w:val="auto"/>
                <w:spacing w:val="2"/>
                <w:position w:val="12"/>
                <w:sz w:val="18"/>
                <w:szCs w:val="18"/>
              </w:rPr>
              <w:t>≤</w:t>
            </w:r>
            <w:r>
              <w:rPr>
                <w:rFonts w:hint="default" w:ascii="Times New Roman" w:hAnsi="Times New Roman" w:eastAsia="Times New Roman" w:cs="Times New Roman"/>
                <w:bCs/>
                <w:color w:val="auto"/>
                <w:spacing w:val="-1"/>
                <w:position w:val="12"/>
                <w:sz w:val="18"/>
                <w:szCs w:val="18"/>
              </w:rPr>
              <w:t>1</w:t>
            </w:r>
            <w:r>
              <w:rPr>
                <w:rFonts w:hint="default" w:ascii="Times New Roman" w:hAnsi="Times New Roman" w:eastAsia="Times New Roman" w:cs="Times New Roman"/>
                <w:bCs/>
                <w:color w:val="auto"/>
                <w:spacing w:val="1"/>
                <w:position w:val="12"/>
                <w:sz w:val="18"/>
                <w:szCs w:val="18"/>
              </w:rPr>
              <w:t>00</w:t>
            </w:r>
            <w:r>
              <w:rPr>
                <w:rFonts w:hint="default" w:ascii="Times New Roman" w:hAnsi="Times New Roman" w:eastAsia="Times New Roman" w:cs="Times New Roman"/>
                <w:bCs/>
                <w:color w:val="auto"/>
                <w:position w:val="12"/>
                <w:sz w:val="18"/>
                <w:szCs w:val="18"/>
              </w:rPr>
              <w:t>%</w:t>
            </w:r>
            <w:r>
              <w:rPr>
                <w:rFonts w:hint="default" w:ascii="Times New Roman" w:hAnsi="Times New Roman" w:eastAsia="仿宋" w:cs="Times New Roman"/>
                <w:bCs/>
                <w:color w:val="auto"/>
                <w:position w:val="12"/>
                <w:sz w:val="18"/>
                <w:szCs w:val="18"/>
              </w:rPr>
              <w:t>□</w:t>
            </w:r>
          </w:p>
        </w:tc>
        <w:tc>
          <w:tcPr>
            <w:tcW w:w="2277" w:type="dxa"/>
            <w:gridSpan w:val="6"/>
            <w:tcBorders>
              <w:tl2br w:val="nil"/>
              <w:tr2bl w:val="nil"/>
            </w:tcBorders>
            <w:vAlign w:val="center"/>
          </w:tcPr>
          <w:p>
            <w:pPr>
              <w:tabs>
                <w:tab w:val="left" w:pos="760"/>
              </w:tabs>
              <w:adjustRightInd/>
              <w:snapToGrid/>
              <w:spacing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cs="Times New Roman"/>
                <w:bCs/>
                <w:color w:val="auto"/>
                <w:position w:val="11"/>
                <w:sz w:val="18"/>
                <w:szCs w:val="18"/>
              </w:rPr>
              <w:t>C</w:t>
            </w:r>
            <w:r>
              <w:rPr>
                <w:rFonts w:hint="default" w:ascii="Times New Roman" w:hAnsi="Times New Roman" w:cs="Times New Roman"/>
                <w:bCs/>
                <w:color w:val="auto"/>
                <w:position w:val="11"/>
                <w:sz w:val="18"/>
                <w:szCs w:val="18"/>
                <w:vertAlign w:val="subscript"/>
              </w:rPr>
              <w:t>本项目</w:t>
            </w:r>
            <w:r>
              <w:rPr>
                <w:rFonts w:hint="default" w:ascii="Times New Roman" w:hAnsi="Times New Roman" w:cs="Times New Roman"/>
                <w:bCs/>
                <w:color w:val="auto"/>
                <w:position w:val="12"/>
                <w:sz w:val="18"/>
                <w:szCs w:val="18"/>
              </w:rPr>
              <w:t>占标率</w:t>
            </w:r>
            <w:r>
              <w:rPr>
                <w:rFonts w:hint="default" w:ascii="Times New Roman" w:hAnsi="Times New Roman" w:eastAsia="仿宋" w:cs="Times New Roman"/>
                <w:bCs/>
                <w:color w:val="auto"/>
                <w:spacing w:val="2"/>
                <w:position w:val="12"/>
                <w:sz w:val="18"/>
                <w:szCs w:val="18"/>
              </w:rPr>
              <w:t>＞</w:t>
            </w:r>
            <w:r>
              <w:rPr>
                <w:rFonts w:hint="default" w:ascii="Times New Roman" w:hAnsi="Times New Roman" w:eastAsia="Times New Roman" w:cs="Times New Roman"/>
                <w:bCs/>
                <w:color w:val="auto"/>
                <w:spacing w:val="-1"/>
                <w:position w:val="12"/>
                <w:sz w:val="18"/>
                <w:szCs w:val="18"/>
              </w:rPr>
              <w:t>1</w:t>
            </w:r>
            <w:r>
              <w:rPr>
                <w:rFonts w:hint="default" w:ascii="Times New Roman" w:hAnsi="Times New Roman" w:eastAsia="Times New Roman" w:cs="Times New Roman"/>
                <w:bCs/>
                <w:color w:val="auto"/>
                <w:spacing w:val="1"/>
                <w:position w:val="12"/>
                <w:sz w:val="18"/>
                <w:szCs w:val="18"/>
              </w:rPr>
              <w:t>00</w:t>
            </w:r>
            <w:r>
              <w:rPr>
                <w:rFonts w:hint="default" w:ascii="Times New Roman" w:hAnsi="Times New Roman" w:eastAsia="Times New Roman" w:cs="Times New Roman"/>
                <w:bCs/>
                <w:color w:val="auto"/>
                <w:spacing w:val="-3"/>
                <w:position w:val="12"/>
                <w:sz w:val="18"/>
                <w:szCs w:val="18"/>
              </w:rPr>
              <w:t>%</w:t>
            </w:r>
            <w:r>
              <w:rPr>
                <w:rFonts w:hint="default" w:ascii="Times New Roman" w:hAnsi="Times New Roman" w:eastAsia="仿宋" w:cs="Times New Roman"/>
                <w:bCs/>
                <w:color w:val="auto"/>
                <w:position w:val="12"/>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p>
        </w:tc>
        <w:tc>
          <w:tcPr>
            <w:tcW w:w="1855" w:type="dxa"/>
            <w:tcBorders>
              <w:tl2br w:val="nil"/>
              <w:tr2bl w:val="nil"/>
            </w:tcBorders>
            <w:vAlign w:val="center"/>
          </w:tcPr>
          <w:p>
            <w:pPr>
              <w:adjustRightInd/>
              <w:snapToGrid/>
              <w:spacing w:before="50"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保证率日平均浓</w:t>
            </w:r>
            <w:r>
              <w:rPr>
                <w:rFonts w:hint="default" w:ascii="Times New Roman" w:hAnsi="Times New Roman" w:cs="Times New Roman"/>
                <w:bCs/>
                <w:color w:val="auto"/>
                <w:spacing w:val="1"/>
                <w:sz w:val="18"/>
                <w:szCs w:val="18"/>
              </w:rPr>
              <w:t>度</w:t>
            </w:r>
            <w:r>
              <w:rPr>
                <w:rFonts w:hint="default" w:ascii="Times New Roman" w:hAnsi="Times New Roman" w:cs="Times New Roman"/>
                <w:bCs/>
                <w:color w:val="auto"/>
                <w:sz w:val="18"/>
                <w:szCs w:val="18"/>
              </w:rPr>
              <w:t>和年平均浓度叠加值</w:t>
            </w:r>
          </w:p>
        </w:tc>
        <w:tc>
          <w:tcPr>
            <w:tcW w:w="2966" w:type="dxa"/>
            <w:gridSpan w:val="10"/>
            <w:tcBorders>
              <w:tl2br w:val="nil"/>
              <w:tr2bl w:val="nil"/>
            </w:tcBorders>
            <w:vAlign w:val="center"/>
          </w:tcPr>
          <w:p>
            <w:pPr>
              <w:tabs>
                <w:tab w:val="left" w:pos="1400"/>
              </w:tabs>
              <w:adjustRightInd/>
              <w:snapToGrid/>
              <w:spacing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cs="Times New Roman"/>
                <w:bCs/>
                <w:color w:val="auto"/>
                <w:position w:val="11"/>
                <w:sz w:val="18"/>
                <w:szCs w:val="18"/>
              </w:rPr>
              <w:t>C</w:t>
            </w:r>
            <w:r>
              <w:rPr>
                <w:rFonts w:hint="default" w:ascii="Times New Roman" w:hAnsi="Times New Roman" w:cs="Times New Roman"/>
                <w:bCs/>
                <w:color w:val="auto"/>
                <w:position w:val="11"/>
                <w:sz w:val="18"/>
                <w:szCs w:val="18"/>
                <w:vertAlign w:val="subscript"/>
              </w:rPr>
              <w:t>叠加</w:t>
            </w:r>
            <w:r>
              <w:rPr>
                <w:rFonts w:hint="default" w:ascii="Times New Roman" w:hAnsi="Times New Roman" w:cs="Times New Roman"/>
                <w:bCs/>
                <w:color w:val="auto"/>
                <w:position w:val="15"/>
                <w:sz w:val="18"/>
                <w:szCs w:val="18"/>
              </w:rPr>
              <w:t>达标</w:t>
            </w:r>
            <w:r>
              <w:rPr>
                <w:rFonts w:hint="default" w:ascii="Times New Roman" w:hAnsi="Times New Roman" w:eastAsia="仿宋" w:cs="Times New Roman"/>
                <w:bCs/>
                <w:color w:val="auto"/>
                <w:position w:val="15"/>
                <w:sz w:val="18"/>
                <w:szCs w:val="18"/>
              </w:rPr>
              <w:t>□</w:t>
            </w:r>
          </w:p>
        </w:tc>
        <w:tc>
          <w:tcPr>
            <w:tcW w:w="3367" w:type="dxa"/>
            <w:gridSpan w:val="9"/>
            <w:tcBorders>
              <w:tl2br w:val="nil"/>
              <w:tr2bl w:val="nil"/>
            </w:tcBorders>
            <w:vAlign w:val="center"/>
          </w:tcPr>
          <w:p>
            <w:pPr>
              <w:tabs>
                <w:tab w:val="left" w:pos="1520"/>
              </w:tabs>
              <w:adjustRightInd/>
              <w:snapToGrid/>
              <w:spacing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cs="Times New Roman"/>
                <w:bCs/>
                <w:color w:val="auto"/>
                <w:position w:val="11"/>
                <w:sz w:val="18"/>
                <w:szCs w:val="18"/>
              </w:rPr>
              <w:t>C</w:t>
            </w:r>
            <w:r>
              <w:rPr>
                <w:rFonts w:hint="default" w:ascii="Times New Roman" w:hAnsi="Times New Roman" w:cs="Times New Roman"/>
                <w:bCs/>
                <w:color w:val="auto"/>
                <w:position w:val="11"/>
                <w:sz w:val="18"/>
                <w:szCs w:val="18"/>
                <w:vertAlign w:val="subscript"/>
              </w:rPr>
              <w:t>叠加</w:t>
            </w:r>
            <w:r>
              <w:rPr>
                <w:rFonts w:hint="default" w:ascii="Times New Roman" w:hAnsi="Times New Roman" w:cs="Times New Roman"/>
                <w:bCs/>
                <w:color w:val="auto"/>
                <w:position w:val="15"/>
                <w:sz w:val="18"/>
                <w:szCs w:val="18"/>
              </w:rPr>
              <w:t>不达标</w:t>
            </w:r>
            <w:r>
              <w:rPr>
                <w:rFonts w:hint="default" w:ascii="Times New Roman" w:hAnsi="Times New Roman" w:eastAsia="仿宋" w:cs="Times New Roman"/>
                <w:bCs/>
                <w:color w:val="auto"/>
                <w:position w:val="15"/>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p>
        </w:tc>
        <w:tc>
          <w:tcPr>
            <w:tcW w:w="1855"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区域环境质量的整体变化情况</w:t>
            </w:r>
          </w:p>
        </w:tc>
        <w:tc>
          <w:tcPr>
            <w:tcW w:w="2966" w:type="dxa"/>
            <w:gridSpan w:val="10"/>
            <w:tcBorders>
              <w:tl2br w:val="nil"/>
              <w:tr2bl w:val="nil"/>
            </w:tcBorders>
            <w:vAlign w:val="center"/>
          </w:tcPr>
          <w:p>
            <w:pPr>
              <w:adjustRightInd/>
              <w:snapToGrid/>
              <w:spacing w:before="97"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eastAsia="Times New Roman" w:cs="Times New Roman"/>
                <w:bCs/>
                <w:i/>
                <w:color w:val="auto"/>
                <w:sz w:val="18"/>
                <w:szCs w:val="18"/>
              </w:rPr>
              <w:t>k</w:t>
            </w:r>
            <w:r>
              <w:rPr>
                <w:rFonts w:hint="default" w:ascii="Times New Roman" w:hAnsi="Times New Roman" w:eastAsia="仿宋" w:cs="Times New Roman"/>
                <w:bCs/>
                <w:color w:val="auto"/>
                <w:spacing w:val="2"/>
                <w:sz w:val="18"/>
                <w:szCs w:val="18"/>
              </w:rPr>
              <w:t>≤</w:t>
            </w:r>
            <w:r>
              <w:rPr>
                <w:rFonts w:hint="default" w:ascii="Times New Roman" w:hAnsi="Times New Roman" w:eastAsia="Times New Roman" w:cs="Times New Roman"/>
                <w:bCs/>
                <w:color w:val="auto"/>
                <w:spacing w:val="-2"/>
                <w:sz w:val="18"/>
                <w:szCs w:val="18"/>
              </w:rPr>
              <w:t>-</w:t>
            </w:r>
            <w:r>
              <w:rPr>
                <w:rFonts w:hint="default" w:ascii="Times New Roman" w:hAnsi="Times New Roman" w:eastAsia="Times New Roman" w:cs="Times New Roman"/>
                <w:bCs/>
                <w:color w:val="auto"/>
                <w:spacing w:val="1"/>
                <w:sz w:val="18"/>
                <w:szCs w:val="18"/>
              </w:rPr>
              <w:t>20</w:t>
            </w:r>
            <w:r>
              <w:rPr>
                <w:rFonts w:hint="default" w:ascii="Times New Roman" w:hAnsi="Times New Roman" w:eastAsia="Times New Roman" w:cs="Times New Roman"/>
                <w:bCs/>
                <w:color w:val="auto"/>
                <w:sz w:val="18"/>
                <w:szCs w:val="18"/>
              </w:rPr>
              <w:t>%</w:t>
            </w:r>
            <w:r>
              <w:rPr>
                <w:rFonts w:hint="default" w:ascii="Times New Roman" w:hAnsi="Times New Roman" w:eastAsia="仿宋" w:cs="Times New Roman"/>
                <w:bCs/>
                <w:color w:val="auto"/>
                <w:sz w:val="18"/>
                <w:szCs w:val="18"/>
              </w:rPr>
              <w:t>□</w:t>
            </w:r>
          </w:p>
        </w:tc>
        <w:tc>
          <w:tcPr>
            <w:tcW w:w="3367" w:type="dxa"/>
            <w:gridSpan w:val="9"/>
            <w:tcBorders>
              <w:tl2br w:val="nil"/>
              <w:tr2bl w:val="nil"/>
            </w:tcBorders>
            <w:vAlign w:val="center"/>
          </w:tcPr>
          <w:p>
            <w:pPr>
              <w:adjustRightInd/>
              <w:snapToGrid/>
              <w:spacing w:before="97"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eastAsia="Times New Roman" w:cs="Times New Roman"/>
                <w:bCs/>
                <w:i/>
                <w:color w:val="auto"/>
                <w:sz w:val="18"/>
                <w:szCs w:val="18"/>
              </w:rPr>
              <w:t>k</w:t>
            </w:r>
            <w:r>
              <w:rPr>
                <w:rFonts w:hint="default" w:ascii="Times New Roman" w:hAnsi="Times New Roman" w:eastAsia="仿宋" w:cs="Times New Roman"/>
                <w:bCs/>
                <w:color w:val="auto"/>
                <w:spacing w:val="2"/>
                <w:sz w:val="18"/>
                <w:szCs w:val="18"/>
              </w:rPr>
              <w:t>＞</w:t>
            </w:r>
            <w:r>
              <w:rPr>
                <w:rFonts w:hint="default" w:ascii="Times New Roman" w:hAnsi="Times New Roman" w:eastAsia="Times New Roman" w:cs="Times New Roman"/>
                <w:bCs/>
                <w:color w:val="auto"/>
                <w:spacing w:val="-2"/>
                <w:sz w:val="18"/>
                <w:szCs w:val="18"/>
              </w:rPr>
              <w:t>-</w:t>
            </w:r>
            <w:r>
              <w:rPr>
                <w:rFonts w:hint="default" w:ascii="Times New Roman" w:hAnsi="Times New Roman" w:eastAsia="Times New Roman" w:cs="Times New Roman"/>
                <w:bCs/>
                <w:color w:val="auto"/>
                <w:spacing w:val="1"/>
                <w:sz w:val="18"/>
                <w:szCs w:val="18"/>
              </w:rPr>
              <w:t>20</w:t>
            </w:r>
            <w:r>
              <w:rPr>
                <w:rFonts w:hint="default" w:ascii="Times New Roman" w:hAnsi="Times New Roman" w:eastAsia="Times New Roman" w:cs="Times New Roman"/>
                <w:bCs/>
                <w:color w:val="auto"/>
                <w:sz w:val="18"/>
                <w:szCs w:val="18"/>
              </w:rPr>
              <w:t>%</w:t>
            </w:r>
            <w:r>
              <w:rPr>
                <w:rFonts w:hint="default" w:ascii="Times New Roman" w:hAnsi="Times New Roman" w:eastAsia="仿宋" w:cs="Times New Roman"/>
                <w:bCs/>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环境监测计划</w:t>
            </w:r>
          </w:p>
        </w:tc>
        <w:tc>
          <w:tcPr>
            <w:tcW w:w="1855" w:type="dxa"/>
            <w:tcBorders>
              <w:tl2br w:val="nil"/>
              <w:tr2bl w:val="nil"/>
            </w:tcBorders>
            <w:vAlign w:val="center"/>
          </w:tcPr>
          <w:p>
            <w:pPr>
              <w:adjustRightInd/>
              <w:snapToGrid/>
              <w:spacing w:before="97"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污染源监测</w:t>
            </w:r>
          </w:p>
        </w:tc>
        <w:tc>
          <w:tcPr>
            <w:tcW w:w="2749" w:type="dxa"/>
            <w:gridSpan w:val="8"/>
            <w:tcBorders>
              <w:tl2br w:val="nil"/>
              <w:tr2bl w:val="nil"/>
            </w:tcBorders>
            <w:vAlign w:val="center"/>
          </w:tcPr>
          <w:p>
            <w:pPr>
              <w:tabs>
                <w:tab w:val="left" w:pos="2440"/>
              </w:tabs>
              <w:adjustRightInd/>
              <w:snapToGrid/>
              <w:spacing w:before="97"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监测因子（烟尘、SO</w:t>
            </w:r>
            <w:r>
              <w:rPr>
                <w:rFonts w:hint="default" w:ascii="Times New Roman" w:hAnsi="Times New Roman" w:cs="Times New Roman"/>
                <w:bCs/>
                <w:color w:val="auto"/>
                <w:sz w:val="18"/>
                <w:szCs w:val="18"/>
                <w:vertAlign w:val="subscript"/>
              </w:rPr>
              <w:t>2</w:t>
            </w:r>
            <w:r>
              <w:rPr>
                <w:rFonts w:hint="default" w:ascii="Times New Roman" w:hAnsi="Times New Roman" w:cs="Times New Roman"/>
                <w:bCs/>
                <w:color w:val="auto"/>
                <w:sz w:val="18"/>
                <w:szCs w:val="18"/>
              </w:rPr>
              <w:t>、NOx、颗粒物、</w:t>
            </w:r>
            <w:r>
              <w:rPr>
                <w:rFonts w:hint="default" w:ascii="Times New Roman" w:hAnsi="Times New Roman" w:cs="Times New Roman"/>
                <w:bCs/>
                <w:color w:val="auto"/>
                <w:sz w:val="18"/>
                <w:szCs w:val="18"/>
                <w:lang w:eastAsia="zh-CN"/>
              </w:rPr>
              <w:t>氨气</w:t>
            </w:r>
            <w:r>
              <w:rPr>
                <w:rFonts w:hint="default" w:ascii="Times New Roman" w:hAnsi="Times New Roman" w:cs="Times New Roman"/>
                <w:bCs/>
                <w:color w:val="auto"/>
                <w:sz w:val="18"/>
                <w:szCs w:val="18"/>
              </w:rPr>
              <w:t>、H</w:t>
            </w:r>
            <w:r>
              <w:rPr>
                <w:rFonts w:hint="default" w:ascii="Times New Roman" w:hAnsi="Times New Roman" w:cs="Times New Roman"/>
                <w:bCs/>
                <w:color w:val="auto"/>
                <w:sz w:val="18"/>
                <w:szCs w:val="18"/>
                <w:vertAlign w:val="subscript"/>
              </w:rPr>
              <w:t>2</w:t>
            </w:r>
            <w:r>
              <w:rPr>
                <w:rFonts w:hint="default" w:ascii="Times New Roman" w:hAnsi="Times New Roman" w:cs="Times New Roman"/>
                <w:bCs/>
                <w:color w:val="auto"/>
                <w:sz w:val="18"/>
                <w:szCs w:val="18"/>
              </w:rPr>
              <w:t>S）</w:t>
            </w:r>
          </w:p>
        </w:tc>
        <w:tc>
          <w:tcPr>
            <w:tcW w:w="2334" w:type="dxa"/>
            <w:gridSpan w:val="9"/>
            <w:tcBorders>
              <w:tl2br w:val="nil"/>
              <w:tr2bl w:val="nil"/>
            </w:tcBorders>
            <w:vAlign w:val="center"/>
          </w:tcPr>
          <w:p>
            <w:pPr>
              <w:adjustRightInd/>
              <w:snapToGrid/>
              <w:spacing w:line="240" w:lineRule="auto"/>
              <w:ind w:firstLine="360"/>
              <w:jc w:val="center"/>
              <w:rPr>
                <w:rFonts w:hint="default" w:ascii="Times New Roman" w:hAnsi="Times New Roman" w:eastAsia="仿宋" w:cs="Times New Roman"/>
                <w:bCs/>
                <w:color w:val="auto"/>
                <w:position w:val="-1"/>
                <w:sz w:val="18"/>
                <w:szCs w:val="18"/>
                <w:lang w:eastAsia="zh-CN"/>
              </w:rPr>
            </w:pPr>
            <w:r>
              <w:rPr>
                <w:rFonts w:hint="default" w:ascii="Times New Roman" w:hAnsi="Times New Roman" w:cs="Times New Roman"/>
                <w:bCs/>
                <w:color w:val="auto"/>
                <w:position w:val="-1"/>
                <w:sz w:val="18"/>
                <w:szCs w:val="18"/>
              </w:rPr>
              <w:t>有组织废气监测</w:t>
            </w:r>
            <w:r>
              <w:rPr>
                <w:rFonts w:hint="default" w:ascii="Times New Roman" w:hAnsi="Times New Roman" w:eastAsia="仿宋" w:cs="Times New Roman"/>
                <w:bCs/>
                <w:color w:val="auto"/>
                <w:position w:val="-1"/>
                <w:sz w:val="18"/>
                <w:szCs w:val="18"/>
                <w:lang w:eastAsia="zh-CN"/>
              </w:rPr>
              <w:t>□</w:t>
            </w:r>
          </w:p>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position w:val="-2"/>
                <w:sz w:val="18"/>
                <w:szCs w:val="18"/>
              </w:rPr>
              <w:t>无组织废气监测</w:t>
            </w:r>
            <w:r>
              <w:rPr>
                <w:rFonts w:hint="default" w:ascii="Times New Roman" w:hAnsi="Times New Roman" w:eastAsia="仿宋" w:cs="Times New Roman"/>
                <w:bCs/>
                <w:color w:val="auto"/>
                <w:position w:val="-2"/>
                <w:sz w:val="18"/>
                <w:szCs w:val="18"/>
              </w:rPr>
              <w:t>☑</w:t>
            </w:r>
          </w:p>
        </w:tc>
        <w:tc>
          <w:tcPr>
            <w:tcW w:w="1250" w:type="dxa"/>
            <w:gridSpan w:val="2"/>
            <w:tcBorders>
              <w:tl2br w:val="nil"/>
              <w:tr2bl w:val="nil"/>
            </w:tcBorders>
            <w:vAlign w:val="center"/>
          </w:tcPr>
          <w:p>
            <w:pPr>
              <w:adjustRightInd/>
              <w:snapToGrid/>
              <w:spacing w:before="97" w:line="240" w:lineRule="auto"/>
              <w:ind w:firstLine="0" w:firstLineChars="0"/>
              <w:jc w:val="center"/>
              <w:rPr>
                <w:rFonts w:hint="default" w:ascii="Times New Roman" w:hAnsi="Times New Roman" w:eastAsia="仿宋" w:cs="Times New Roman"/>
                <w:bCs/>
                <w:color w:val="auto"/>
                <w:sz w:val="21"/>
                <w:szCs w:val="21"/>
              </w:rPr>
            </w:pPr>
            <w:r>
              <w:rPr>
                <w:rFonts w:hint="default" w:ascii="Times New Roman" w:hAnsi="Times New Roman" w:cs="Times New Roman"/>
                <w:bCs/>
                <w:color w:val="auto"/>
                <w:sz w:val="18"/>
                <w:szCs w:val="18"/>
              </w:rPr>
              <w:t>无监测</w:t>
            </w:r>
            <w:r>
              <w:rPr>
                <w:rFonts w:hint="default" w:ascii="Times New Roman" w:hAnsi="Times New Roman" w:eastAsia="仿宋" w:cs="Times New Roman"/>
                <w:bCs/>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p>
        </w:tc>
        <w:tc>
          <w:tcPr>
            <w:tcW w:w="1855"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position w:val="-1"/>
                <w:sz w:val="18"/>
                <w:szCs w:val="18"/>
              </w:rPr>
              <w:t>环境质量监测</w:t>
            </w:r>
          </w:p>
        </w:tc>
        <w:tc>
          <w:tcPr>
            <w:tcW w:w="2749" w:type="dxa"/>
            <w:gridSpan w:val="8"/>
            <w:tcBorders>
              <w:tl2br w:val="nil"/>
              <w:tr2bl w:val="nil"/>
            </w:tcBorders>
            <w:vAlign w:val="center"/>
          </w:tcPr>
          <w:p>
            <w:pPr>
              <w:tabs>
                <w:tab w:val="left" w:pos="2440"/>
              </w:tabs>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position w:val="-1"/>
                <w:sz w:val="18"/>
                <w:szCs w:val="18"/>
              </w:rPr>
              <w:t>监测因子</w:t>
            </w:r>
            <w:r>
              <w:rPr>
                <w:rFonts w:hint="default" w:ascii="Times New Roman" w:hAnsi="Times New Roman" w:cs="Times New Roman"/>
                <w:bCs/>
                <w:color w:val="auto"/>
                <w:spacing w:val="-91"/>
                <w:position w:val="-1"/>
                <w:sz w:val="18"/>
                <w:szCs w:val="18"/>
              </w:rPr>
              <w:t>：</w:t>
            </w:r>
            <w:r>
              <w:rPr>
                <w:rFonts w:hint="default" w:ascii="Times New Roman" w:hAnsi="Times New Roman" w:cs="Times New Roman"/>
                <w:bCs/>
                <w:color w:val="auto"/>
                <w:position w:val="-1"/>
                <w:sz w:val="18"/>
                <w:szCs w:val="18"/>
              </w:rPr>
              <w:t>（</w:t>
            </w:r>
            <w:r>
              <w:rPr>
                <w:rFonts w:hint="default" w:ascii="Times New Roman" w:hAnsi="Times New Roman" w:cs="Times New Roman"/>
                <w:bCs/>
                <w:color w:val="auto"/>
                <w:sz w:val="18"/>
                <w:szCs w:val="18"/>
                <w:lang w:eastAsia="zh-CN"/>
              </w:rPr>
              <w:t>氨气</w:t>
            </w:r>
            <w:r>
              <w:rPr>
                <w:rFonts w:hint="default" w:ascii="Times New Roman" w:hAnsi="Times New Roman" w:cs="Times New Roman"/>
                <w:bCs/>
                <w:color w:val="auto"/>
                <w:position w:val="-1"/>
                <w:sz w:val="18"/>
                <w:szCs w:val="18"/>
              </w:rPr>
              <w:t>、H</w:t>
            </w:r>
            <w:r>
              <w:rPr>
                <w:rFonts w:hint="default" w:ascii="Times New Roman" w:hAnsi="Times New Roman" w:cs="Times New Roman"/>
                <w:bCs/>
                <w:color w:val="auto"/>
                <w:position w:val="-1"/>
                <w:sz w:val="18"/>
                <w:szCs w:val="18"/>
                <w:vertAlign w:val="subscript"/>
              </w:rPr>
              <w:t>2</w:t>
            </w:r>
            <w:r>
              <w:rPr>
                <w:rFonts w:hint="default" w:ascii="Times New Roman" w:hAnsi="Times New Roman" w:cs="Times New Roman"/>
                <w:bCs/>
                <w:color w:val="auto"/>
                <w:position w:val="-1"/>
                <w:sz w:val="18"/>
                <w:szCs w:val="18"/>
              </w:rPr>
              <w:t>S、SO</w:t>
            </w:r>
            <w:r>
              <w:rPr>
                <w:rFonts w:hint="default" w:ascii="Times New Roman" w:hAnsi="Times New Roman" w:cs="Times New Roman"/>
                <w:bCs/>
                <w:color w:val="auto"/>
                <w:position w:val="-1"/>
                <w:sz w:val="18"/>
                <w:szCs w:val="18"/>
                <w:vertAlign w:val="subscript"/>
              </w:rPr>
              <w:t>2</w:t>
            </w:r>
            <w:r>
              <w:rPr>
                <w:rFonts w:hint="default" w:ascii="Times New Roman" w:hAnsi="Times New Roman" w:cs="Times New Roman"/>
                <w:bCs/>
                <w:color w:val="auto"/>
                <w:position w:val="-1"/>
                <w:sz w:val="18"/>
                <w:szCs w:val="18"/>
              </w:rPr>
              <w:t>、NO</w:t>
            </w:r>
            <w:r>
              <w:rPr>
                <w:rFonts w:hint="default" w:ascii="Times New Roman" w:hAnsi="Times New Roman" w:cs="Times New Roman"/>
                <w:bCs/>
                <w:color w:val="auto"/>
                <w:position w:val="-1"/>
                <w:sz w:val="18"/>
                <w:szCs w:val="18"/>
                <w:vertAlign w:val="subscript"/>
              </w:rPr>
              <w:t>2</w:t>
            </w:r>
            <w:r>
              <w:rPr>
                <w:rFonts w:hint="default" w:ascii="Times New Roman" w:hAnsi="Times New Roman" w:cs="Times New Roman"/>
                <w:bCs/>
                <w:color w:val="auto"/>
                <w:position w:val="-1"/>
                <w:sz w:val="18"/>
                <w:szCs w:val="18"/>
              </w:rPr>
              <w:t>、PM</w:t>
            </w:r>
            <w:r>
              <w:rPr>
                <w:rFonts w:hint="default" w:ascii="Times New Roman" w:hAnsi="Times New Roman" w:cs="Times New Roman"/>
                <w:bCs/>
                <w:color w:val="auto"/>
                <w:position w:val="-1"/>
                <w:sz w:val="18"/>
                <w:szCs w:val="18"/>
                <w:vertAlign w:val="subscript"/>
              </w:rPr>
              <w:t>10</w:t>
            </w:r>
            <w:r>
              <w:rPr>
                <w:rFonts w:hint="default" w:ascii="Times New Roman" w:hAnsi="Times New Roman" w:cs="Times New Roman"/>
                <w:bCs/>
                <w:color w:val="auto"/>
                <w:position w:val="-1"/>
                <w:sz w:val="18"/>
                <w:szCs w:val="18"/>
              </w:rPr>
              <w:t>）</w:t>
            </w:r>
          </w:p>
        </w:tc>
        <w:tc>
          <w:tcPr>
            <w:tcW w:w="2334" w:type="dxa"/>
            <w:gridSpan w:val="9"/>
            <w:tcBorders>
              <w:tl2br w:val="nil"/>
              <w:tr2bl w:val="nil"/>
            </w:tcBorders>
            <w:vAlign w:val="center"/>
          </w:tcPr>
          <w:p>
            <w:pPr>
              <w:tabs>
                <w:tab w:val="left" w:pos="1900"/>
              </w:tabs>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position w:val="-1"/>
                <w:sz w:val="18"/>
                <w:szCs w:val="18"/>
              </w:rPr>
              <w:t>监测点位数（2）</w:t>
            </w:r>
          </w:p>
        </w:tc>
        <w:tc>
          <w:tcPr>
            <w:tcW w:w="1250" w:type="dxa"/>
            <w:gridSpan w:val="2"/>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position w:val="-1"/>
                <w:sz w:val="18"/>
                <w:szCs w:val="18"/>
              </w:rPr>
              <w:t>无监测</w:t>
            </w:r>
            <w:r>
              <w:rPr>
                <w:rFonts w:hint="default" w:ascii="Times New Roman" w:hAnsi="Times New Roman" w:eastAsia="仿宋" w:cs="Times New Roman"/>
                <w:bCs/>
                <w:color w:val="auto"/>
                <w:position w:val="-1"/>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restart"/>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评价结论</w:t>
            </w:r>
          </w:p>
        </w:tc>
        <w:tc>
          <w:tcPr>
            <w:tcW w:w="1855" w:type="dxa"/>
            <w:tcBorders>
              <w:tl2br w:val="nil"/>
              <w:tr2bl w:val="nil"/>
            </w:tcBorders>
            <w:vAlign w:val="center"/>
          </w:tcPr>
          <w:p>
            <w:pPr>
              <w:adjustRightInd/>
              <w:snapToGrid/>
              <w:spacing w:before="32"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环境影响</w:t>
            </w:r>
          </w:p>
        </w:tc>
        <w:tc>
          <w:tcPr>
            <w:tcW w:w="6333" w:type="dxa"/>
            <w:gridSpan w:val="19"/>
            <w:tcBorders>
              <w:tl2br w:val="nil"/>
              <w:tr2bl w:val="nil"/>
            </w:tcBorders>
            <w:vAlign w:val="center"/>
          </w:tcPr>
          <w:p>
            <w:pPr>
              <w:tabs>
                <w:tab w:val="left" w:pos="3560"/>
              </w:tabs>
              <w:adjustRightInd/>
              <w:snapToGrid/>
              <w:spacing w:before="32"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可以接受</w:t>
            </w:r>
            <w:r>
              <w:rPr>
                <w:rFonts w:hint="default" w:ascii="Times New Roman" w:hAnsi="Times New Roman" w:eastAsia="仿宋" w:cs="Times New Roman"/>
                <w:bCs/>
                <w:color w:val="auto"/>
                <w:sz w:val="18"/>
                <w:szCs w:val="18"/>
              </w:rPr>
              <w:t>☑</w:t>
            </w:r>
            <w:r>
              <w:rPr>
                <w:rFonts w:hint="default" w:ascii="Times New Roman" w:hAnsi="Times New Roman" w:eastAsia="仿宋" w:cs="Times New Roman"/>
                <w:bCs/>
                <w:color w:val="auto"/>
                <w:sz w:val="18"/>
                <w:szCs w:val="18"/>
              </w:rPr>
              <w:tab/>
            </w:r>
            <w:r>
              <w:rPr>
                <w:rFonts w:hint="default" w:ascii="Times New Roman" w:hAnsi="Times New Roman" w:cs="Times New Roman"/>
                <w:bCs/>
                <w:color w:val="auto"/>
                <w:sz w:val="18"/>
                <w:szCs w:val="18"/>
              </w:rPr>
              <w:t>不可以</w:t>
            </w:r>
            <w:r>
              <w:rPr>
                <w:rFonts w:hint="default" w:ascii="Times New Roman" w:hAnsi="Times New Roman" w:cs="Times New Roman"/>
                <w:bCs/>
                <w:color w:val="auto"/>
                <w:spacing w:val="-2"/>
                <w:sz w:val="18"/>
                <w:szCs w:val="18"/>
              </w:rPr>
              <w:t>接</w:t>
            </w:r>
            <w:r>
              <w:rPr>
                <w:rFonts w:hint="default" w:ascii="Times New Roman" w:hAnsi="Times New Roman" w:cs="Times New Roman"/>
                <w:bCs/>
                <w:color w:val="auto"/>
                <w:sz w:val="18"/>
                <w:szCs w:val="18"/>
              </w:rPr>
              <w:t>受</w:t>
            </w:r>
            <w:r>
              <w:rPr>
                <w:rFonts w:hint="default" w:ascii="Times New Roman" w:hAnsi="Times New Roman" w:eastAsia="仿宋" w:cs="Times New Roman"/>
                <w:bCs/>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p>
        </w:tc>
        <w:tc>
          <w:tcPr>
            <w:tcW w:w="1855" w:type="dxa"/>
            <w:tcBorders>
              <w:tl2br w:val="nil"/>
              <w:tr2bl w:val="nil"/>
            </w:tcBorders>
            <w:vAlign w:val="center"/>
          </w:tcPr>
          <w:p>
            <w:pPr>
              <w:adjustRightInd/>
              <w:snapToGrid/>
              <w:spacing w:before="35"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大气环境防护距离</w:t>
            </w:r>
          </w:p>
        </w:tc>
        <w:tc>
          <w:tcPr>
            <w:tcW w:w="6333" w:type="dxa"/>
            <w:gridSpan w:val="19"/>
            <w:tcBorders>
              <w:tl2br w:val="nil"/>
              <w:tr2bl w:val="nil"/>
            </w:tcBorders>
            <w:vAlign w:val="center"/>
          </w:tcPr>
          <w:p>
            <w:pPr>
              <w:tabs>
                <w:tab w:val="left" w:pos="2820"/>
                <w:tab w:val="left" w:pos="4340"/>
              </w:tabs>
              <w:adjustRightInd/>
              <w:snapToGrid/>
              <w:spacing w:before="35"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距（     ）厂界最远（     ）</w:t>
            </w:r>
            <w:r>
              <w:rPr>
                <w:rFonts w:hint="default" w:ascii="Times New Roman" w:hAnsi="Times New Roman" w:eastAsia="Times New Roman" w:cs="Times New Roman"/>
                <w:bCs/>
                <w:color w:val="auto"/>
                <w:sz w:val="18"/>
                <w:szCs w:val="18"/>
              </w:rPr>
              <w:t>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Merge w:val="continue"/>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p>
        </w:tc>
        <w:tc>
          <w:tcPr>
            <w:tcW w:w="1855" w:type="dxa"/>
            <w:tcBorders>
              <w:tl2br w:val="nil"/>
              <w:tr2bl w:val="nil"/>
            </w:tcBorders>
            <w:vAlign w:val="center"/>
          </w:tcPr>
          <w:p>
            <w:pPr>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position w:val="-1"/>
                <w:sz w:val="18"/>
                <w:szCs w:val="18"/>
              </w:rPr>
              <w:t>污染源年排</w:t>
            </w:r>
            <w:r>
              <w:rPr>
                <w:rFonts w:hint="default" w:ascii="Times New Roman" w:hAnsi="Times New Roman" w:cs="Times New Roman"/>
                <w:bCs/>
                <w:color w:val="auto"/>
                <w:spacing w:val="1"/>
                <w:position w:val="-1"/>
                <w:sz w:val="18"/>
                <w:szCs w:val="18"/>
              </w:rPr>
              <w:t>放</w:t>
            </w:r>
            <w:r>
              <w:rPr>
                <w:rFonts w:hint="default" w:ascii="Times New Roman" w:hAnsi="Times New Roman" w:cs="Times New Roman"/>
                <w:bCs/>
                <w:color w:val="auto"/>
                <w:position w:val="-1"/>
                <w:sz w:val="18"/>
                <w:szCs w:val="18"/>
              </w:rPr>
              <w:t>量</w:t>
            </w:r>
          </w:p>
        </w:tc>
        <w:tc>
          <w:tcPr>
            <w:tcW w:w="1695" w:type="dxa"/>
            <w:gridSpan w:val="4"/>
            <w:tcBorders>
              <w:tl2br w:val="nil"/>
              <w:tr2bl w:val="nil"/>
            </w:tcBorders>
            <w:vAlign w:val="center"/>
          </w:tcPr>
          <w:p>
            <w:pPr>
              <w:tabs>
                <w:tab w:val="left" w:pos="1100"/>
              </w:tabs>
              <w:adjustRightInd/>
              <w:snapToGrid/>
              <w:spacing w:line="240" w:lineRule="auto"/>
              <w:ind w:firstLine="0" w:firstLineChars="0"/>
              <w:jc w:val="center"/>
              <w:rPr>
                <w:rFonts w:hint="default" w:ascii="Times New Roman" w:hAnsi="Times New Roman" w:cs="Times New Roman"/>
                <w:bCs/>
                <w:color w:val="auto"/>
                <w:sz w:val="18"/>
                <w:szCs w:val="18"/>
              </w:rPr>
            </w:pPr>
            <w:r>
              <w:rPr>
                <w:rFonts w:hint="default" w:ascii="Times New Roman" w:hAnsi="Times New Roman" w:eastAsia="Times New Roman" w:cs="Times New Roman"/>
                <w:bCs/>
                <w:color w:val="auto"/>
                <w:spacing w:val="1"/>
                <w:sz w:val="18"/>
                <w:szCs w:val="18"/>
              </w:rPr>
              <w:t>S</w:t>
            </w:r>
            <w:r>
              <w:rPr>
                <w:rFonts w:hint="default" w:ascii="Times New Roman" w:hAnsi="Times New Roman" w:eastAsia="Times New Roman" w:cs="Times New Roman"/>
                <w:bCs/>
                <w:color w:val="auto"/>
                <w:sz w:val="18"/>
                <w:szCs w:val="18"/>
              </w:rPr>
              <w:t>O</w:t>
            </w:r>
            <w:r>
              <w:rPr>
                <w:rFonts w:hint="default" w:ascii="Times New Roman" w:hAnsi="Times New Roman" w:eastAsia="Times New Roman" w:cs="Times New Roman"/>
                <w:bCs/>
                <w:color w:val="auto"/>
                <w:position w:val="-1"/>
                <w:sz w:val="18"/>
                <w:szCs w:val="18"/>
              </w:rPr>
              <w:t>2</w:t>
            </w:r>
            <w:r>
              <w:rPr>
                <w:rFonts w:hint="default" w:ascii="Times New Roman" w:hAnsi="Times New Roman" w:cs="Times New Roman"/>
                <w:bCs/>
                <w:color w:val="auto"/>
                <w:sz w:val="18"/>
                <w:szCs w:val="18"/>
              </w:rPr>
              <w:t>：（）</w:t>
            </w:r>
            <w:r>
              <w:rPr>
                <w:rFonts w:hint="default" w:ascii="Times New Roman" w:hAnsi="Times New Roman" w:eastAsia="Times New Roman" w:cs="Times New Roman"/>
                <w:bCs/>
                <w:color w:val="auto"/>
                <w:sz w:val="18"/>
                <w:szCs w:val="18"/>
              </w:rPr>
              <w:t>t/a</w:t>
            </w:r>
          </w:p>
        </w:tc>
        <w:tc>
          <w:tcPr>
            <w:tcW w:w="1776" w:type="dxa"/>
            <w:gridSpan w:val="7"/>
            <w:tcBorders>
              <w:tl2br w:val="nil"/>
              <w:tr2bl w:val="nil"/>
            </w:tcBorders>
            <w:vAlign w:val="center"/>
          </w:tcPr>
          <w:p>
            <w:pPr>
              <w:tabs>
                <w:tab w:val="left" w:pos="1160"/>
              </w:tabs>
              <w:adjustRightInd/>
              <w:snapToGrid/>
              <w:spacing w:line="240" w:lineRule="auto"/>
              <w:ind w:firstLine="0" w:firstLineChars="0"/>
              <w:jc w:val="center"/>
              <w:rPr>
                <w:rFonts w:hint="default" w:ascii="Times New Roman" w:hAnsi="Times New Roman" w:cs="Times New Roman"/>
                <w:bCs/>
                <w:color w:val="auto"/>
                <w:sz w:val="18"/>
                <w:szCs w:val="18"/>
              </w:rPr>
            </w:pPr>
            <w:r>
              <w:rPr>
                <w:rFonts w:hint="default" w:ascii="Times New Roman" w:hAnsi="Times New Roman" w:eastAsia="Times New Roman" w:cs="Times New Roman"/>
                <w:bCs/>
                <w:color w:val="auto"/>
                <w:sz w:val="18"/>
                <w:szCs w:val="18"/>
              </w:rPr>
              <w:t>NO</w:t>
            </w:r>
            <w:r>
              <w:rPr>
                <w:rFonts w:hint="default" w:ascii="Times New Roman" w:hAnsi="Times New Roman" w:eastAsia="Times New Roman" w:cs="Times New Roman"/>
                <w:bCs/>
                <w:color w:val="auto"/>
                <w:spacing w:val="-2"/>
                <w:position w:val="-1"/>
                <w:sz w:val="18"/>
                <w:szCs w:val="18"/>
              </w:rPr>
              <w:t>x</w:t>
            </w:r>
            <w:r>
              <w:rPr>
                <w:rFonts w:hint="default" w:ascii="Times New Roman" w:hAnsi="Times New Roman" w:cs="Times New Roman"/>
                <w:bCs/>
                <w:color w:val="auto"/>
                <w:sz w:val="18"/>
                <w:szCs w:val="18"/>
              </w:rPr>
              <w:t>：（）</w:t>
            </w:r>
            <w:r>
              <w:rPr>
                <w:rFonts w:hint="default" w:ascii="Times New Roman" w:hAnsi="Times New Roman" w:eastAsia="Times New Roman" w:cs="Times New Roman"/>
                <w:bCs/>
                <w:color w:val="auto"/>
                <w:sz w:val="18"/>
                <w:szCs w:val="18"/>
              </w:rPr>
              <w:t>t/a</w:t>
            </w:r>
          </w:p>
        </w:tc>
        <w:tc>
          <w:tcPr>
            <w:tcW w:w="1380" w:type="dxa"/>
            <w:gridSpan w:val="5"/>
            <w:tcBorders>
              <w:tl2br w:val="nil"/>
              <w:tr2bl w:val="nil"/>
            </w:tcBorders>
            <w:vAlign w:val="center"/>
          </w:tcPr>
          <w:p>
            <w:pPr>
              <w:tabs>
                <w:tab w:val="left" w:pos="1060"/>
              </w:tabs>
              <w:adjustRightInd/>
              <w:snapToGrid/>
              <w:spacing w:line="240" w:lineRule="auto"/>
              <w:ind w:firstLine="0" w:firstLineChars="0"/>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颗粒物：（）</w:t>
            </w:r>
            <w:r>
              <w:rPr>
                <w:rFonts w:hint="default" w:ascii="Times New Roman" w:hAnsi="Times New Roman" w:eastAsia="Times New Roman" w:cs="Times New Roman"/>
                <w:bCs/>
                <w:color w:val="auto"/>
                <w:sz w:val="18"/>
                <w:szCs w:val="18"/>
              </w:rPr>
              <w:t>t/a</w:t>
            </w:r>
          </w:p>
        </w:tc>
        <w:tc>
          <w:tcPr>
            <w:tcW w:w="1482" w:type="dxa"/>
            <w:gridSpan w:val="3"/>
            <w:tcBorders>
              <w:tl2br w:val="nil"/>
              <w:tr2bl w:val="nil"/>
            </w:tcBorders>
            <w:vAlign w:val="center"/>
          </w:tcPr>
          <w:p>
            <w:pPr>
              <w:tabs>
                <w:tab w:val="left" w:pos="1020"/>
              </w:tabs>
              <w:adjustRightInd/>
              <w:snapToGri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eastAsia="Times New Roman" w:cs="Times New Roman"/>
                <w:bCs/>
                <w:color w:val="auto"/>
                <w:spacing w:val="2"/>
                <w:sz w:val="18"/>
                <w:szCs w:val="18"/>
              </w:rPr>
              <w:t>V</w:t>
            </w:r>
            <w:r>
              <w:rPr>
                <w:rFonts w:hint="default" w:ascii="Times New Roman" w:hAnsi="Times New Roman" w:eastAsia="Times New Roman" w:cs="Times New Roman"/>
                <w:bCs/>
                <w:color w:val="auto"/>
                <w:sz w:val="18"/>
                <w:szCs w:val="18"/>
              </w:rPr>
              <w:t>OC</w:t>
            </w:r>
            <w:r>
              <w:rPr>
                <w:rFonts w:hint="default" w:ascii="Times New Roman" w:hAnsi="Times New Roman" w:eastAsia="Times New Roman" w:cs="Times New Roman"/>
                <w:bCs/>
                <w:color w:val="auto"/>
                <w:spacing w:val="-1"/>
                <w:position w:val="-1"/>
                <w:sz w:val="12"/>
                <w:szCs w:val="12"/>
              </w:rPr>
              <w:t>s</w:t>
            </w:r>
            <w:r>
              <w:rPr>
                <w:rFonts w:hint="default" w:ascii="Times New Roman" w:hAnsi="Times New Roman" w:cs="Times New Roman"/>
                <w:bCs/>
                <w:color w:val="auto"/>
                <w:sz w:val="18"/>
                <w:szCs w:val="18"/>
              </w:rPr>
              <w:t>：（）</w:t>
            </w:r>
            <w:r>
              <w:rPr>
                <w:rFonts w:hint="default" w:ascii="Times New Roman" w:hAnsi="Times New Roman" w:eastAsia="Times New Roman" w:cs="Times New Roman"/>
                <w:bCs/>
                <w:color w:val="auto"/>
                <w:sz w:val="18"/>
                <w:szCs w:val="18"/>
              </w:rP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288" w:type="dxa"/>
            <w:gridSpan w:val="21"/>
            <w:tcBorders>
              <w:tl2br w:val="nil"/>
              <w:tr2bl w:val="nil"/>
            </w:tcBorders>
            <w:vAlign w:val="center"/>
          </w:tcPr>
          <w:p>
            <w:pPr>
              <w:tabs>
                <w:tab w:val="left" w:pos="3420"/>
              </w:tabs>
              <w:adjustRightInd/>
              <w:snapToGrid/>
              <w:spacing w:before="39"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18"/>
                <w:szCs w:val="18"/>
              </w:rPr>
              <w:t>注</w:t>
            </w:r>
            <w:r>
              <w:rPr>
                <w:rFonts w:hint="default" w:ascii="Times New Roman" w:hAnsi="Times New Roman" w:cs="Times New Roman"/>
                <w:bCs/>
                <w:color w:val="auto"/>
                <w:spacing w:val="-91"/>
                <w:sz w:val="18"/>
                <w:szCs w:val="18"/>
              </w:rPr>
              <w:t>：</w:t>
            </w:r>
            <w:r>
              <w:rPr>
                <w:rFonts w:hint="default" w:ascii="Times New Roman" w:hAnsi="Times New Roman" w:cs="Times New Roman"/>
                <w:bCs/>
                <w:color w:val="auto"/>
                <w:sz w:val="18"/>
                <w:szCs w:val="18"/>
              </w:rPr>
              <w:t>“</w:t>
            </w:r>
            <w:r>
              <w:rPr>
                <w:rFonts w:hint="default" w:ascii="Times New Roman" w:hAnsi="Times New Roman" w:eastAsia="仿宋" w:cs="Times New Roman"/>
                <w:bCs/>
                <w:color w:val="auto"/>
                <w:spacing w:val="2"/>
                <w:sz w:val="18"/>
                <w:szCs w:val="18"/>
              </w:rPr>
              <w:t>□</w:t>
            </w:r>
            <w:r>
              <w:rPr>
                <w:rFonts w:hint="default" w:ascii="Times New Roman" w:hAnsi="Times New Roman" w:cs="Times New Roman"/>
                <w:bCs/>
                <w:color w:val="auto"/>
                <w:sz w:val="18"/>
                <w:szCs w:val="18"/>
              </w:rPr>
              <w:t>”为勾选项，填“</w:t>
            </w:r>
            <w:r>
              <w:rPr>
                <w:rFonts w:hint="default" w:ascii="Times New Roman" w:hAnsi="Times New Roman" w:cs="Times New Roman"/>
                <w:bCs/>
                <w:color w:val="auto"/>
                <w:spacing w:val="-2"/>
                <w:sz w:val="18"/>
                <w:szCs w:val="18"/>
              </w:rPr>
              <w:t>√</w:t>
            </w:r>
            <w:r>
              <w:rPr>
                <w:rFonts w:hint="default" w:ascii="Times New Roman" w:hAnsi="Times New Roman" w:cs="Times New Roman"/>
                <w:bCs/>
                <w:color w:val="auto"/>
                <w:sz w:val="18"/>
                <w:szCs w:val="18"/>
              </w:rPr>
              <w:t>”；</w:t>
            </w:r>
            <w:r>
              <w:rPr>
                <w:rFonts w:hint="default" w:ascii="Times New Roman" w:hAnsi="Times New Roman" w:eastAsia="Times New Roman" w:cs="Times New Roman"/>
                <w:bCs/>
                <w:color w:val="auto"/>
                <w:spacing w:val="-1"/>
                <w:sz w:val="18"/>
                <w:szCs w:val="18"/>
              </w:rPr>
              <w:t>“</w:t>
            </w:r>
            <w:r>
              <w:rPr>
                <w:rFonts w:hint="default" w:ascii="Times New Roman" w:hAnsi="Times New Roman" w:cs="Times New Roman"/>
                <w:bCs/>
                <w:color w:val="auto"/>
                <w:sz w:val="18"/>
                <w:szCs w:val="18"/>
              </w:rPr>
              <w:t>（</w:t>
            </w:r>
            <w:r>
              <w:rPr>
                <w:rFonts w:hint="default" w:ascii="Times New Roman" w:hAnsi="Times New Roman" w:cs="Times New Roman"/>
                <w:bCs/>
                <w:color w:val="auto"/>
                <w:sz w:val="18"/>
                <w:szCs w:val="18"/>
              </w:rPr>
              <w:tab/>
            </w:r>
            <w:r>
              <w:rPr>
                <w:rFonts w:hint="default" w:ascii="Times New Roman" w:hAnsi="Times New Roman" w:cs="Times New Roman"/>
                <w:bCs/>
                <w:color w:val="auto"/>
                <w:sz w:val="18"/>
                <w:szCs w:val="18"/>
              </w:rPr>
              <w:t>）</w:t>
            </w:r>
            <w:r>
              <w:rPr>
                <w:rFonts w:hint="default" w:ascii="Times New Roman" w:hAnsi="Times New Roman" w:eastAsia="Times New Roman" w:cs="Times New Roman"/>
                <w:bCs/>
                <w:color w:val="auto"/>
                <w:sz w:val="18"/>
                <w:szCs w:val="18"/>
              </w:rPr>
              <w:t>”</w:t>
            </w:r>
            <w:r>
              <w:rPr>
                <w:rFonts w:hint="default" w:ascii="Times New Roman" w:hAnsi="Times New Roman" w:cs="Times New Roman"/>
                <w:bCs/>
                <w:color w:val="auto"/>
                <w:sz w:val="18"/>
                <w:szCs w:val="18"/>
              </w:rPr>
              <w:t>为内容填写项</w:t>
            </w:r>
          </w:p>
        </w:tc>
      </w:tr>
    </w:tbl>
    <w:p>
      <w:pPr>
        <w:ind w:firstLine="480"/>
        <w:rPr>
          <w:rFonts w:hint="default" w:ascii="Times New Roman" w:hAnsi="Times New Roman" w:cs="Times New Roman"/>
          <w:color w:val="auto"/>
        </w:rPr>
      </w:pPr>
      <w:r>
        <w:rPr>
          <w:rFonts w:hint="default" w:ascii="Times New Roman" w:hAnsi="Times New Roman" w:cs="Times New Roman"/>
          <w:color w:val="auto"/>
        </w:rPr>
        <w:t>5.2.1.6防护距离的确定</w:t>
      </w:r>
    </w:p>
    <w:p>
      <w:pPr>
        <w:ind w:firstLine="480"/>
        <w:rPr>
          <w:rFonts w:hint="default" w:ascii="Times New Roman" w:hAnsi="Times New Roman" w:cs="Times New Roman"/>
          <w:color w:val="auto"/>
        </w:rPr>
      </w:pPr>
      <w:r>
        <w:rPr>
          <w:rFonts w:hint="default" w:ascii="Times New Roman" w:hAnsi="Times New Roman" w:cs="Times New Roman"/>
          <w:color w:val="auto"/>
        </w:rPr>
        <w:t>（1）大气环境防护距离计算</w:t>
      </w:r>
    </w:p>
    <w:p>
      <w:pPr>
        <w:ind w:firstLine="480"/>
        <w:rPr>
          <w:rFonts w:hint="default" w:ascii="Times New Roman" w:hAnsi="Times New Roman" w:cs="Times New Roman"/>
          <w:color w:val="auto"/>
        </w:rPr>
      </w:pPr>
      <w:r>
        <w:rPr>
          <w:rFonts w:hint="default" w:ascii="Times New Roman" w:hAnsi="Times New Roman" w:cs="Times New Roman"/>
          <w:color w:val="auto"/>
        </w:rPr>
        <w:t>本次计算大气环境防护距离时将养殖场养殖区作为无组织排放单元计算项目实施后大气环境防护距离。根据《环境影响评价技术导则--大气环境》（HJ2.2-2018）要求，采用推荐模式中的大气环境防护距离模式计算本项目无组织排放单元的大气环境防护距离。经计算本项目无组织排放单元大气环境防护距离见表5.2-</w:t>
      </w:r>
      <w:r>
        <w:rPr>
          <w:rFonts w:hint="eastAsia" w:cs="Times New Roman"/>
          <w:color w:val="auto"/>
          <w:lang w:val="en-US" w:eastAsia="zh-CN"/>
        </w:rPr>
        <w:t>21</w:t>
      </w:r>
      <w:r>
        <w:rPr>
          <w:rFonts w:hint="default" w:ascii="Times New Roman" w:hAnsi="Times New Roman" w:cs="Times New Roman"/>
          <w:color w:val="auto"/>
        </w:rPr>
        <w:t>。</w:t>
      </w:r>
    </w:p>
    <w:p>
      <w:pPr>
        <w:ind w:firstLine="0" w:firstLineChars="0"/>
        <w:jc w:val="center"/>
        <w:rPr>
          <w:rFonts w:hint="default" w:ascii="Times New Roman" w:hAnsi="Times New Roman" w:cs="Times New Roman"/>
          <w:b/>
          <w:bCs/>
          <w:color w:val="auto"/>
          <w:kern w:val="0"/>
          <w:szCs w:val="20"/>
        </w:rPr>
      </w:pPr>
      <w:bookmarkStart w:id="539" w:name="_Ref478131287"/>
      <w:r>
        <w:rPr>
          <w:rFonts w:hint="default" w:ascii="Times New Roman" w:hAnsi="Times New Roman" w:cs="Times New Roman"/>
          <w:b/>
          <w:bCs/>
          <w:color w:val="auto"/>
          <w:szCs w:val="20"/>
        </w:rPr>
        <w:t xml:space="preserve">表 </w:t>
      </w:r>
      <w:bookmarkEnd w:id="539"/>
      <w:r>
        <w:rPr>
          <w:rFonts w:hint="default" w:ascii="Times New Roman" w:hAnsi="Times New Roman" w:cs="Times New Roman"/>
          <w:b/>
          <w:bCs/>
          <w:color w:val="auto"/>
          <w:szCs w:val="20"/>
        </w:rPr>
        <w:t>5.2-</w:t>
      </w:r>
      <w:r>
        <w:rPr>
          <w:rFonts w:hint="eastAsia" w:cs="Times New Roman"/>
          <w:b/>
          <w:bCs/>
          <w:color w:val="auto"/>
          <w:szCs w:val="20"/>
          <w:lang w:val="en-US" w:eastAsia="zh-CN"/>
        </w:rPr>
        <w:t>21</w:t>
      </w:r>
      <w:r>
        <w:rPr>
          <w:rFonts w:hint="default" w:ascii="Times New Roman" w:hAnsi="Times New Roman" w:cs="Times New Roman"/>
          <w:b/>
          <w:bCs/>
          <w:color w:val="auto"/>
          <w:kern w:val="0"/>
          <w:szCs w:val="20"/>
        </w:rPr>
        <w:t xml:space="preserve">  本项目无组织排放单元大气环境防护距离</w:t>
      </w:r>
    </w:p>
    <w:tbl>
      <w:tblPr>
        <w:tblStyle w:val="25"/>
        <w:tblW w:w="8786" w:type="dxa"/>
        <w:jc w:val="center"/>
        <w:tblBorders>
          <w:top w:val="single" w:color="auto" w:sz="6" w:space="0"/>
          <w:left w:val="none" w:color="auto" w:sz="0" w:space="0"/>
          <w:bottom w:val="single" w:color="auto" w:sz="6"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498"/>
        <w:gridCol w:w="1005"/>
        <w:gridCol w:w="923"/>
        <w:gridCol w:w="1232"/>
        <w:gridCol w:w="1385"/>
        <w:gridCol w:w="1232"/>
        <w:gridCol w:w="1511"/>
      </w:tblGrid>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75" w:hRule="atLeast"/>
          <w:tblHeader/>
          <w:jc w:val="center"/>
        </w:trPr>
        <w:tc>
          <w:tcPr>
            <w:tcW w:w="1498"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无组织排放</w:t>
            </w:r>
          </w:p>
          <w:p>
            <w:pPr>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单元</w:t>
            </w:r>
          </w:p>
        </w:tc>
        <w:tc>
          <w:tcPr>
            <w:tcW w:w="1005"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污染物</w:t>
            </w:r>
          </w:p>
        </w:tc>
        <w:tc>
          <w:tcPr>
            <w:tcW w:w="923"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源强值</w:t>
            </w:r>
          </w:p>
          <w:p>
            <w:pPr>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color w:val="auto"/>
                <w:kern w:val="0"/>
                <w:sz w:val="21"/>
                <w:szCs w:val="21"/>
              </w:rPr>
              <w:t>（kg/h）</w:t>
            </w:r>
          </w:p>
        </w:tc>
        <w:tc>
          <w:tcPr>
            <w:tcW w:w="1232" w:type="dxa"/>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面积/m</w:t>
            </w:r>
            <w:r>
              <w:rPr>
                <w:rFonts w:hint="default" w:ascii="Times New Roman" w:hAnsi="Times New Roman" w:cs="Times New Roman"/>
                <w:b/>
                <w:color w:val="auto"/>
                <w:kern w:val="0"/>
                <w:sz w:val="21"/>
                <w:szCs w:val="21"/>
                <w:vertAlign w:val="superscript"/>
              </w:rPr>
              <w:t>2</w:t>
            </w:r>
          </w:p>
        </w:tc>
        <w:tc>
          <w:tcPr>
            <w:tcW w:w="1385" w:type="dxa"/>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面源高度/m</w:t>
            </w:r>
          </w:p>
        </w:tc>
        <w:tc>
          <w:tcPr>
            <w:tcW w:w="1232" w:type="dxa"/>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标准值</w:t>
            </w:r>
          </w:p>
          <w:p>
            <w:pPr>
              <w:spacing w:line="240" w:lineRule="auto"/>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（ug/m</w:t>
            </w:r>
            <w:r>
              <w:rPr>
                <w:rFonts w:hint="default" w:ascii="Times New Roman" w:hAnsi="Times New Roman" w:cs="Times New Roman"/>
                <w:b/>
                <w:color w:val="auto"/>
                <w:kern w:val="0"/>
                <w:sz w:val="21"/>
                <w:szCs w:val="21"/>
                <w:vertAlign w:val="superscript"/>
              </w:rPr>
              <w:t>3</w:t>
            </w:r>
            <w:r>
              <w:rPr>
                <w:rFonts w:hint="default" w:ascii="Times New Roman" w:hAnsi="Times New Roman" w:cs="Times New Roman"/>
                <w:b/>
                <w:color w:val="auto"/>
                <w:kern w:val="0"/>
                <w:sz w:val="21"/>
                <w:szCs w:val="21"/>
              </w:rPr>
              <w:t>）</w:t>
            </w:r>
          </w:p>
        </w:tc>
        <w:tc>
          <w:tcPr>
            <w:tcW w:w="1511"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大气环境</w:t>
            </w:r>
          </w:p>
          <w:p>
            <w:pPr>
              <w:spacing w:line="240" w:lineRule="auto"/>
              <w:ind w:firstLine="0" w:firstLineChars="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防护距离/m</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1498"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bookmarkStart w:id="540" w:name="_Hlk425487322"/>
            <w:r>
              <w:rPr>
                <w:rFonts w:hint="default" w:ascii="Times New Roman" w:hAnsi="Times New Roman" w:cs="Times New Roman"/>
                <w:color w:val="auto"/>
                <w:kern w:val="0"/>
                <w:sz w:val="21"/>
                <w:szCs w:val="21"/>
              </w:rPr>
              <w:t>养殖场</w:t>
            </w:r>
          </w:p>
        </w:tc>
        <w:tc>
          <w:tcPr>
            <w:tcW w:w="100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NH</w:t>
            </w:r>
            <w:r>
              <w:rPr>
                <w:rFonts w:hint="default" w:ascii="Times New Roman" w:hAnsi="Times New Roman" w:cs="Times New Roman"/>
                <w:color w:val="auto"/>
                <w:kern w:val="0"/>
                <w:sz w:val="21"/>
                <w:szCs w:val="21"/>
                <w:vertAlign w:val="subscript"/>
              </w:rPr>
              <w:t>3</w:t>
            </w:r>
          </w:p>
        </w:tc>
        <w:tc>
          <w:tcPr>
            <w:tcW w:w="92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highlight w:val="none"/>
                <w:u w:val="none"/>
                <w:lang w:val="en-US" w:eastAsia="zh-CN"/>
              </w:rPr>
              <w:t>0.0</w:t>
            </w:r>
            <w:r>
              <w:rPr>
                <w:rFonts w:hint="default" w:ascii="Times New Roman" w:hAnsi="Times New Roman" w:cs="Times New Roman"/>
                <w:color w:val="auto"/>
                <w:kern w:val="0"/>
                <w:sz w:val="21"/>
                <w:szCs w:val="21"/>
                <w:highlight w:val="none"/>
                <w:u w:val="none"/>
                <w:lang w:val="en-US" w:eastAsia="zh-CN"/>
              </w:rPr>
              <w:t>8</w:t>
            </w:r>
          </w:p>
        </w:tc>
        <w:tc>
          <w:tcPr>
            <w:tcW w:w="1232"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highlight w:val="none"/>
                <w:u w:val="none"/>
                <w:lang w:val="en-US" w:eastAsia="zh-CN"/>
              </w:rPr>
              <w:t>69000</w:t>
            </w:r>
          </w:p>
        </w:tc>
        <w:tc>
          <w:tcPr>
            <w:tcW w:w="1385"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w:t>
            </w:r>
          </w:p>
        </w:tc>
        <w:tc>
          <w:tcPr>
            <w:tcW w:w="123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1511"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无超标点</w:t>
            </w:r>
          </w:p>
        </w:tc>
      </w:tr>
      <w:tr>
        <w:tblPrEx>
          <w:tblBorders>
            <w:top w:val="single" w:color="auto" w:sz="6" w:space="0"/>
            <w:left w:val="none" w:color="auto" w:sz="0" w:space="0"/>
            <w:bottom w:val="single" w:color="auto" w:sz="6"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34" w:hRule="atLeast"/>
          <w:jc w:val="center"/>
        </w:trPr>
        <w:tc>
          <w:tcPr>
            <w:tcW w:w="1498"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00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H</w:t>
            </w:r>
            <w:r>
              <w:rPr>
                <w:rFonts w:hint="default" w:ascii="Times New Roman" w:hAnsi="Times New Roman" w:cs="Times New Roman"/>
                <w:color w:val="auto"/>
                <w:kern w:val="0"/>
                <w:sz w:val="21"/>
                <w:szCs w:val="21"/>
                <w:vertAlign w:val="subscript"/>
              </w:rPr>
              <w:t>2</w:t>
            </w:r>
            <w:r>
              <w:rPr>
                <w:rFonts w:hint="default" w:ascii="Times New Roman" w:hAnsi="Times New Roman" w:cs="Times New Roman"/>
                <w:color w:val="auto"/>
                <w:kern w:val="0"/>
                <w:sz w:val="21"/>
                <w:szCs w:val="21"/>
              </w:rPr>
              <w:t>S</w:t>
            </w:r>
          </w:p>
        </w:tc>
        <w:tc>
          <w:tcPr>
            <w:tcW w:w="92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highlight w:val="none"/>
                <w:u w:val="none"/>
                <w:lang w:val="en-US" w:eastAsia="zh-CN"/>
              </w:rPr>
              <w:t>0.00</w:t>
            </w:r>
            <w:r>
              <w:rPr>
                <w:rFonts w:hint="default" w:ascii="Times New Roman" w:hAnsi="Times New Roman" w:cs="Times New Roman"/>
                <w:color w:val="auto"/>
                <w:kern w:val="0"/>
                <w:sz w:val="21"/>
                <w:szCs w:val="21"/>
                <w:highlight w:val="none"/>
                <w:u w:val="none"/>
                <w:lang w:val="en-US" w:eastAsia="zh-CN"/>
              </w:rPr>
              <w:t>5</w:t>
            </w:r>
          </w:p>
        </w:tc>
        <w:tc>
          <w:tcPr>
            <w:tcW w:w="1232"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385"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p>
        </w:tc>
        <w:tc>
          <w:tcPr>
            <w:tcW w:w="123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w:t>
            </w:r>
          </w:p>
        </w:tc>
        <w:tc>
          <w:tcPr>
            <w:tcW w:w="1511"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无超标点</w:t>
            </w:r>
          </w:p>
        </w:tc>
      </w:tr>
      <w:bookmarkEnd w:id="540"/>
    </w:tbl>
    <w:p>
      <w:pPr>
        <w:ind w:firstLine="480"/>
        <w:rPr>
          <w:rFonts w:hint="default" w:ascii="Times New Roman" w:hAnsi="Times New Roman" w:cs="Times New Roman"/>
          <w:color w:val="auto"/>
        </w:rPr>
      </w:pPr>
      <w:r>
        <w:rPr>
          <w:rFonts w:hint="default" w:ascii="Times New Roman" w:hAnsi="Times New Roman" w:cs="Times New Roman"/>
          <w:color w:val="auto"/>
        </w:rPr>
        <w:t>由上表可知，本项目无组织排放单元无需设置大气环境防护距离。</w:t>
      </w:r>
    </w:p>
    <w:p>
      <w:pPr>
        <w:ind w:firstLine="480"/>
        <w:rPr>
          <w:rFonts w:hint="default" w:ascii="Times New Roman" w:hAnsi="Times New Roman" w:cs="Times New Roman"/>
          <w:color w:val="auto"/>
        </w:rPr>
      </w:pPr>
      <w:r>
        <w:rPr>
          <w:rFonts w:hint="default" w:ascii="Times New Roman" w:hAnsi="Times New Roman" w:cs="Times New Roman"/>
          <w:color w:val="auto"/>
        </w:rPr>
        <w:t>（2）卫生防护距离计算</w:t>
      </w:r>
    </w:p>
    <w:p>
      <w:pPr>
        <w:ind w:firstLine="480"/>
        <w:rPr>
          <w:rFonts w:hint="default" w:ascii="Times New Roman" w:hAnsi="Times New Roman" w:cs="Times New Roman"/>
          <w:snapToGrid w:val="0"/>
          <w:color w:val="auto"/>
        </w:rPr>
      </w:pPr>
      <w:r>
        <w:rPr>
          <w:rFonts w:hint="default" w:ascii="Times New Roman" w:hAnsi="Times New Roman" w:cs="Times New Roman"/>
          <w:snapToGrid w:val="0"/>
          <w:color w:val="auto"/>
        </w:rPr>
        <w:t>依据《制定地方大气污染物排放标准的技术方法》(GB/T3840-1991) 卫生防护距离确定方法，无组织排放源所在的生产单元(生产车间)与居住区之间应设置卫生防护距离，其计算公式为：</w:t>
      </w:r>
    </w:p>
    <w:p>
      <w:pPr>
        <w:ind w:firstLine="480"/>
        <w:rPr>
          <w:rFonts w:hint="default" w:ascii="Times New Roman" w:hAnsi="Times New Roman" w:cs="Times New Roman"/>
          <w:color w:val="auto"/>
        </w:rPr>
      </w:pPr>
      <w:r>
        <w:rPr>
          <w:rFonts w:hint="default" w:ascii="Times New Roman" w:hAnsi="Times New Roman" w:cs="Times New Roman"/>
          <w:color w:val="auto"/>
        </w:rPr>
        <w:pict>
          <v:shape id="对象 427" o:spid="_x0000_s2394" o:spt="75" type="#_x0000_t75" style="position:absolute;left:0pt;margin-top:3.9pt;height:34.9pt;width:171.3pt;mso-position-horizontal:center;z-index:251782144;mso-width-relative:page;mso-height-relative:page;" o:ole="t" filled="f" o:preferrelative="t" stroked="f" coordsize="21600,21600">
            <v:path/>
            <v:fill on="f" focussize="0,0"/>
            <v:stroke on="f" joinstyle="miter"/>
            <v:imagedata r:id="rId55" o:title=""/>
            <o:lock v:ext="edit" aspectratio="t"/>
          </v:shape>
          <o:OLEObject Type="Embed" ProgID="Equations" ShapeID="对象 427" DrawAspect="Content" ObjectID="_1468075726" r:id="rId54">
            <o:LockedField>false</o:LockedField>
          </o:OLEObject>
        </w:pict>
      </w:r>
    </w:p>
    <w:p>
      <w:pPr>
        <w:ind w:firstLine="480"/>
        <w:rPr>
          <w:rFonts w:hint="default" w:ascii="Times New Roman" w:hAnsi="Times New Roman" w:cs="Times New Roman"/>
          <w:color w:val="auto"/>
        </w:rPr>
      </w:pPr>
    </w:p>
    <w:p>
      <w:pPr>
        <w:ind w:firstLine="480"/>
        <w:rPr>
          <w:rFonts w:hint="default" w:ascii="Times New Roman" w:hAnsi="Times New Roman" w:cs="Times New Roman"/>
          <w:color w:val="auto"/>
        </w:rPr>
      </w:pPr>
      <w:r>
        <w:rPr>
          <w:rFonts w:hint="default" w:ascii="Times New Roman" w:hAnsi="Times New Roman" w:cs="Times New Roman"/>
          <w:color w:val="auto"/>
        </w:rPr>
        <w:t>式中各参数意义如下：</w:t>
      </w:r>
    </w:p>
    <w:p>
      <w:pPr>
        <w:ind w:firstLine="480"/>
        <w:rPr>
          <w:rFonts w:hint="default" w:ascii="Times New Roman" w:hAnsi="Times New Roman" w:cs="Times New Roman"/>
          <w:color w:val="auto"/>
        </w:rPr>
      </w:pPr>
      <w:r>
        <w:rPr>
          <w:rFonts w:hint="default" w:ascii="Times New Roman" w:hAnsi="Times New Roman" w:cs="Times New Roman"/>
          <w:color w:val="auto"/>
        </w:rPr>
        <w:t>C</w:t>
      </w:r>
      <w:r>
        <w:rPr>
          <w:rFonts w:hint="default" w:ascii="Times New Roman" w:hAnsi="Times New Roman" w:cs="Times New Roman"/>
          <w:color w:val="auto"/>
          <w:vertAlign w:val="subscript"/>
        </w:rPr>
        <w:t>m</w:t>
      </w:r>
      <w:r>
        <w:rPr>
          <w:rFonts w:hint="default" w:ascii="Times New Roman" w:hAnsi="Times New Roman" w:cs="Times New Roman"/>
          <w:color w:val="auto"/>
        </w:rPr>
        <w:t>—标准浓度限值，mg/Nm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ind w:firstLine="480"/>
        <w:rPr>
          <w:rFonts w:hint="default" w:ascii="Times New Roman" w:hAnsi="Times New Roman" w:cs="Times New Roman"/>
          <w:color w:val="auto"/>
          <w:kern w:val="0"/>
        </w:rPr>
      </w:pPr>
      <w:r>
        <w:rPr>
          <w:rFonts w:hint="default" w:ascii="Times New Roman" w:hAnsi="Times New Roman" w:cs="Times New Roman"/>
          <w:color w:val="auto"/>
          <w:kern w:val="0"/>
        </w:rPr>
        <w:t>L—工业企业所需卫生防护距离，m；</w:t>
      </w:r>
    </w:p>
    <w:p>
      <w:pPr>
        <w:ind w:firstLine="480"/>
        <w:rPr>
          <w:rFonts w:hint="default" w:ascii="Times New Roman" w:hAnsi="Times New Roman" w:cs="Times New Roman"/>
          <w:color w:val="auto"/>
          <w:kern w:val="0"/>
        </w:rPr>
      </w:pPr>
      <w:r>
        <w:rPr>
          <w:rFonts w:hint="default" w:ascii="Times New Roman" w:hAnsi="Times New Roman" w:cs="Times New Roman"/>
          <w:color w:val="auto"/>
          <w:kern w:val="0"/>
        </w:rPr>
        <w:t>r —有害气体无组织排放源所在生产单元的等效半径，m。根据该生产单元占地面积S(m</w:t>
      </w:r>
      <w:r>
        <w:rPr>
          <w:rFonts w:hint="default" w:ascii="Times New Roman" w:hAnsi="Times New Roman" w:cs="Times New Roman"/>
          <w:color w:val="auto"/>
          <w:kern w:val="0"/>
          <w:vertAlign w:val="superscript"/>
        </w:rPr>
        <w:t>2</w:t>
      </w:r>
      <w:r>
        <w:rPr>
          <w:rFonts w:hint="default" w:ascii="Times New Roman" w:hAnsi="Times New Roman" w:cs="Times New Roman"/>
          <w:color w:val="auto"/>
          <w:kern w:val="0"/>
        </w:rPr>
        <w:t>)计算，r=(S/</w:t>
      </w:r>
      <w:r>
        <w:rPr>
          <w:rFonts w:hint="default" w:ascii="Times New Roman" w:hAnsi="Times New Roman" w:cs="Times New Roman"/>
          <w:color w:val="auto"/>
          <w:kern w:val="0"/>
        </w:rPr>
        <w:sym w:font="Symbol" w:char="F070"/>
      </w:r>
      <w:r>
        <w:rPr>
          <w:rFonts w:hint="default" w:ascii="Times New Roman" w:hAnsi="Times New Roman" w:cs="Times New Roman"/>
          <w:color w:val="auto"/>
          <w:kern w:val="0"/>
        </w:rPr>
        <w:t>)</w:t>
      </w:r>
      <w:r>
        <w:rPr>
          <w:rFonts w:hint="default" w:ascii="Times New Roman" w:hAnsi="Times New Roman" w:cs="Times New Roman"/>
          <w:color w:val="auto"/>
          <w:kern w:val="0"/>
          <w:vertAlign w:val="superscript"/>
        </w:rPr>
        <w:t>0.5</w:t>
      </w:r>
      <w:r>
        <w:rPr>
          <w:rFonts w:hint="default" w:ascii="Times New Roman" w:hAnsi="Times New Roman" w:cs="Times New Roman"/>
          <w:color w:val="auto"/>
          <w:kern w:val="0"/>
        </w:rPr>
        <w:t>，r=91m。</w:t>
      </w:r>
    </w:p>
    <w:p>
      <w:pPr>
        <w:ind w:firstLine="480"/>
        <w:rPr>
          <w:rFonts w:hint="default" w:ascii="Times New Roman" w:hAnsi="Times New Roman" w:cs="Times New Roman"/>
          <w:color w:val="auto"/>
          <w:kern w:val="0"/>
        </w:rPr>
      </w:pPr>
      <w:r>
        <w:rPr>
          <w:rFonts w:hint="default" w:ascii="Times New Roman" w:hAnsi="Times New Roman" w:cs="Times New Roman"/>
          <w:color w:val="auto"/>
          <w:kern w:val="0"/>
        </w:rPr>
        <w:t>A，B，C，D—卫生防护距离计算系数，无因次。</w:t>
      </w:r>
    </w:p>
    <w:p>
      <w:pPr>
        <w:ind w:firstLine="480"/>
        <w:rPr>
          <w:rFonts w:hint="default" w:ascii="Times New Roman" w:hAnsi="Times New Roman" w:cs="Times New Roman"/>
          <w:color w:val="auto"/>
          <w:kern w:val="0"/>
        </w:rPr>
      </w:pPr>
      <w:r>
        <w:rPr>
          <w:rFonts w:hint="default" w:ascii="Times New Roman" w:hAnsi="Times New Roman" w:cs="Times New Roman"/>
          <w:color w:val="auto"/>
          <w:kern w:val="0"/>
        </w:rPr>
        <w:t>Q</w:t>
      </w:r>
      <w:r>
        <w:rPr>
          <w:rFonts w:hint="default" w:ascii="Times New Roman" w:hAnsi="Times New Roman" w:cs="Times New Roman"/>
          <w:color w:val="auto"/>
          <w:kern w:val="0"/>
          <w:vertAlign w:val="subscript"/>
        </w:rPr>
        <w:t>c</w:t>
      </w:r>
      <w:r>
        <w:rPr>
          <w:rFonts w:hint="default" w:ascii="Times New Roman" w:hAnsi="Times New Roman" w:cs="Times New Roman"/>
          <w:color w:val="auto"/>
          <w:kern w:val="0"/>
        </w:rPr>
        <w:t>—工业企业有害气体无组织排放量可达的控制水平，kg/h。</w:t>
      </w:r>
    </w:p>
    <w:p>
      <w:pPr>
        <w:ind w:firstLine="480"/>
        <w:rPr>
          <w:rFonts w:hint="default" w:ascii="Times New Roman" w:hAnsi="Times New Roman" w:cs="Times New Roman"/>
          <w:color w:val="auto"/>
        </w:rPr>
      </w:pPr>
      <w:r>
        <w:rPr>
          <w:rFonts w:hint="default" w:ascii="Times New Roman" w:hAnsi="Times New Roman" w:cs="Times New Roman"/>
          <w:color w:val="auto"/>
        </w:rPr>
        <w:t>依照上述公式无组织排放单元与居住区之间卫生防护距离计算参数及结果见5.2-</w:t>
      </w:r>
      <w:r>
        <w:rPr>
          <w:rFonts w:hint="eastAsia" w:cs="Times New Roman"/>
          <w:color w:val="auto"/>
          <w:lang w:val="en-US" w:eastAsia="zh-CN"/>
        </w:rPr>
        <w:t>22</w:t>
      </w:r>
      <w:r>
        <w:rPr>
          <w:rFonts w:hint="default" w:ascii="Times New Roman" w:hAnsi="Times New Roman" w:cs="Times New Roman"/>
          <w:color w:val="auto"/>
        </w:rPr>
        <w:t>。</w:t>
      </w:r>
    </w:p>
    <w:p>
      <w:pPr>
        <w:ind w:firstLine="0" w:firstLineChars="0"/>
        <w:jc w:val="center"/>
        <w:rPr>
          <w:rFonts w:hint="default" w:ascii="Times New Roman" w:hAnsi="Times New Roman" w:cs="Times New Roman"/>
          <w:b/>
          <w:bCs/>
          <w:color w:val="auto"/>
          <w:kern w:val="0"/>
          <w:szCs w:val="20"/>
        </w:rPr>
      </w:pPr>
      <w:r>
        <w:rPr>
          <w:rFonts w:hint="default" w:ascii="Times New Roman" w:hAnsi="Times New Roman" w:cs="Times New Roman"/>
          <w:b/>
          <w:bCs/>
          <w:color w:val="auto"/>
          <w:szCs w:val="20"/>
        </w:rPr>
        <w:t>表 5.2-</w:t>
      </w:r>
      <w:r>
        <w:rPr>
          <w:rFonts w:hint="eastAsia" w:cs="Times New Roman"/>
          <w:b/>
          <w:bCs/>
          <w:color w:val="auto"/>
          <w:szCs w:val="20"/>
          <w:lang w:val="en-US" w:eastAsia="zh-CN"/>
        </w:rPr>
        <w:t>23</w:t>
      </w:r>
      <w:r>
        <w:rPr>
          <w:rFonts w:hint="default" w:ascii="Times New Roman" w:hAnsi="Times New Roman" w:cs="Times New Roman"/>
          <w:b/>
          <w:bCs/>
          <w:color w:val="auto"/>
          <w:kern w:val="0"/>
          <w:szCs w:val="20"/>
        </w:rPr>
        <w:t xml:space="preserve">    无组织排放单元与居住区之间卫生防护距离计算参数及其结果</w:t>
      </w:r>
    </w:p>
    <w:tbl>
      <w:tblPr>
        <w:tblStyle w:val="25"/>
        <w:tblW w:w="873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25"/>
        <w:gridCol w:w="718"/>
        <w:gridCol w:w="850"/>
        <w:gridCol w:w="1676"/>
        <w:gridCol w:w="358"/>
        <w:gridCol w:w="538"/>
        <w:gridCol w:w="417"/>
        <w:gridCol w:w="421"/>
        <w:gridCol w:w="656"/>
        <w:gridCol w:w="478"/>
        <w:gridCol w:w="119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9" w:hRule="atLeast"/>
          <w:tblHeader/>
          <w:jc w:val="center"/>
        </w:trPr>
        <w:tc>
          <w:tcPr>
            <w:tcW w:w="1425" w:type="dxa"/>
            <w:vMerge w:val="restart"/>
            <w:tcBorders>
              <w:tl2br w:val="nil"/>
              <w:tr2bl w:val="nil"/>
            </w:tcBorders>
            <w:vAlign w:val="center"/>
          </w:tcPr>
          <w:p>
            <w:pPr>
              <w:spacing w:line="360" w:lineRule="exact"/>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无组织</w:t>
            </w:r>
          </w:p>
          <w:p>
            <w:pPr>
              <w:spacing w:line="360" w:lineRule="exact"/>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排放源</w:t>
            </w:r>
          </w:p>
        </w:tc>
        <w:tc>
          <w:tcPr>
            <w:tcW w:w="718" w:type="dxa"/>
            <w:vMerge w:val="restart"/>
            <w:tcBorders>
              <w:tl2br w:val="nil"/>
              <w:tr2bl w:val="nil"/>
            </w:tcBorders>
            <w:vAlign w:val="center"/>
          </w:tcPr>
          <w:p>
            <w:pPr>
              <w:spacing w:line="360" w:lineRule="exact"/>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污染物</w:t>
            </w:r>
          </w:p>
        </w:tc>
        <w:tc>
          <w:tcPr>
            <w:tcW w:w="850" w:type="dxa"/>
            <w:vMerge w:val="restart"/>
            <w:tcBorders>
              <w:tl2br w:val="nil"/>
              <w:tr2bl w:val="nil"/>
            </w:tcBorders>
            <w:vAlign w:val="center"/>
          </w:tcPr>
          <w:p>
            <w:pPr>
              <w:spacing w:line="360" w:lineRule="exact"/>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排放量</w:t>
            </w:r>
          </w:p>
          <w:p>
            <w:pPr>
              <w:spacing w:line="360" w:lineRule="exact"/>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（kg/h）</w:t>
            </w:r>
          </w:p>
        </w:tc>
        <w:tc>
          <w:tcPr>
            <w:tcW w:w="1676" w:type="dxa"/>
            <w:vMerge w:val="restart"/>
            <w:tcBorders>
              <w:tl2br w:val="nil"/>
              <w:tr2bl w:val="nil"/>
            </w:tcBorders>
            <w:vAlign w:val="center"/>
          </w:tcPr>
          <w:p>
            <w:pPr>
              <w:spacing w:line="360" w:lineRule="exact"/>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标准浓度</w:t>
            </w:r>
          </w:p>
          <w:p>
            <w:pPr>
              <w:spacing w:line="360" w:lineRule="exact"/>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限值（小时值）</w:t>
            </w:r>
          </w:p>
          <w:p>
            <w:pPr>
              <w:spacing w:line="360" w:lineRule="exact"/>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（ug/m</w:t>
            </w:r>
            <w:r>
              <w:rPr>
                <w:rFonts w:hint="default" w:ascii="Times New Roman" w:hAnsi="Times New Roman" w:cs="Times New Roman"/>
                <w:b/>
                <w:color w:val="auto"/>
                <w:kern w:val="0"/>
                <w:sz w:val="21"/>
                <w:szCs w:val="21"/>
                <w:vertAlign w:val="superscript"/>
              </w:rPr>
              <w:t>3</w:t>
            </w:r>
            <w:r>
              <w:rPr>
                <w:rFonts w:hint="default" w:ascii="Times New Roman" w:hAnsi="Times New Roman" w:cs="Times New Roman"/>
                <w:b/>
                <w:color w:val="auto"/>
                <w:kern w:val="0"/>
                <w:sz w:val="21"/>
                <w:szCs w:val="21"/>
              </w:rPr>
              <w:t>）</w:t>
            </w:r>
          </w:p>
        </w:tc>
        <w:tc>
          <w:tcPr>
            <w:tcW w:w="1734" w:type="dxa"/>
            <w:gridSpan w:val="4"/>
            <w:tcBorders>
              <w:tl2br w:val="nil"/>
              <w:tr2bl w:val="nil"/>
            </w:tcBorders>
            <w:vAlign w:val="center"/>
          </w:tcPr>
          <w:p>
            <w:pPr>
              <w:spacing w:line="360" w:lineRule="exact"/>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计算参数</w:t>
            </w:r>
          </w:p>
        </w:tc>
        <w:tc>
          <w:tcPr>
            <w:tcW w:w="2327" w:type="dxa"/>
            <w:gridSpan w:val="3"/>
            <w:tcBorders>
              <w:tl2br w:val="nil"/>
              <w:tr2bl w:val="nil"/>
            </w:tcBorders>
            <w:vAlign w:val="center"/>
          </w:tcPr>
          <w:p>
            <w:pPr>
              <w:spacing w:line="360" w:lineRule="exact"/>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卫生防护距离m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0" w:hRule="atLeast"/>
          <w:tblHeader/>
          <w:jc w:val="center"/>
        </w:trPr>
        <w:tc>
          <w:tcPr>
            <w:tcW w:w="1425" w:type="dxa"/>
            <w:vMerge w:val="continue"/>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p>
        </w:tc>
        <w:tc>
          <w:tcPr>
            <w:tcW w:w="718" w:type="dxa"/>
            <w:vMerge w:val="continue"/>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p>
        </w:tc>
        <w:tc>
          <w:tcPr>
            <w:tcW w:w="850" w:type="dxa"/>
            <w:vMerge w:val="continue"/>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p>
        </w:tc>
        <w:tc>
          <w:tcPr>
            <w:tcW w:w="1676" w:type="dxa"/>
            <w:vMerge w:val="continue"/>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p>
        </w:tc>
        <w:tc>
          <w:tcPr>
            <w:tcW w:w="358" w:type="dxa"/>
            <w:tcBorders>
              <w:tl2br w:val="nil"/>
              <w:tr2bl w:val="nil"/>
            </w:tcBorders>
            <w:vAlign w:val="center"/>
          </w:tcPr>
          <w:p>
            <w:pPr>
              <w:spacing w:line="360" w:lineRule="exact"/>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A</w:t>
            </w:r>
          </w:p>
        </w:tc>
        <w:tc>
          <w:tcPr>
            <w:tcW w:w="538" w:type="dxa"/>
            <w:tcBorders>
              <w:tl2br w:val="nil"/>
              <w:tr2bl w:val="nil"/>
            </w:tcBorders>
            <w:vAlign w:val="center"/>
          </w:tcPr>
          <w:p>
            <w:pPr>
              <w:spacing w:line="360" w:lineRule="exact"/>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B</w:t>
            </w:r>
          </w:p>
        </w:tc>
        <w:tc>
          <w:tcPr>
            <w:tcW w:w="417" w:type="dxa"/>
            <w:tcBorders>
              <w:tl2br w:val="nil"/>
              <w:tr2bl w:val="nil"/>
            </w:tcBorders>
            <w:vAlign w:val="center"/>
          </w:tcPr>
          <w:p>
            <w:pPr>
              <w:spacing w:line="360" w:lineRule="exact"/>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C</w:t>
            </w:r>
          </w:p>
        </w:tc>
        <w:tc>
          <w:tcPr>
            <w:tcW w:w="421" w:type="dxa"/>
            <w:tcBorders>
              <w:tl2br w:val="nil"/>
              <w:tr2bl w:val="nil"/>
            </w:tcBorders>
            <w:vAlign w:val="center"/>
          </w:tcPr>
          <w:p>
            <w:pPr>
              <w:spacing w:line="360" w:lineRule="exact"/>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D</w:t>
            </w:r>
          </w:p>
        </w:tc>
        <w:tc>
          <w:tcPr>
            <w:tcW w:w="656" w:type="dxa"/>
            <w:tcBorders>
              <w:tl2br w:val="nil"/>
              <w:tr2bl w:val="nil"/>
            </w:tcBorders>
            <w:vAlign w:val="center"/>
          </w:tcPr>
          <w:p>
            <w:pPr>
              <w:spacing w:line="360" w:lineRule="exact"/>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计算</w:t>
            </w:r>
          </w:p>
          <w:p>
            <w:pPr>
              <w:spacing w:line="360" w:lineRule="exact"/>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结果</w:t>
            </w:r>
          </w:p>
        </w:tc>
        <w:tc>
          <w:tcPr>
            <w:tcW w:w="478" w:type="dxa"/>
            <w:tcBorders>
              <w:tl2br w:val="nil"/>
              <w:tr2bl w:val="nil"/>
            </w:tcBorders>
            <w:vAlign w:val="center"/>
          </w:tcPr>
          <w:p>
            <w:pPr>
              <w:spacing w:line="360" w:lineRule="exact"/>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实际</w:t>
            </w:r>
          </w:p>
          <w:p>
            <w:pPr>
              <w:spacing w:line="360" w:lineRule="exact"/>
              <w:ind w:firstLine="0" w:firstLineChars="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距离</w:t>
            </w:r>
          </w:p>
        </w:tc>
        <w:tc>
          <w:tcPr>
            <w:tcW w:w="1193" w:type="dxa"/>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b/>
                <w:color w:val="auto"/>
                <w:kern w:val="0"/>
                <w:sz w:val="21"/>
                <w:szCs w:val="21"/>
              </w:rPr>
              <w:t>提级后距离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5" w:hRule="atLeast"/>
          <w:jc w:val="center"/>
        </w:trPr>
        <w:tc>
          <w:tcPr>
            <w:tcW w:w="1425" w:type="dxa"/>
            <w:vMerge w:val="restart"/>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养殖场</w:t>
            </w:r>
          </w:p>
        </w:tc>
        <w:tc>
          <w:tcPr>
            <w:tcW w:w="718" w:type="dxa"/>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NH</w:t>
            </w:r>
            <w:r>
              <w:rPr>
                <w:rFonts w:hint="default" w:ascii="Times New Roman" w:hAnsi="Times New Roman" w:cs="Times New Roman"/>
                <w:color w:val="auto"/>
                <w:kern w:val="0"/>
                <w:sz w:val="21"/>
                <w:szCs w:val="21"/>
                <w:vertAlign w:val="subscript"/>
              </w:rPr>
              <w:t>3</w:t>
            </w:r>
          </w:p>
        </w:tc>
        <w:tc>
          <w:tcPr>
            <w:tcW w:w="85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highlight w:val="none"/>
                <w:u w:val="none"/>
                <w:lang w:val="en-US" w:eastAsia="zh-CN"/>
              </w:rPr>
              <w:t>0.0</w:t>
            </w:r>
            <w:r>
              <w:rPr>
                <w:rFonts w:hint="default" w:ascii="Times New Roman" w:hAnsi="Times New Roman" w:cs="Times New Roman"/>
                <w:color w:val="auto"/>
                <w:kern w:val="0"/>
                <w:sz w:val="21"/>
                <w:szCs w:val="21"/>
                <w:highlight w:val="none"/>
                <w:u w:val="none"/>
                <w:lang w:val="en-US" w:eastAsia="zh-CN"/>
              </w:rPr>
              <w:t>8</w:t>
            </w:r>
          </w:p>
        </w:tc>
        <w:tc>
          <w:tcPr>
            <w:tcW w:w="1676" w:type="dxa"/>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200</w:t>
            </w:r>
          </w:p>
        </w:tc>
        <w:tc>
          <w:tcPr>
            <w:tcW w:w="358" w:type="dxa"/>
            <w:vMerge w:val="restart"/>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470</w:t>
            </w:r>
          </w:p>
        </w:tc>
        <w:tc>
          <w:tcPr>
            <w:tcW w:w="538" w:type="dxa"/>
            <w:vMerge w:val="restart"/>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0.021</w:t>
            </w:r>
          </w:p>
        </w:tc>
        <w:tc>
          <w:tcPr>
            <w:tcW w:w="417" w:type="dxa"/>
            <w:vMerge w:val="restart"/>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1.85</w:t>
            </w:r>
          </w:p>
        </w:tc>
        <w:tc>
          <w:tcPr>
            <w:tcW w:w="421" w:type="dxa"/>
            <w:vMerge w:val="restart"/>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0.84</w:t>
            </w:r>
          </w:p>
        </w:tc>
        <w:tc>
          <w:tcPr>
            <w:tcW w:w="656" w:type="dxa"/>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1.539</w:t>
            </w:r>
          </w:p>
        </w:tc>
        <w:tc>
          <w:tcPr>
            <w:tcW w:w="478" w:type="dxa"/>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50</w:t>
            </w:r>
          </w:p>
        </w:tc>
        <w:tc>
          <w:tcPr>
            <w:tcW w:w="1193" w:type="dxa"/>
            <w:vMerge w:val="restart"/>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5" w:hRule="atLeast"/>
          <w:jc w:val="center"/>
        </w:trPr>
        <w:tc>
          <w:tcPr>
            <w:tcW w:w="1425" w:type="dxa"/>
            <w:vMerge w:val="continue"/>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p>
        </w:tc>
        <w:tc>
          <w:tcPr>
            <w:tcW w:w="718" w:type="dxa"/>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H</w:t>
            </w:r>
            <w:r>
              <w:rPr>
                <w:rFonts w:hint="default" w:ascii="Times New Roman" w:hAnsi="Times New Roman" w:cs="Times New Roman"/>
                <w:color w:val="auto"/>
                <w:kern w:val="0"/>
                <w:sz w:val="21"/>
                <w:szCs w:val="21"/>
                <w:vertAlign w:val="subscript"/>
              </w:rPr>
              <w:t>2</w:t>
            </w:r>
            <w:r>
              <w:rPr>
                <w:rFonts w:hint="default" w:ascii="Times New Roman" w:hAnsi="Times New Roman" w:cs="Times New Roman"/>
                <w:color w:val="auto"/>
                <w:kern w:val="0"/>
                <w:sz w:val="21"/>
                <w:szCs w:val="21"/>
              </w:rPr>
              <w:t>S</w:t>
            </w:r>
          </w:p>
        </w:tc>
        <w:tc>
          <w:tcPr>
            <w:tcW w:w="85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eastAsia="宋体" w:cs="Times New Roman"/>
                <w:color w:val="auto"/>
                <w:kern w:val="0"/>
                <w:sz w:val="21"/>
                <w:szCs w:val="21"/>
                <w:highlight w:val="none"/>
                <w:u w:val="none"/>
                <w:lang w:val="en-US" w:eastAsia="zh-CN"/>
              </w:rPr>
              <w:t>0.00</w:t>
            </w:r>
            <w:r>
              <w:rPr>
                <w:rFonts w:hint="default" w:ascii="Times New Roman" w:hAnsi="Times New Roman" w:cs="Times New Roman"/>
                <w:color w:val="auto"/>
                <w:kern w:val="0"/>
                <w:sz w:val="21"/>
                <w:szCs w:val="21"/>
                <w:highlight w:val="none"/>
                <w:u w:val="none"/>
                <w:lang w:val="en-US" w:eastAsia="zh-CN"/>
              </w:rPr>
              <w:t>5</w:t>
            </w:r>
          </w:p>
        </w:tc>
        <w:tc>
          <w:tcPr>
            <w:tcW w:w="1676" w:type="dxa"/>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w:t>
            </w:r>
          </w:p>
        </w:tc>
        <w:tc>
          <w:tcPr>
            <w:tcW w:w="358" w:type="dxa"/>
            <w:vMerge w:val="continue"/>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p>
        </w:tc>
        <w:tc>
          <w:tcPr>
            <w:tcW w:w="538" w:type="dxa"/>
            <w:vMerge w:val="continue"/>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p>
        </w:tc>
        <w:tc>
          <w:tcPr>
            <w:tcW w:w="417" w:type="dxa"/>
            <w:vMerge w:val="continue"/>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p>
        </w:tc>
        <w:tc>
          <w:tcPr>
            <w:tcW w:w="421" w:type="dxa"/>
            <w:vMerge w:val="continue"/>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p>
        </w:tc>
        <w:tc>
          <w:tcPr>
            <w:tcW w:w="656" w:type="dxa"/>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18.275</w:t>
            </w:r>
          </w:p>
        </w:tc>
        <w:tc>
          <w:tcPr>
            <w:tcW w:w="478" w:type="dxa"/>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50</w:t>
            </w:r>
          </w:p>
        </w:tc>
        <w:tc>
          <w:tcPr>
            <w:tcW w:w="1193" w:type="dxa"/>
            <w:vMerge w:val="continue"/>
            <w:tcBorders>
              <w:tl2br w:val="nil"/>
              <w:tr2bl w:val="nil"/>
            </w:tcBorders>
            <w:vAlign w:val="center"/>
          </w:tcPr>
          <w:p>
            <w:pPr>
              <w:spacing w:line="360" w:lineRule="exact"/>
              <w:ind w:firstLine="0" w:firstLineChars="0"/>
              <w:jc w:val="center"/>
              <w:rPr>
                <w:rFonts w:hint="default" w:ascii="Times New Roman" w:hAnsi="Times New Roman" w:cs="Times New Roman"/>
                <w:color w:val="auto"/>
                <w:kern w:val="0"/>
                <w:sz w:val="21"/>
                <w:szCs w:val="21"/>
              </w:rPr>
            </w:pPr>
          </w:p>
        </w:tc>
      </w:tr>
    </w:tbl>
    <w:p>
      <w:pPr>
        <w:ind w:firstLine="480"/>
        <w:rPr>
          <w:rFonts w:hint="default" w:ascii="Times New Roman" w:hAnsi="Times New Roman" w:cs="Times New Roman"/>
          <w:color w:val="auto"/>
        </w:rPr>
      </w:pPr>
      <w:r>
        <w:rPr>
          <w:rFonts w:hint="default" w:ascii="Times New Roman" w:hAnsi="Times New Roman" w:cs="Times New Roman"/>
          <w:color w:val="auto"/>
        </w:rPr>
        <w:t>因项目涉及两种无组织排放的污染物，《制定地方大气污染物排放标准的技术方法》（GB/T 3840-91）中的“当按两种或两种以上的有害气体的Qc/Cm值计算的卫生防护距离在同一级别时，该类工业企业的卫生防护距离级别应该高一级”，确定本项目养殖场的卫生防护距离范围为：100m。</w:t>
      </w:r>
    </w:p>
    <w:p>
      <w:pPr>
        <w:adjustRightInd/>
        <w:snapToGrid/>
        <w:ind w:firstLine="480"/>
        <w:rPr>
          <w:rFonts w:hint="default" w:ascii="Times New Roman" w:hAnsi="Times New Roman" w:cs="Times New Roman"/>
          <w:color w:val="auto"/>
        </w:rPr>
      </w:pPr>
      <w:r>
        <w:rPr>
          <w:rFonts w:hint="default" w:ascii="Times New Roman" w:hAnsi="Times New Roman" w:cs="Times New Roman"/>
          <w:color w:val="auto"/>
        </w:rPr>
        <w:t>根据《畜禽养殖业污染防治技术规范》（HJ/T81－2001），养殖场场界与禁建区域边界的最小距离不得小于500m（经核实，该项目场界外500m内无禁建区域），本项目最终核定养殖场区卫生防护距离为500m（以养殖区为边界）。</w:t>
      </w:r>
    </w:p>
    <w:p>
      <w:pPr>
        <w:ind w:firstLine="480"/>
        <w:rPr>
          <w:rFonts w:hint="default" w:ascii="Times New Roman" w:hAnsi="Times New Roman" w:cs="Times New Roman"/>
          <w:color w:val="auto"/>
        </w:rPr>
      </w:pPr>
      <w:r>
        <w:rPr>
          <w:rFonts w:hint="default" w:ascii="Times New Roman" w:hAnsi="Times New Roman" w:cs="Times New Roman"/>
          <w:color w:val="auto"/>
        </w:rPr>
        <w:t>5.2.1.7环境空气预测结论</w:t>
      </w:r>
    </w:p>
    <w:p>
      <w:pPr>
        <w:adjustRightInd/>
        <w:snapToGrid/>
        <w:spacing w:line="440" w:lineRule="exact"/>
        <w:ind w:firstLine="480"/>
        <w:rPr>
          <w:rFonts w:hint="default" w:ascii="Times New Roman" w:hAnsi="Times New Roman" w:cs="Times New Roman"/>
          <w:color w:val="auto"/>
        </w:rPr>
      </w:pPr>
      <w:r>
        <w:rPr>
          <w:rFonts w:hint="default" w:ascii="Times New Roman" w:hAnsi="Times New Roman" w:cs="Times New Roman"/>
          <w:color w:val="auto"/>
        </w:rPr>
        <w:t>①工程采取处理措施后无组织排放的H</w:t>
      </w:r>
      <w:r>
        <w:rPr>
          <w:rFonts w:hint="default" w:ascii="Times New Roman" w:hAnsi="Times New Roman" w:cs="Times New Roman"/>
          <w:color w:val="auto"/>
          <w:vertAlign w:val="subscript"/>
        </w:rPr>
        <w:t>2</w:t>
      </w:r>
      <w:r>
        <w:rPr>
          <w:rFonts w:hint="default" w:ascii="Times New Roman" w:hAnsi="Times New Roman" w:cs="Times New Roman"/>
          <w:color w:val="auto"/>
        </w:rPr>
        <w:t>S、NH</w:t>
      </w:r>
      <w:r>
        <w:rPr>
          <w:rFonts w:hint="default" w:ascii="Times New Roman" w:hAnsi="Times New Roman" w:cs="Times New Roman"/>
          <w:color w:val="auto"/>
          <w:vertAlign w:val="subscript"/>
        </w:rPr>
        <w:t>3</w:t>
      </w:r>
      <w:r>
        <w:rPr>
          <w:rFonts w:hint="default" w:ascii="Times New Roman" w:hAnsi="Times New Roman" w:cs="Times New Roman"/>
          <w:color w:val="auto"/>
        </w:rPr>
        <w:t>在各敏感点处的污染物浓度及叠加背景值后的浓度均能满足《环境影响评价技术导则—大气环境》（HJ2.2-2018）附录D 表D.1浓度参考限值，NH</w:t>
      </w:r>
      <w:r>
        <w:rPr>
          <w:rFonts w:hint="default" w:ascii="Times New Roman" w:hAnsi="Times New Roman" w:cs="Times New Roman"/>
          <w:color w:val="auto"/>
          <w:vertAlign w:val="subscript"/>
        </w:rPr>
        <w:t>3</w:t>
      </w:r>
      <w:r>
        <w:rPr>
          <w:rFonts w:hint="default" w:ascii="Times New Roman" w:hAnsi="Times New Roman" w:cs="Times New Roman"/>
          <w:color w:val="auto"/>
        </w:rPr>
        <w:t>一次值浓度值按0.2mg/m</w:t>
      </w:r>
      <w:r>
        <w:rPr>
          <w:rFonts w:hint="default" w:ascii="Times New Roman" w:hAnsi="Times New Roman" w:cs="Times New Roman"/>
          <w:color w:val="auto"/>
          <w:vertAlign w:val="superscript"/>
        </w:rPr>
        <w:t>3</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S的小时浓度值为0.01mg/m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adjustRightInd/>
        <w:snapToGrid/>
        <w:spacing w:line="440" w:lineRule="exact"/>
        <w:ind w:firstLine="480"/>
        <w:rPr>
          <w:rFonts w:hint="default" w:ascii="Times New Roman" w:hAnsi="Times New Roman" w:cs="Times New Roman"/>
          <w:color w:val="auto"/>
        </w:rPr>
      </w:pPr>
      <w:r>
        <w:rPr>
          <w:rFonts w:hint="default" w:ascii="Times New Roman" w:hAnsi="Times New Roman" w:cs="Times New Roman"/>
          <w:color w:val="auto"/>
        </w:rPr>
        <w:t>②本项目无组织排放的NH</w:t>
      </w:r>
      <w:r>
        <w:rPr>
          <w:rFonts w:hint="default" w:ascii="Times New Roman" w:hAnsi="Times New Roman" w:cs="Times New Roman"/>
          <w:color w:val="auto"/>
          <w:vertAlign w:val="subscript"/>
        </w:rPr>
        <w:t>3</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w:t>
      </w:r>
      <w:r>
        <w:rPr>
          <w:rFonts w:hint="default" w:ascii="Times New Roman" w:hAnsi="Times New Roman" w:cs="Times New Roman"/>
          <w:bCs/>
          <w:color w:val="auto"/>
        </w:rPr>
        <w:t>在</w:t>
      </w:r>
      <w:r>
        <w:rPr>
          <w:rFonts w:hint="default" w:ascii="Times New Roman" w:hAnsi="Times New Roman" w:cs="Times New Roman"/>
          <w:color w:val="auto"/>
        </w:rPr>
        <w:t>各场界处的预测值均可达到对应的《恶臭污染物排放标准》（GB14554-93）场界浓度限值要求；</w:t>
      </w:r>
    </w:p>
    <w:p>
      <w:pPr>
        <w:adjustRightInd/>
        <w:snapToGrid/>
        <w:spacing w:line="440" w:lineRule="exact"/>
        <w:ind w:firstLine="480"/>
        <w:rPr>
          <w:rFonts w:hint="default" w:ascii="Times New Roman" w:hAnsi="Times New Roman" w:cs="Times New Roman"/>
          <w:b/>
          <w:color w:val="auto"/>
          <w:vertAlign w:val="superscript"/>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③</w:t>
      </w:r>
      <w:r>
        <w:rPr>
          <w:rFonts w:hint="default" w:ascii="Times New Roman" w:hAnsi="Times New Roman" w:cs="Times New Roman"/>
          <w:color w:val="auto"/>
        </w:rPr>
        <w:fldChar w:fldCharType="end"/>
      </w:r>
      <w:r>
        <w:rPr>
          <w:rFonts w:hint="default" w:ascii="Times New Roman" w:hAnsi="Times New Roman" w:cs="Times New Roman"/>
          <w:color w:val="auto"/>
        </w:rPr>
        <w:t>经计算，本项目无组织排放单元无需设置大气环境防护距离；</w:t>
      </w:r>
    </w:p>
    <w:p>
      <w:pPr>
        <w:adjustRightInd/>
        <w:snapToGrid/>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4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④</w:t>
      </w:r>
      <w:r>
        <w:rPr>
          <w:rFonts w:hint="default" w:ascii="Times New Roman" w:hAnsi="Times New Roman" w:cs="Times New Roman"/>
          <w:color w:val="auto"/>
        </w:rPr>
        <w:fldChar w:fldCharType="end"/>
      </w:r>
      <w:r>
        <w:rPr>
          <w:rFonts w:hint="default" w:ascii="Times New Roman" w:hAnsi="Times New Roman" w:cs="Times New Roman"/>
          <w:color w:val="auto"/>
        </w:rPr>
        <w:t>经计算，本项目养殖场的卫生防护距离为500m（以猪舍养殖区为南边界），防护距离内无敏感点存在，满足项目防护距离的条件下，评价认为项目无组织废气的排放对环境的影响可以接受。</w:t>
      </w:r>
    </w:p>
    <w:p>
      <w:pPr>
        <w:pStyle w:val="5"/>
        <w:rPr>
          <w:rFonts w:hint="default" w:ascii="Times New Roman" w:hAnsi="Times New Roman" w:cs="Times New Roman"/>
          <w:color w:val="auto"/>
          <w:kern w:val="44"/>
        </w:rPr>
      </w:pPr>
      <w:r>
        <w:rPr>
          <w:rFonts w:hint="default" w:ascii="Times New Roman" w:hAnsi="Times New Roman" w:cs="Times New Roman"/>
          <w:color w:val="auto"/>
          <w:kern w:val="44"/>
        </w:rPr>
        <w:t>5.2.2地表水环境质量影响</w:t>
      </w:r>
      <w:bookmarkEnd w:id="528"/>
      <w:r>
        <w:rPr>
          <w:rFonts w:hint="default" w:ascii="Times New Roman" w:hAnsi="Times New Roman" w:cs="Times New Roman"/>
          <w:color w:val="auto"/>
          <w:kern w:val="44"/>
        </w:rPr>
        <w:t>分析</w:t>
      </w:r>
      <w:bookmarkEnd w:id="529"/>
      <w:bookmarkEnd w:id="530"/>
      <w:bookmarkEnd w:id="531"/>
      <w:bookmarkEnd w:id="532"/>
      <w:bookmarkEnd w:id="533"/>
    </w:p>
    <w:p>
      <w:pPr>
        <w:ind w:firstLine="480"/>
        <w:outlineLvl w:val="3"/>
        <w:rPr>
          <w:rFonts w:hint="default" w:ascii="Times New Roman" w:hAnsi="Times New Roman" w:cs="Times New Roman"/>
          <w:color w:val="auto"/>
        </w:rPr>
      </w:pPr>
      <w:r>
        <w:rPr>
          <w:rFonts w:hint="default" w:ascii="Times New Roman" w:hAnsi="Times New Roman" w:cs="Times New Roman"/>
          <w:color w:val="auto"/>
        </w:rPr>
        <w:t>5.2.2.1正常工况</w:t>
      </w:r>
    </w:p>
    <w:p>
      <w:pPr>
        <w:ind w:firstLine="600" w:firstLineChars="250"/>
        <w:rPr>
          <w:rFonts w:hint="default" w:ascii="Times New Roman" w:hAnsi="Times New Roman" w:cs="Times New Roman"/>
          <w:color w:val="auto"/>
        </w:rPr>
      </w:pPr>
      <w:r>
        <w:rPr>
          <w:rFonts w:hint="default" w:ascii="Times New Roman" w:hAnsi="Times New Roman" w:cs="Times New Roman"/>
          <w:color w:val="auto"/>
        </w:rPr>
        <w:t>工程废水产生量为夏季124.42m</w:t>
      </w:r>
      <w:r>
        <w:rPr>
          <w:rFonts w:hint="default" w:ascii="Times New Roman" w:hAnsi="Times New Roman" w:cs="Times New Roman"/>
          <w:color w:val="auto"/>
          <w:vertAlign w:val="superscript"/>
        </w:rPr>
        <w:t>3</w:t>
      </w:r>
      <w:r>
        <w:rPr>
          <w:rFonts w:hint="default" w:ascii="Times New Roman" w:hAnsi="Times New Roman" w:cs="Times New Roman"/>
          <w:color w:val="auto"/>
        </w:rPr>
        <w:t>/d、其他季节86.862m</w:t>
      </w:r>
      <w:r>
        <w:rPr>
          <w:rFonts w:hint="default" w:ascii="Times New Roman" w:hAnsi="Times New Roman" w:cs="Times New Roman"/>
          <w:color w:val="auto"/>
          <w:vertAlign w:val="superscript"/>
        </w:rPr>
        <w:t>3</w:t>
      </w:r>
      <w:r>
        <w:rPr>
          <w:rFonts w:hint="default" w:ascii="Times New Roman" w:hAnsi="Times New Roman" w:cs="Times New Roman"/>
          <w:color w:val="auto"/>
        </w:rPr>
        <w:t xml:space="preserve">/d，经场内污水站处理后作为农肥施用于工程配套种植农田。废水全部消纳利用，不外排。工程的生产运营不会对评价区地表水环境造成污染影响。 </w:t>
      </w:r>
    </w:p>
    <w:p>
      <w:pPr>
        <w:ind w:firstLine="480"/>
        <w:outlineLvl w:val="3"/>
        <w:rPr>
          <w:rFonts w:hint="default" w:ascii="Times New Roman" w:hAnsi="Times New Roman" w:cs="Times New Roman"/>
          <w:color w:val="auto"/>
        </w:rPr>
      </w:pPr>
      <w:r>
        <w:rPr>
          <w:rFonts w:hint="default" w:ascii="Times New Roman" w:hAnsi="Times New Roman" w:cs="Times New Roman"/>
          <w:color w:val="auto"/>
        </w:rPr>
        <w:t>5.2.2.2雨季及非施肥期</w:t>
      </w:r>
    </w:p>
    <w:p>
      <w:pPr>
        <w:ind w:firstLine="480"/>
        <w:rPr>
          <w:rFonts w:hint="default" w:ascii="Times New Roman" w:hAnsi="Times New Roman" w:cs="Times New Roman"/>
          <w:color w:val="auto"/>
        </w:rPr>
      </w:pPr>
      <w:r>
        <w:rPr>
          <w:rFonts w:hint="default" w:ascii="Times New Roman" w:hAnsi="Times New Roman" w:cs="Times New Roman"/>
          <w:color w:val="auto"/>
        </w:rPr>
        <w:t>雨季及非施肥期，工程所产生的沼液（夏季1</w:t>
      </w:r>
      <w:r>
        <w:rPr>
          <w:rFonts w:hint="default" w:ascii="Times New Roman" w:hAnsi="Times New Roman" w:cs="Times New Roman"/>
          <w:color w:val="auto"/>
          <w:lang w:val="en-US" w:eastAsia="zh-CN"/>
        </w:rPr>
        <w:t>19.25</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/d，其他季节</w:t>
      </w:r>
      <w:r>
        <w:rPr>
          <w:rFonts w:hint="default" w:ascii="Times New Roman" w:hAnsi="Times New Roman" w:cs="Times New Roman"/>
          <w:color w:val="auto"/>
          <w:lang w:val="en-US" w:eastAsia="zh-CN"/>
        </w:rPr>
        <w:t>81.692</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/d）无法及时消纳，拟全部暂存于沼液储池。</w:t>
      </w:r>
    </w:p>
    <w:p>
      <w:pPr>
        <w:ind w:firstLine="480"/>
        <w:rPr>
          <w:rFonts w:hint="default" w:ascii="Times New Roman" w:hAnsi="Times New Roman" w:cs="Times New Roman"/>
          <w:bCs/>
          <w:color w:val="auto"/>
        </w:rPr>
      </w:pPr>
      <w:r>
        <w:rPr>
          <w:rFonts w:hint="default" w:ascii="Times New Roman" w:hAnsi="Times New Roman" w:cs="Times New Roman"/>
          <w:color w:val="auto"/>
        </w:rPr>
        <w:t>针对本项目废水水质情况，本项目废水经相应污染防治措施处理后可得到综合利用，不外排。因此，本项目地表水环境质量预测评价为三级B评价。</w:t>
      </w:r>
      <w:r>
        <w:rPr>
          <w:rFonts w:hint="default" w:ascii="Times New Roman" w:hAnsi="Times New Roman" w:cs="Times New Roman"/>
          <w:bCs/>
          <w:color w:val="auto"/>
        </w:rPr>
        <w:t>根据《环境影响评价技术导则--地表水环境》（HJ 2.3—2018），三级</w:t>
      </w:r>
      <w:r>
        <w:rPr>
          <w:rFonts w:hint="default" w:ascii="Times New Roman" w:hAnsi="Times New Roman" w:cs="Times New Roman"/>
          <w:color w:val="auto"/>
        </w:rPr>
        <w:t>B</w:t>
      </w:r>
      <w:r>
        <w:rPr>
          <w:rFonts w:hint="default" w:ascii="Times New Roman" w:hAnsi="Times New Roman" w:cs="Times New Roman"/>
          <w:bCs/>
          <w:color w:val="auto"/>
        </w:rPr>
        <w:t xml:space="preserve">评价项目可不进行水环境影响预测，因此仅进行上述简单分析。本项目产生的沼液作为肥料喷施与项目周围的农田，故本次评价对沼液消纳进行分析。 </w:t>
      </w:r>
    </w:p>
    <w:p>
      <w:pPr>
        <w:ind w:firstLine="480"/>
        <w:rPr>
          <w:rFonts w:hint="default" w:ascii="Times New Roman" w:hAnsi="Times New Roman" w:cs="Times New Roman"/>
          <w:color w:val="auto"/>
        </w:rPr>
      </w:pPr>
      <w:r>
        <w:rPr>
          <w:rFonts w:hint="default" w:ascii="Times New Roman" w:hAnsi="Times New Roman" w:cs="Times New Roman"/>
          <w:color w:val="auto"/>
        </w:rPr>
        <w:t>沼液利用可行性分析：</w:t>
      </w:r>
    </w:p>
    <w:p>
      <w:pPr>
        <w:ind w:firstLine="480"/>
        <w:rPr>
          <w:rFonts w:hint="default" w:ascii="Times New Roman" w:hAnsi="Times New Roman" w:cs="Times New Roman"/>
          <w:color w:val="auto"/>
        </w:rPr>
      </w:pPr>
      <w:r>
        <w:rPr>
          <w:rFonts w:hint="default" w:ascii="Times New Roman" w:hAnsi="Times New Roman" w:cs="Times New Roman"/>
          <w:color w:val="auto"/>
        </w:rPr>
        <w:t xml:space="preserve">（1）农田消纳可行性分析 </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根据农业部办公厅印发的《畜禽粪污土地承载力测算技术指南》（农办牧【2018】1号）中的核算方法，核算本项目沼液需要的消纳面积。主要核算方法如下：</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粪肥养分供给量=∑（各种畜禽存栏量×各种畜禽氮排泄量）×养分留存率本项目取值：存栏量0.75万头，氮排泄量7.0kg，养分留存率取65%，经计算得粪肥养分供给量为34.1t。本项目仅沼液进行农田施肥，分离出来的粪便等发酵后外售，故仅需要核算沼液的养分供给，沼液的养分供给取总养分供给量的50%，为17.1t。</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单位土地粪肥养分需求量=（单位土地养分需求量×施肥供给养分占比×粪肥占施肥比例）/粪肥当季利用率</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本项目取值：项目所处为华北平原农业区，常年以小麦—玉米轮作为主，根据农业部办公厅文件农办农【2013】45 号——农业部办公厅关于印发《小麦、玉米、水稻三大粮食作物区域大配方与施肥建议（2013）》的通知，对于长江下游单季稻区（本项目距该区最近，参照执行），产量水平在500kg/亩；对于河南省中北部夏玉米区产量水平为450~550kg/亩，本项目取500kg/亩。经查《畜禽粪污土地承载力测算技术指南》附表1，小麦100kg产量需要吸收氮量为3.0kg，玉米为2.3kg。农田一亩需要吸收的氮量为26.5kg。</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施肥供给养分占比为取值45%，粪肥占施肥比例为1，粪肥当季利用率取值为30%。经计算单位土地粪肥养分需求量为39.75kg。养殖场共产生17.1t供给氮养分，需要430亩农田消纳。</w:t>
      </w:r>
    </w:p>
    <w:p>
      <w:pPr>
        <w:ind w:firstLine="480"/>
        <w:rPr>
          <w:rFonts w:hint="default" w:ascii="Times New Roman" w:hAnsi="Times New Roman" w:cs="Times New Roman"/>
          <w:color w:val="auto"/>
        </w:rPr>
      </w:pPr>
      <w:r>
        <w:rPr>
          <w:rFonts w:hint="default" w:ascii="Times New Roman" w:hAnsi="Times New Roman" w:cs="Times New Roman"/>
          <w:b/>
          <w:bCs/>
          <w:color w:val="auto"/>
          <w:u w:val="single"/>
        </w:rPr>
        <w:t>牧原公司采用配套农田模式来推进沼液消纳。公司与周围村庄签订协议，利用附近村庄农田共500亩农田，消纳项目产生的沼液。项目产生的沼液可全部被消纳。</w:t>
      </w:r>
    </w:p>
    <w:p>
      <w:pPr>
        <w:numPr>
          <w:ilvl w:val="0"/>
          <w:numId w:val="8"/>
        </w:numPr>
        <w:ind w:firstLine="480"/>
        <w:rPr>
          <w:rFonts w:hint="default" w:ascii="Times New Roman" w:hAnsi="Times New Roman" w:cs="Times New Roman"/>
          <w:color w:val="auto"/>
        </w:rPr>
      </w:pPr>
      <w:r>
        <w:rPr>
          <w:rFonts w:hint="default" w:ascii="Times New Roman" w:hAnsi="Times New Roman" w:cs="Times New Roman"/>
          <w:color w:val="auto"/>
        </w:rPr>
        <w:t xml:space="preserve">沼液输送可行性分析 </w:t>
      </w:r>
    </w:p>
    <w:p>
      <w:pPr>
        <w:ind w:firstLine="480"/>
        <w:rPr>
          <w:rFonts w:hint="default" w:ascii="Times New Roman" w:hAnsi="Times New Roman" w:cs="Times New Roman"/>
          <w:color w:val="auto"/>
        </w:rPr>
      </w:pPr>
      <w:r>
        <w:rPr>
          <w:rFonts w:hint="default" w:ascii="Times New Roman" w:hAnsi="Times New Roman" w:cs="Times New Roman"/>
          <w:color w:val="auto"/>
        </w:rPr>
        <w:t>为了沼能够顺利进入农田，养殖场由场区</w:t>
      </w:r>
      <w:r>
        <w:rPr>
          <w:rFonts w:hint="default" w:ascii="Times New Roman" w:hAnsi="Times New Roman" w:cs="Times New Roman"/>
          <w:color w:val="auto"/>
          <w:lang w:eastAsia="zh-CN"/>
        </w:rPr>
        <w:t>沼液存储池</w:t>
      </w:r>
      <w:r>
        <w:rPr>
          <w:rFonts w:hint="default" w:ascii="Times New Roman" w:hAnsi="Times New Roman" w:cs="Times New Roman"/>
          <w:color w:val="auto"/>
        </w:rPr>
        <w:t>引出主管线，并分开为支管将沼液配送的农田中，根据消纳面积500亩。由场区</w:t>
      </w:r>
      <w:r>
        <w:rPr>
          <w:rFonts w:hint="default" w:ascii="Times New Roman" w:hAnsi="Times New Roman" w:cs="Times New Roman"/>
          <w:color w:val="auto"/>
          <w:lang w:eastAsia="zh-CN"/>
        </w:rPr>
        <w:t>沼液存储池</w:t>
      </w:r>
      <w:r>
        <w:rPr>
          <w:rFonts w:hint="default" w:ascii="Times New Roman" w:hAnsi="Times New Roman" w:cs="Times New Roman"/>
          <w:color w:val="auto"/>
        </w:rPr>
        <w:t>引至施肥农田配套管道主干管长度为1275m，支管长度为430m，主干管直径为160mm，支管直径分别为110mm和75mm。支管上设有阀门及施肥口，每两个施肥口间隔50-80m。农肥利用季节农民根据自身需要由牧原公司人员配合开启阀门进行合理施用。项目沼液输送方式可行。</w:t>
      </w:r>
    </w:p>
    <w:p>
      <w:pPr>
        <w:pStyle w:val="49"/>
        <w:ind w:left="-2" w:right="-105" w:firstLine="542" w:firstLineChars="225"/>
        <w:jc w:val="center"/>
        <w:rPr>
          <w:rFonts w:hint="default" w:ascii="Times New Roman" w:hAnsi="Times New Roman" w:cs="Times New Roman"/>
          <w:b/>
          <w:bCs/>
          <w:color w:val="auto"/>
        </w:rPr>
      </w:pPr>
      <w:r>
        <w:rPr>
          <w:rFonts w:hint="default" w:ascii="Times New Roman" w:hAnsi="Times New Roman" w:cs="Times New Roman"/>
          <w:b/>
          <w:bCs/>
          <w:color w:val="auto"/>
        </w:rPr>
        <w:t>表5.2-</w:t>
      </w:r>
      <w:r>
        <w:rPr>
          <w:rFonts w:hint="eastAsia" w:ascii="Times New Roman" w:hAnsi="Times New Roman" w:cs="Times New Roman"/>
          <w:b/>
          <w:bCs/>
          <w:color w:val="auto"/>
          <w:lang w:val="en-US" w:eastAsia="zh-CN"/>
        </w:rPr>
        <w:t>24</w:t>
      </w:r>
      <w:r>
        <w:rPr>
          <w:rFonts w:hint="default" w:ascii="Times New Roman" w:hAnsi="Times New Roman" w:cs="Times New Roman"/>
          <w:b/>
          <w:bCs/>
          <w:color w:val="auto"/>
        </w:rPr>
        <w:t xml:space="preserve">  建设项目废水污染物排放信信息表</w:t>
      </w:r>
    </w:p>
    <w:tbl>
      <w:tblPr>
        <w:tblStyle w:val="26"/>
        <w:tblW w:w="928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3"/>
        <w:gridCol w:w="706"/>
        <w:gridCol w:w="663"/>
        <w:gridCol w:w="763"/>
        <w:gridCol w:w="713"/>
        <w:gridCol w:w="813"/>
        <w:gridCol w:w="938"/>
        <w:gridCol w:w="1014"/>
        <w:gridCol w:w="713"/>
        <w:gridCol w:w="851"/>
        <w:gridCol w:w="165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6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70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废水类比</w:t>
            </w:r>
          </w:p>
        </w:tc>
        <w:tc>
          <w:tcPr>
            <w:tcW w:w="66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污染物类别</w:t>
            </w:r>
          </w:p>
        </w:tc>
        <w:tc>
          <w:tcPr>
            <w:tcW w:w="76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排放去向</w:t>
            </w:r>
          </w:p>
        </w:tc>
        <w:tc>
          <w:tcPr>
            <w:tcW w:w="71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排放规律</w:t>
            </w:r>
          </w:p>
        </w:tc>
        <w:tc>
          <w:tcPr>
            <w:tcW w:w="2765"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污染治理设施</w:t>
            </w:r>
          </w:p>
        </w:tc>
        <w:tc>
          <w:tcPr>
            <w:tcW w:w="713"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排放口编号</w:t>
            </w:r>
          </w:p>
        </w:tc>
        <w:tc>
          <w:tcPr>
            <w:tcW w:w="851"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排放口设置是否符合要求</w:t>
            </w:r>
          </w:p>
        </w:tc>
        <w:tc>
          <w:tcPr>
            <w:tcW w:w="1651"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排放类型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46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70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66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76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71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813"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污染物治理编号</w:t>
            </w:r>
          </w:p>
        </w:tc>
        <w:tc>
          <w:tcPr>
            <w:tcW w:w="938"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污染物治理设施名称</w:t>
            </w:r>
          </w:p>
        </w:tc>
        <w:tc>
          <w:tcPr>
            <w:tcW w:w="1014"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污染物治理设施工艺</w:t>
            </w:r>
          </w:p>
        </w:tc>
        <w:tc>
          <w:tcPr>
            <w:tcW w:w="713"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85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165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4" w:hRule="atLeast"/>
        </w:trPr>
        <w:tc>
          <w:tcPr>
            <w:tcW w:w="46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70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生活污水</w:t>
            </w:r>
          </w:p>
        </w:tc>
        <w:tc>
          <w:tcPr>
            <w:tcW w:w="66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生活</w:t>
            </w:r>
          </w:p>
        </w:tc>
        <w:tc>
          <w:tcPr>
            <w:tcW w:w="76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不外排</w:t>
            </w:r>
          </w:p>
        </w:tc>
        <w:tc>
          <w:tcPr>
            <w:tcW w:w="7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8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93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黑膜沼气池</w:t>
            </w:r>
          </w:p>
        </w:tc>
        <w:tc>
          <w:tcPr>
            <w:tcW w:w="10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厌氧发酵</w:t>
            </w:r>
          </w:p>
        </w:tc>
        <w:tc>
          <w:tcPr>
            <w:tcW w:w="7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85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65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企业总排</w:t>
            </w:r>
          </w:p>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雨水排放</w:t>
            </w:r>
          </w:p>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清洁下水排放</w:t>
            </w:r>
          </w:p>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温排水排放</w:t>
            </w:r>
          </w:p>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车间或车间处理设施排放口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70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生产废水</w:t>
            </w:r>
          </w:p>
        </w:tc>
        <w:tc>
          <w:tcPr>
            <w:tcW w:w="66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生产</w:t>
            </w:r>
          </w:p>
        </w:tc>
        <w:tc>
          <w:tcPr>
            <w:tcW w:w="76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不外排</w:t>
            </w:r>
          </w:p>
        </w:tc>
        <w:tc>
          <w:tcPr>
            <w:tcW w:w="7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8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938"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黑膜沼气池</w:t>
            </w:r>
          </w:p>
        </w:tc>
        <w:tc>
          <w:tcPr>
            <w:tcW w:w="101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厌氧发酵</w:t>
            </w:r>
          </w:p>
        </w:tc>
        <w:tc>
          <w:tcPr>
            <w:tcW w:w="71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85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65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企业总排</w:t>
            </w:r>
          </w:p>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雨水排放</w:t>
            </w:r>
          </w:p>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清洁下水排放</w:t>
            </w:r>
          </w:p>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温排水排放</w:t>
            </w:r>
          </w:p>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车间或车间处理设施排放口</w:t>
            </w:r>
          </w:p>
        </w:tc>
      </w:tr>
    </w:tbl>
    <w:p>
      <w:pPr>
        <w:pStyle w:val="49"/>
        <w:ind w:left="-2" w:right="-105" w:firstLine="542" w:firstLineChars="225"/>
        <w:jc w:val="center"/>
        <w:rPr>
          <w:rFonts w:hint="default" w:ascii="Times New Roman" w:hAnsi="Times New Roman" w:cs="Times New Roman"/>
          <w:color w:val="auto"/>
          <w:sz w:val="32"/>
          <w:szCs w:val="32"/>
        </w:rPr>
      </w:pPr>
      <w:r>
        <w:rPr>
          <w:rFonts w:hint="default" w:ascii="Times New Roman" w:hAnsi="Times New Roman" w:cs="Times New Roman"/>
          <w:b/>
          <w:bCs/>
          <w:color w:val="auto"/>
        </w:rPr>
        <w:t>表5.2-</w:t>
      </w:r>
      <w:r>
        <w:rPr>
          <w:rFonts w:hint="eastAsia" w:ascii="Times New Roman" w:hAnsi="Times New Roman" w:cs="Times New Roman"/>
          <w:b/>
          <w:bCs/>
          <w:color w:val="auto"/>
          <w:lang w:val="en-US" w:eastAsia="zh-CN"/>
        </w:rPr>
        <w:t>25</w:t>
      </w:r>
      <w:r>
        <w:rPr>
          <w:rFonts w:hint="default" w:ascii="Times New Roman" w:hAnsi="Times New Roman" w:cs="Times New Roman"/>
          <w:b/>
          <w:bCs/>
          <w:color w:val="auto"/>
        </w:rPr>
        <w:t xml:space="preserve">  地表水环境影响评价自查表</w:t>
      </w:r>
    </w:p>
    <w:tbl>
      <w:tblPr>
        <w:tblStyle w:val="26"/>
        <w:tblW w:w="928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9"/>
        <w:gridCol w:w="60"/>
        <w:gridCol w:w="1051"/>
        <w:gridCol w:w="2005"/>
        <w:gridCol w:w="1857"/>
        <w:gridCol w:w="1485"/>
        <w:gridCol w:w="1106"/>
        <w:gridCol w:w="112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10"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工作内容</w:t>
            </w:r>
          </w:p>
        </w:tc>
        <w:tc>
          <w:tcPr>
            <w:tcW w:w="7578" w:type="dxa"/>
            <w:gridSpan w:val="5"/>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自查项目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环环境识别</w:t>
            </w:r>
          </w:p>
        </w:tc>
        <w:tc>
          <w:tcPr>
            <w:tcW w:w="1111"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环境类型</w:t>
            </w:r>
          </w:p>
        </w:tc>
        <w:tc>
          <w:tcPr>
            <w:tcW w:w="7578" w:type="dxa"/>
            <w:gridSpan w:val="5"/>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水污染影响型</w:t>
            </w:r>
            <w:r>
              <w:rPr>
                <w:rFonts w:hint="default" w:ascii="Times New Roman" w:hAnsi="Times New Roman" w:cs="Times New Roman"/>
                <w:color w:val="auto"/>
                <w:sz w:val="18"/>
                <w:szCs w:val="18"/>
              </w:rPr>
              <w:sym w:font="Wingdings" w:char="00FE"/>
            </w:r>
            <w:r>
              <w:rPr>
                <w:rFonts w:hint="default" w:ascii="Times New Roman" w:hAnsi="Times New Roman" w:cs="Times New Roman"/>
                <w:color w:val="auto"/>
                <w:sz w:val="18"/>
                <w:szCs w:val="18"/>
              </w:rPr>
              <w:t xml:space="preserve">  水文要素影响型</w:t>
            </w:r>
            <w:r>
              <w:rPr>
                <w:rFonts w:hint="default" w:ascii="Times New Roman" w:hAnsi="Times New Roman" w:cs="Times New Roman"/>
                <w:color w:val="auto"/>
                <w:sz w:val="18"/>
                <w:szCs w:val="18"/>
              </w:rPr>
              <w:sym w:font="Wingdings" w:char="00A8"/>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1111"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水环境保护目标</w:t>
            </w:r>
          </w:p>
        </w:tc>
        <w:tc>
          <w:tcPr>
            <w:tcW w:w="7578" w:type="dxa"/>
            <w:gridSpan w:val="5"/>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饮用水域保护区</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；饮用水取水</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；涉水的自然保护区</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；重要湿地</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；重要保护与珍稀水生生物的栖息地</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；重要水生生物的自然产卵场及索饵场、越冬场洄游通道、天然渔场等渔业水体</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；涉水的风景名胜区</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；其他</w:t>
            </w:r>
            <w:r>
              <w:rPr>
                <w:rFonts w:hint="default" w:ascii="Times New Roman" w:hAnsi="Times New Roman" w:cs="Times New Roman"/>
                <w:color w:val="auto"/>
                <w:sz w:val="18"/>
                <w:szCs w:val="18"/>
              </w:rPr>
              <w:sym w:font="Wingdings" w:char="00FE"/>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1111" w:type="dxa"/>
            <w:gridSpan w:val="2"/>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影响途径</w:t>
            </w:r>
          </w:p>
        </w:tc>
        <w:tc>
          <w:tcPr>
            <w:tcW w:w="3862"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水污染影响型</w:t>
            </w:r>
          </w:p>
        </w:tc>
        <w:tc>
          <w:tcPr>
            <w:tcW w:w="3716"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水文要素影响型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1111"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3862"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直接排放</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；间接排放</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；其他</w:t>
            </w:r>
            <w:r>
              <w:rPr>
                <w:rFonts w:hint="default" w:ascii="Times New Roman" w:hAnsi="Times New Roman" w:cs="Times New Roman"/>
                <w:color w:val="auto"/>
                <w:sz w:val="18"/>
                <w:szCs w:val="18"/>
              </w:rPr>
              <w:sym w:font="Wingdings" w:char="00FE"/>
            </w:r>
          </w:p>
        </w:tc>
        <w:tc>
          <w:tcPr>
            <w:tcW w:w="3716"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水文</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；径流</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；水域面积</w:t>
            </w:r>
            <w:r>
              <w:rPr>
                <w:rFonts w:hint="default" w:ascii="Times New Roman" w:hAnsi="Times New Roman" w:cs="Times New Roman"/>
                <w:color w:val="auto"/>
                <w:sz w:val="18"/>
                <w:szCs w:val="18"/>
              </w:rPr>
              <w:sym w:font="Wingdings" w:char="00A8"/>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9"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1111"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影响因子</w:t>
            </w:r>
          </w:p>
        </w:tc>
        <w:tc>
          <w:tcPr>
            <w:tcW w:w="3862"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持久性污染源</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；有毒有害污染源</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；非持久性污染源</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；PH值</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；热污染</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；富营养化</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；其他</w:t>
            </w:r>
            <w:r>
              <w:rPr>
                <w:rFonts w:hint="default" w:ascii="Times New Roman" w:hAnsi="Times New Roman" w:cs="Times New Roman"/>
                <w:color w:val="auto"/>
                <w:sz w:val="18"/>
                <w:szCs w:val="18"/>
              </w:rPr>
              <w:sym w:font="Wingdings" w:char="00A8"/>
            </w:r>
          </w:p>
        </w:tc>
        <w:tc>
          <w:tcPr>
            <w:tcW w:w="3716"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水温</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；水位（水深）</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；流速</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；流量</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；其他</w:t>
            </w:r>
            <w:r>
              <w:rPr>
                <w:rFonts w:hint="default" w:ascii="Times New Roman" w:hAnsi="Times New Roman" w:cs="Times New Roman"/>
                <w:color w:val="auto"/>
                <w:sz w:val="18"/>
                <w:szCs w:val="18"/>
              </w:rPr>
              <w:sym w:font="Wingdings" w:char="00A8"/>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10" w:type="dxa"/>
            <w:gridSpan w:val="3"/>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评价等级</w:t>
            </w:r>
          </w:p>
        </w:tc>
        <w:tc>
          <w:tcPr>
            <w:tcW w:w="3862"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水污染影响型</w:t>
            </w:r>
          </w:p>
        </w:tc>
        <w:tc>
          <w:tcPr>
            <w:tcW w:w="3716"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水文要素影响型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10" w:type="dxa"/>
            <w:gridSpan w:val="3"/>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3862"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一级</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；二级</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；三级A</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；三级B</w:t>
            </w:r>
            <w:r>
              <w:rPr>
                <w:rFonts w:hint="default" w:ascii="Times New Roman" w:hAnsi="Times New Roman" w:cs="Times New Roman"/>
                <w:color w:val="auto"/>
                <w:sz w:val="18"/>
                <w:szCs w:val="18"/>
              </w:rPr>
              <w:sym w:font="Wingdings" w:char="00FE"/>
            </w:r>
            <w:r>
              <w:rPr>
                <w:rFonts w:hint="default" w:ascii="Times New Roman" w:hAnsi="Times New Roman" w:cs="Times New Roman"/>
                <w:color w:val="auto"/>
                <w:sz w:val="18"/>
                <w:szCs w:val="18"/>
              </w:rPr>
              <w:t>；</w:t>
            </w:r>
          </w:p>
        </w:tc>
        <w:tc>
          <w:tcPr>
            <w:tcW w:w="3716"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一级</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；二级</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；三级</w:t>
            </w:r>
            <w:r>
              <w:rPr>
                <w:rFonts w:hint="default" w:ascii="Times New Roman" w:hAnsi="Times New Roman" w:cs="Times New Roman"/>
                <w:color w:val="auto"/>
                <w:sz w:val="18"/>
                <w:szCs w:val="18"/>
              </w:rPr>
              <w:sym w:font="Wingdings" w:char="00A8"/>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现状调查</w:t>
            </w:r>
          </w:p>
        </w:tc>
        <w:tc>
          <w:tcPr>
            <w:tcW w:w="1051"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区域污染源</w:t>
            </w:r>
          </w:p>
        </w:tc>
        <w:tc>
          <w:tcPr>
            <w:tcW w:w="3862"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调查项目</w:t>
            </w:r>
          </w:p>
        </w:tc>
        <w:tc>
          <w:tcPr>
            <w:tcW w:w="3716"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数据来源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105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200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已建</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；在建</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；拟建</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；其他</w:t>
            </w:r>
            <w:r>
              <w:rPr>
                <w:rFonts w:hint="default" w:ascii="Times New Roman" w:hAnsi="Times New Roman" w:cs="Times New Roman"/>
                <w:color w:val="auto"/>
                <w:sz w:val="18"/>
                <w:szCs w:val="18"/>
              </w:rPr>
              <w:sym w:font="Wingdings" w:char="00A8"/>
            </w:r>
          </w:p>
        </w:tc>
        <w:tc>
          <w:tcPr>
            <w:tcW w:w="185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拟替代污染源</w:t>
            </w:r>
            <w:r>
              <w:rPr>
                <w:rFonts w:hint="default" w:ascii="Times New Roman" w:hAnsi="Times New Roman" w:cs="Times New Roman"/>
                <w:color w:val="auto"/>
                <w:sz w:val="18"/>
                <w:szCs w:val="18"/>
              </w:rPr>
              <w:sym w:font="Wingdings" w:char="00A8"/>
            </w:r>
          </w:p>
        </w:tc>
        <w:tc>
          <w:tcPr>
            <w:tcW w:w="3716"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；环评</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；环保验收</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；既有实测</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；现场检测</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；入河排放口数据</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；其他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1051"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受环境水体水环境质量</w:t>
            </w:r>
          </w:p>
        </w:tc>
        <w:tc>
          <w:tcPr>
            <w:tcW w:w="3862"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调查时期</w:t>
            </w:r>
          </w:p>
        </w:tc>
        <w:tc>
          <w:tcPr>
            <w:tcW w:w="3716"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数据来源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105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3862"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丰水期</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；平水期</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；枯水期</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；冰封期</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；春季</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；夏季</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；秋季</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；冬季</w:t>
            </w:r>
            <w:r>
              <w:rPr>
                <w:rFonts w:hint="default" w:ascii="Times New Roman" w:hAnsi="Times New Roman" w:cs="Times New Roman"/>
                <w:color w:val="auto"/>
                <w:sz w:val="18"/>
                <w:szCs w:val="18"/>
              </w:rPr>
              <w:sym w:font="Wingdings" w:char="00A8"/>
            </w:r>
          </w:p>
        </w:tc>
        <w:tc>
          <w:tcPr>
            <w:tcW w:w="3716"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生态环境保护主管部门</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；补充监测</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；其他</w:t>
            </w:r>
            <w:r>
              <w:rPr>
                <w:rFonts w:hint="default" w:ascii="Times New Roman" w:hAnsi="Times New Roman" w:cs="Times New Roman"/>
                <w:color w:val="auto"/>
                <w:sz w:val="18"/>
                <w:szCs w:val="18"/>
              </w:rPr>
              <w:sym w:font="Wingdings" w:char="00A8"/>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105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区域水资源开发利用状况</w:t>
            </w:r>
          </w:p>
        </w:tc>
        <w:tc>
          <w:tcPr>
            <w:tcW w:w="7578" w:type="dxa"/>
            <w:gridSpan w:val="5"/>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未开发</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；开发量40%以下</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；开发量40%以上</w:t>
            </w:r>
            <w:r>
              <w:rPr>
                <w:rFonts w:hint="default" w:ascii="Times New Roman" w:hAnsi="Times New Roman" w:cs="Times New Roman"/>
                <w:color w:val="auto"/>
                <w:sz w:val="18"/>
                <w:szCs w:val="18"/>
              </w:rPr>
              <w:sym w:font="Wingdings" w:char="00A8"/>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1051"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水文情势调查</w:t>
            </w:r>
          </w:p>
        </w:tc>
        <w:tc>
          <w:tcPr>
            <w:tcW w:w="3862"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调查时期</w:t>
            </w:r>
          </w:p>
        </w:tc>
        <w:tc>
          <w:tcPr>
            <w:tcW w:w="3716"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数据来源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105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3862"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丰水期</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；平水期</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；枯水期</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；冰封期</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；春季</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；夏季</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；秋季</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；冬季</w:t>
            </w:r>
            <w:r>
              <w:rPr>
                <w:rFonts w:hint="default" w:ascii="Times New Roman" w:hAnsi="Times New Roman" w:cs="Times New Roman"/>
                <w:color w:val="auto"/>
                <w:sz w:val="18"/>
                <w:szCs w:val="18"/>
              </w:rPr>
              <w:sym w:font="Wingdings" w:char="00A8"/>
            </w:r>
          </w:p>
        </w:tc>
        <w:tc>
          <w:tcPr>
            <w:tcW w:w="3716"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生态环境保护主管部门</w:t>
            </w:r>
            <w:r>
              <w:rPr>
                <w:rFonts w:hint="default" w:ascii="Times New Roman" w:hAnsi="Times New Roman" w:cs="Times New Roman"/>
                <w:color w:val="auto"/>
                <w:sz w:val="18"/>
                <w:szCs w:val="18"/>
              </w:rPr>
              <w:sym w:font="Wingdings" w:char="00FE"/>
            </w:r>
            <w:r>
              <w:rPr>
                <w:rFonts w:hint="default" w:ascii="Times New Roman" w:hAnsi="Times New Roman" w:cs="Times New Roman"/>
                <w:color w:val="auto"/>
                <w:sz w:val="18"/>
                <w:szCs w:val="18"/>
              </w:rPr>
              <w:t>；补充监测</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；其他</w:t>
            </w:r>
            <w:r>
              <w:rPr>
                <w:rFonts w:hint="default" w:ascii="Times New Roman" w:hAnsi="Times New Roman" w:cs="Times New Roman"/>
                <w:color w:val="auto"/>
                <w:sz w:val="18"/>
                <w:szCs w:val="18"/>
              </w:rPr>
              <w:sym w:font="Wingdings" w:char="00A8"/>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659"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1051"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补充监测</w:t>
            </w:r>
          </w:p>
        </w:tc>
        <w:tc>
          <w:tcPr>
            <w:tcW w:w="3862"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监测时期</w:t>
            </w:r>
          </w:p>
        </w:tc>
        <w:tc>
          <w:tcPr>
            <w:tcW w:w="2591"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监测因子</w:t>
            </w:r>
          </w:p>
        </w:tc>
        <w:tc>
          <w:tcPr>
            <w:tcW w:w="112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监测断面或点数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59"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105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3862"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丰水期</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；平水期</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；枯水期</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；冰封期</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；春季</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；夏季</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；秋季</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；冬季</w:t>
            </w:r>
            <w:r>
              <w:rPr>
                <w:rFonts w:hint="default" w:ascii="Times New Roman" w:hAnsi="Times New Roman" w:cs="Times New Roman"/>
                <w:color w:val="auto"/>
                <w:sz w:val="18"/>
                <w:szCs w:val="18"/>
              </w:rPr>
              <w:sym w:font="Wingdings" w:char="00A8"/>
            </w:r>
          </w:p>
        </w:tc>
        <w:tc>
          <w:tcPr>
            <w:tcW w:w="2591"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12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现状评价</w:t>
            </w:r>
          </w:p>
        </w:tc>
        <w:tc>
          <w:tcPr>
            <w:tcW w:w="105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评价范围</w:t>
            </w:r>
          </w:p>
        </w:tc>
        <w:tc>
          <w:tcPr>
            <w:tcW w:w="7578" w:type="dxa"/>
            <w:gridSpan w:val="5"/>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105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评价因子</w:t>
            </w:r>
          </w:p>
        </w:tc>
        <w:tc>
          <w:tcPr>
            <w:tcW w:w="7578" w:type="dxa"/>
            <w:gridSpan w:val="5"/>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105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评价标准</w:t>
            </w:r>
          </w:p>
        </w:tc>
        <w:tc>
          <w:tcPr>
            <w:tcW w:w="7578" w:type="dxa"/>
            <w:gridSpan w:val="5"/>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河流、湖库、河口：I类</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；II</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；III</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；IV</w:t>
            </w:r>
            <w:r>
              <w:rPr>
                <w:rFonts w:hint="default" w:ascii="Times New Roman" w:hAnsi="Times New Roman" w:cs="Times New Roman"/>
                <w:color w:val="auto"/>
                <w:sz w:val="18"/>
                <w:szCs w:val="18"/>
              </w:rPr>
              <w:sym w:font="Wingdings" w:char="00FE"/>
            </w:r>
            <w:r>
              <w:rPr>
                <w:rFonts w:hint="default" w:ascii="Times New Roman" w:hAnsi="Times New Roman" w:cs="Times New Roman"/>
                <w:color w:val="auto"/>
                <w:sz w:val="18"/>
                <w:szCs w:val="18"/>
              </w:rPr>
              <w:t>；V</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105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评价时期</w:t>
            </w:r>
          </w:p>
        </w:tc>
        <w:tc>
          <w:tcPr>
            <w:tcW w:w="7578" w:type="dxa"/>
            <w:gridSpan w:val="5"/>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丰水期</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；平水期</w:t>
            </w:r>
            <w:r>
              <w:rPr>
                <w:rFonts w:hint="default" w:ascii="Times New Roman" w:hAnsi="Times New Roman" w:cs="Times New Roman"/>
                <w:color w:val="auto"/>
                <w:sz w:val="18"/>
                <w:szCs w:val="18"/>
              </w:rPr>
              <w:sym w:font="Wingdings" w:char="00FE"/>
            </w:r>
            <w:r>
              <w:rPr>
                <w:rFonts w:hint="default" w:ascii="Times New Roman" w:hAnsi="Times New Roman" w:cs="Times New Roman"/>
                <w:color w:val="auto"/>
                <w:sz w:val="18"/>
                <w:szCs w:val="18"/>
              </w:rPr>
              <w:t>；枯水期</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；冰封期</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；春季</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；夏季</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；秋季</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；冬季</w:t>
            </w:r>
            <w:r>
              <w:rPr>
                <w:rFonts w:hint="default" w:ascii="Times New Roman" w:hAnsi="Times New Roman" w:cs="Times New Roman"/>
                <w:color w:val="auto"/>
                <w:sz w:val="18"/>
                <w:szCs w:val="18"/>
              </w:rPr>
              <w:sym w:font="Wingdings" w:char="00A8"/>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105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评价结论</w:t>
            </w:r>
          </w:p>
        </w:tc>
        <w:tc>
          <w:tcPr>
            <w:tcW w:w="6453" w:type="dxa"/>
            <w:gridSpan w:val="4"/>
            <w:tcBorders>
              <w:tl2br w:val="nil"/>
              <w:tr2bl w:val="nil"/>
            </w:tcBorders>
            <w:vAlign w:val="center"/>
          </w:tcPr>
          <w:p>
            <w:pPr>
              <w:spacing w:line="240" w:lineRule="auto"/>
              <w:ind w:firstLine="0" w:firstLineChars="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水环境功能区、近岸海域环境功能区水质达标状况丰水期</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；达标</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、不达标</w:t>
            </w:r>
            <w:r>
              <w:rPr>
                <w:rFonts w:hint="default" w:ascii="Times New Roman" w:hAnsi="Times New Roman" w:cs="Times New Roman"/>
                <w:color w:val="auto"/>
                <w:sz w:val="18"/>
                <w:szCs w:val="18"/>
              </w:rPr>
              <w:sym w:font="Wingdings" w:char="00A8"/>
            </w:r>
          </w:p>
          <w:p>
            <w:pPr>
              <w:spacing w:line="240" w:lineRule="auto"/>
              <w:ind w:firstLine="0" w:firstLineChars="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水环境控制单元或断面水质达标状况</w:t>
            </w:r>
            <w:r>
              <w:rPr>
                <w:rFonts w:hint="default" w:ascii="Times New Roman" w:hAnsi="Times New Roman" w:cs="Times New Roman"/>
                <w:color w:val="auto"/>
                <w:sz w:val="18"/>
                <w:szCs w:val="18"/>
              </w:rPr>
              <w:sym w:font="Wingdings" w:char="00FE"/>
            </w:r>
            <w:r>
              <w:rPr>
                <w:rFonts w:hint="default" w:ascii="Times New Roman" w:hAnsi="Times New Roman" w:cs="Times New Roman"/>
                <w:color w:val="auto"/>
                <w:sz w:val="18"/>
                <w:szCs w:val="18"/>
              </w:rPr>
              <w:t>；达标</w:t>
            </w:r>
            <w:r>
              <w:rPr>
                <w:rFonts w:hint="default" w:ascii="Times New Roman" w:hAnsi="Times New Roman" w:cs="Times New Roman"/>
                <w:color w:val="auto"/>
                <w:sz w:val="18"/>
                <w:szCs w:val="18"/>
              </w:rPr>
              <w:sym w:font="Wingdings" w:char="00FE"/>
            </w:r>
            <w:r>
              <w:rPr>
                <w:rFonts w:hint="default" w:ascii="Times New Roman" w:hAnsi="Times New Roman" w:cs="Times New Roman"/>
                <w:color w:val="auto"/>
                <w:sz w:val="18"/>
                <w:szCs w:val="18"/>
              </w:rPr>
              <w:t>、不达标</w:t>
            </w:r>
            <w:r>
              <w:rPr>
                <w:rFonts w:hint="default" w:ascii="Times New Roman" w:hAnsi="Times New Roman" w:cs="Times New Roman"/>
                <w:color w:val="auto"/>
                <w:sz w:val="18"/>
                <w:szCs w:val="18"/>
              </w:rPr>
              <w:sym w:font="Wingdings" w:char="00A8"/>
            </w:r>
          </w:p>
          <w:p>
            <w:pPr>
              <w:spacing w:line="240" w:lineRule="auto"/>
              <w:ind w:firstLine="0" w:firstLineChars="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水环境保护目标质量状况</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；达标</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、不达标</w:t>
            </w:r>
            <w:r>
              <w:rPr>
                <w:rFonts w:hint="default" w:ascii="Times New Roman" w:hAnsi="Times New Roman" w:cs="Times New Roman"/>
                <w:color w:val="auto"/>
                <w:sz w:val="18"/>
                <w:szCs w:val="18"/>
              </w:rPr>
              <w:sym w:font="Wingdings" w:char="00A8"/>
            </w:r>
          </w:p>
          <w:p>
            <w:pPr>
              <w:spacing w:line="240" w:lineRule="auto"/>
              <w:ind w:firstLine="0" w:firstLineChars="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对照断面、控制断面等代表性断面的水质状况</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；达标</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、不达标</w:t>
            </w:r>
            <w:r>
              <w:rPr>
                <w:rFonts w:hint="default" w:ascii="Times New Roman" w:hAnsi="Times New Roman" w:cs="Times New Roman"/>
                <w:color w:val="auto"/>
                <w:sz w:val="18"/>
                <w:szCs w:val="18"/>
              </w:rPr>
              <w:sym w:font="Wingdings" w:char="00A8"/>
            </w:r>
          </w:p>
          <w:p>
            <w:pPr>
              <w:spacing w:line="240" w:lineRule="auto"/>
              <w:ind w:firstLine="0" w:firstLineChars="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底泥污染评价</w:t>
            </w:r>
            <w:r>
              <w:rPr>
                <w:rFonts w:hint="default" w:ascii="Times New Roman" w:hAnsi="Times New Roman" w:cs="Times New Roman"/>
                <w:color w:val="auto"/>
                <w:sz w:val="18"/>
                <w:szCs w:val="18"/>
              </w:rPr>
              <w:sym w:font="Wingdings" w:char="00A8"/>
            </w:r>
          </w:p>
          <w:p>
            <w:pPr>
              <w:spacing w:line="240" w:lineRule="auto"/>
              <w:ind w:firstLine="0" w:firstLineChars="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水资源与开发利用程度及水文情势评价</w:t>
            </w:r>
            <w:r>
              <w:rPr>
                <w:rFonts w:hint="default" w:ascii="Times New Roman" w:hAnsi="Times New Roman" w:cs="Times New Roman"/>
                <w:color w:val="auto"/>
                <w:sz w:val="18"/>
                <w:szCs w:val="18"/>
              </w:rPr>
              <w:sym w:font="Wingdings" w:char="00A8"/>
            </w:r>
          </w:p>
          <w:p>
            <w:pPr>
              <w:spacing w:line="240" w:lineRule="auto"/>
              <w:ind w:firstLine="0" w:firstLineChars="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水环境质量回顾评价</w:t>
            </w:r>
            <w:r>
              <w:rPr>
                <w:rFonts w:hint="default" w:ascii="Times New Roman" w:hAnsi="Times New Roman" w:cs="Times New Roman"/>
                <w:color w:val="auto"/>
                <w:sz w:val="18"/>
                <w:szCs w:val="18"/>
              </w:rPr>
              <w:sym w:font="Wingdings" w:char="00A8"/>
            </w:r>
          </w:p>
          <w:p>
            <w:pPr>
              <w:spacing w:line="240" w:lineRule="auto"/>
              <w:ind w:firstLine="0" w:firstLineChars="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流域（区域）水资源（包括水能资源）与开发利用总体状况、生态流量管理与现状满足程度、建设项目沾用水域空间的水流状况与河湖演变状况</w:t>
            </w:r>
            <w:r>
              <w:rPr>
                <w:rFonts w:hint="default" w:ascii="Times New Roman" w:hAnsi="Times New Roman" w:cs="Times New Roman"/>
                <w:color w:val="auto"/>
                <w:sz w:val="18"/>
                <w:szCs w:val="18"/>
              </w:rPr>
              <w:sym w:font="Wingdings" w:char="00A8"/>
            </w:r>
          </w:p>
        </w:tc>
        <w:tc>
          <w:tcPr>
            <w:tcW w:w="112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达标区</w:t>
            </w:r>
            <w:r>
              <w:rPr>
                <w:rFonts w:hint="default" w:ascii="Times New Roman" w:hAnsi="Times New Roman" w:cs="Times New Roman"/>
                <w:color w:val="auto"/>
                <w:sz w:val="18"/>
                <w:szCs w:val="18"/>
              </w:rPr>
              <w:sym w:font="Wingdings" w:char="00FE"/>
            </w:r>
          </w:p>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不达标区</w:t>
            </w:r>
            <w:r>
              <w:rPr>
                <w:rFonts w:hint="default" w:ascii="Times New Roman" w:hAnsi="Times New Roman" w:cs="Times New Roman"/>
                <w:color w:val="auto"/>
                <w:sz w:val="18"/>
                <w:szCs w:val="18"/>
              </w:rPr>
              <w:sym w:font="Wingdings" w:char="00A8"/>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影响评价</w:t>
            </w:r>
          </w:p>
        </w:tc>
        <w:tc>
          <w:tcPr>
            <w:tcW w:w="105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水污染控制和水环境影响减缓措施有效性评价</w:t>
            </w:r>
          </w:p>
        </w:tc>
        <w:tc>
          <w:tcPr>
            <w:tcW w:w="7578" w:type="dxa"/>
            <w:gridSpan w:val="5"/>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区（流）域环境质量改善目标</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；替代削减源</w:t>
            </w:r>
            <w:r>
              <w:rPr>
                <w:rFonts w:hint="default" w:ascii="Times New Roman" w:hAnsi="Times New Roman" w:cs="Times New Roman"/>
                <w:color w:val="auto"/>
                <w:sz w:val="18"/>
                <w:szCs w:val="18"/>
              </w:rPr>
              <w:sym w:font="Wingdings" w:char="00A8"/>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105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水环境影响评价</w:t>
            </w:r>
          </w:p>
        </w:tc>
        <w:tc>
          <w:tcPr>
            <w:tcW w:w="7578" w:type="dxa"/>
            <w:gridSpan w:val="5"/>
            <w:tcBorders>
              <w:tl2br w:val="nil"/>
              <w:tr2bl w:val="nil"/>
            </w:tcBorders>
            <w:vAlign w:val="center"/>
          </w:tcPr>
          <w:p>
            <w:pPr>
              <w:spacing w:line="240" w:lineRule="auto"/>
              <w:ind w:firstLine="0" w:firstLineChars="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排放口混合区外满足水环境管理要求</w:t>
            </w:r>
            <w:r>
              <w:rPr>
                <w:rFonts w:hint="default" w:ascii="Times New Roman" w:hAnsi="Times New Roman" w:cs="Times New Roman"/>
                <w:color w:val="auto"/>
                <w:sz w:val="18"/>
                <w:szCs w:val="18"/>
              </w:rPr>
              <w:sym w:font="Wingdings" w:char="00A8"/>
            </w:r>
          </w:p>
          <w:p>
            <w:pPr>
              <w:spacing w:line="240" w:lineRule="auto"/>
              <w:ind w:firstLine="0" w:firstLineChars="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水环境功能区或水功能区、近岸海域环境功能区水质达标</w:t>
            </w:r>
            <w:r>
              <w:rPr>
                <w:rFonts w:hint="default" w:ascii="Times New Roman" w:hAnsi="Times New Roman" w:cs="Times New Roman"/>
                <w:color w:val="auto"/>
                <w:sz w:val="18"/>
                <w:szCs w:val="18"/>
              </w:rPr>
              <w:sym w:font="Wingdings" w:char="00FE"/>
            </w:r>
          </w:p>
          <w:p>
            <w:pPr>
              <w:spacing w:line="240" w:lineRule="auto"/>
              <w:ind w:firstLine="0" w:firstLineChars="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满足水环境保护目标水域水环境质量要求</w:t>
            </w:r>
            <w:r>
              <w:rPr>
                <w:rFonts w:hint="default" w:ascii="Times New Roman" w:hAnsi="Times New Roman" w:cs="Times New Roman"/>
                <w:color w:val="auto"/>
                <w:sz w:val="18"/>
                <w:szCs w:val="18"/>
              </w:rPr>
              <w:sym w:font="Wingdings" w:char="00A8"/>
            </w:r>
          </w:p>
          <w:p>
            <w:pPr>
              <w:spacing w:line="240" w:lineRule="auto"/>
              <w:ind w:firstLine="0" w:firstLineChars="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水环境控制单元或断面水质达标</w:t>
            </w:r>
            <w:r>
              <w:rPr>
                <w:rFonts w:hint="default" w:ascii="Times New Roman" w:hAnsi="Times New Roman" w:cs="Times New Roman"/>
                <w:color w:val="auto"/>
                <w:sz w:val="18"/>
                <w:szCs w:val="18"/>
              </w:rPr>
              <w:sym w:font="Wingdings" w:char="00A8"/>
            </w:r>
          </w:p>
          <w:p>
            <w:pPr>
              <w:spacing w:line="240" w:lineRule="auto"/>
              <w:ind w:firstLine="0" w:firstLineChars="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满足重点水污染物排放总量控制指标的要求，重点行业建设项目，主要污染物排放满足等量或减量替代要求</w:t>
            </w:r>
            <w:r>
              <w:rPr>
                <w:rFonts w:hint="default" w:ascii="Times New Roman" w:hAnsi="Times New Roman" w:cs="Times New Roman"/>
                <w:color w:val="auto"/>
                <w:sz w:val="18"/>
                <w:szCs w:val="18"/>
              </w:rPr>
              <w:sym w:font="Wingdings" w:char="00A8"/>
            </w:r>
          </w:p>
          <w:p>
            <w:pPr>
              <w:spacing w:line="240" w:lineRule="auto"/>
              <w:ind w:firstLine="0" w:firstLineChars="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满足区（流）域水环境质量改善目标要求</w:t>
            </w:r>
            <w:r>
              <w:rPr>
                <w:rFonts w:hint="default" w:ascii="Times New Roman" w:hAnsi="Times New Roman" w:cs="Times New Roman"/>
                <w:color w:val="auto"/>
                <w:sz w:val="18"/>
                <w:szCs w:val="18"/>
              </w:rPr>
              <w:sym w:font="Wingdings" w:char="00A8"/>
            </w:r>
          </w:p>
          <w:p>
            <w:pPr>
              <w:spacing w:line="240" w:lineRule="auto"/>
              <w:ind w:firstLine="0" w:firstLineChars="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水文要素影响型建设项目同时应包括水文情势变化评价、主要水文特征值影响评价、生态流量符合性评价</w:t>
            </w:r>
            <w:r>
              <w:rPr>
                <w:rFonts w:hint="default" w:ascii="Times New Roman" w:hAnsi="Times New Roman" w:cs="Times New Roman"/>
                <w:color w:val="auto"/>
                <w:sz w:val="18"/>
                <w:szCs w:val="18"/>
              </w:rPr>
              <w:sym w:font="Wingdings" w:char="00A8"/>
            </w:r>
          </w:p>
          <w:p>
            <w:pPr>
              <w:spacing w:line="240" w:lineRule="auto"/>
              <w:ind w:firstLine="0" w:firstLineChars="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对于新设或调整入河（湖库、近岸海域）排放口的建设项目，应包括排放口设置的环境合理性评价</w:t>
            </w:r>
            <w:r>
              <w:rPr>
                <w:rFonts w:hint="default" w:ascii="Times New Roman" w:hAnsi="Times New Roman" w:cs="Times New Roman"/>
                <w:color w:val="auto"/>
                <w:sz w:val="18"/>
                <w:szCs w:val="18"/>
              </w:rPr>
              <w:sym w:font="Wingdings" w:char="00A8"/>
            </w:r>
          </w:p>
          <w:p>
            <w:pPr>
              <w:spacing w:line="240" w:lineRule="auto"/>
              <w:ind w:firstLine="0" w:firstLineChars="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满足生态保护红线、水环境质量底线、资源利用上线和环境准入清单管理要求</w:t>
            </w:r>
            <w:r>
              <w:rPr>
                <w:rFonts w:hint="default" w:ascii="Times New Roman" w:hAnsi="Times New Roman" w:cs="Times New Roman"/>
                <w:color w:val="auto"/>
                <w:sz w:val="18"/>
                <w:szCs w:val="18"/>
              </w:rPr>
              <w:sym w:font="Wingdings" w:char="00A8"/>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1051"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污染源排放量核算</w:t>
            </w:r>
          </w:p>
        </w:tc>
        <w:tc>
          <w:tcPr>
            <w:tcW w:w="200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污染名称</w:t>
            </w:r>
          </w:p>
        </w:tc>
        <w:tc>
          <w:tcPr>
            <w:tcW w:w="185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排放量</w:t>
            </w:r>
          </w:p>
        </w:tc>
        <w:tc>
          <w:tcPr>
            <w:tcW w:w="3716"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排放浓度mg/L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105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200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COD、氨氮</w:t>
            </w:r>
          </w:p>
        </w:tc>
        <w:tc>
          <w:tcPr>
            <w:tcW w:w="185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2591"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12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1051"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替代源排放情况</w:t>
            </w:r>
          </w:p>
        </w:tc>
        <w:tc>
          <w:tcPr>
            <w:tcW w:w="200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污染源名称</w:t>
            </w:r>
          </w:p>
        </w:tc>
        <w:tc>
          <w:tcPr>
            <w:tcW w:w="185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排污许可证编号</w:t>
            </w:r>
          </w:p>
        </w:tc>
        <w:tc>
          <w:tcPr>
            <w:tcW w:w="148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污染物名称</w:t>
            </w:r>
          </w:p>
        </w:tc>
        <w:tc>
          <w:tcPr>
            <w:tcW w:w="110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排放量t/a</w:t>
            </w:r>
          </w:p>
        </w:tc>
        <w:tc>
          <w:tcPr>
            <w:tcW w:w="112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排放浓度mg/L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105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200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85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48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10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12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防治措施</w:t>
            </w:r>
          </w:p>
        </w:tc>
        <w:tc>
          <w:tcPr>
            <w:tcW w:w="105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环保措施</w:t>
            </w:r>
          </w:p>
        </w:tc>
        <w:tc>
          <w:tcPr>
            <w:tcW w:w="7578" w:type="dxa"/>
            <w:gridSpan w:val="5"/>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污水处理设施</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；水文减缓设施</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；生态流量保障设施</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；区域消减</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；依托其他工程措施</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；其他</w:t>
            </w:r>
            <w:r>
              <w:rPr>
                <w:rFonts w:hint="default" w:ascii="Times New Roman" w:hAnsi="Times New Roman" w:cs="Times New Roman"/>
                <w:color w:val="auto"/>
                <w:sz w:val="18"/>
                <w:szCs w:val="18"/>
              </w:rPr>
              <w:sym w:font="Wingdings" w:char="00A8"/>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659" w:type="dxa"/>
            <w:gridSpan w:val="2"/>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防治措施</w:t>
            </w:r>
          </w:p>
        </w:tc>
        <w:tc>
          <w:tcPr>
            <w:tcW w:w="1051"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监测计划</w:t>
            </w:r>
          </w:p>
        </w:tc>
        <w:tc>
          <w:tcPr>
            <w:tcW w:w="200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85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环境质量</w:t>
            </w:r>
          </w:p>
        </w:tc>
        <w:tc>
          <w:tcPr>
            <w:tcW w:w="3716"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659"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105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200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监测方式</w:t>
            </w:r>
          </w:p>
        </w:tc>
        <w:tc>
          <w:tcPr>
            <w:tcW w:w="185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手动</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自动</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无检测</w:t>
            </w:r>
            <w:r>
              <w:rPr>
                <w:rFonts w:hint="default" w:ascii="Times New Roman" w:hAnsi="Times New Roman" w:cs="Times New Roman"/>
                <w:color w:val="auto"/>
                <w:sz w:val="18"/>
                <w:szCs w:val="18"/>
              </w:rPr>
              <w:sym w:font="Wingdings" w:char="00A8"/>
            </w:r>
          </w:p>
        </w:tc>
        <w:tc>
          <w:tcPr>
            <w:tcW w:w="2591"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手动</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自动</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无检测</w:t>
            </w:r>
            <w:r>
              <w:rPr>
                <w:rFonts w:hint="default" w:ascii="Times New Roman" w:hAnsi="Times New Roman" w:cs="Times New Roman"/>
                <w:color w:val="auto"/>
                <w:sz w:val="18"/>
                <w:szCs w:val="18"/>
              </w:rPr>
              <w:sym w:font="Wingdings" w:char="00A8"/>
            </w:r>
          </w:p>
        </w:tc>
        <w:tc>
          <w:tcPr>
            <w:tcW w:w="112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659"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105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200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监测点位</w:t>
            </w:r>
          </w:p>
        </w:tc>
        <w:tc>
          <w:tcPr>
            <w:tcW w:w="185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2591"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12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659"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1051"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200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监测因子</w:t>
            </w:r>
          </w:p>
        </w:tc>
        <w:tc>
          <w:tcPr>
            <w:tcW w:w="1857"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2591" w:type="dxa"/>
            <w:gridSpan w:val="2"/>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12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9"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p>
        </w:tc>
        <w:tc>
          <w:tcPr>
            <w:tcW w:w="105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污染物排放清单</w:t>
            </w:r>
          </w:p>
        </w:tc>
        <w:tc>
          <w:tcPr>
            <w:tcW w:w="7578" w:type="dxa"/>
            <w:gridSpan w:val="5"/>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10" w:type="dxa"/>
            <w:gridSpan w:val="3"/>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评价结论</w:t>
            </w:r>
          </w:p>
        </w:tc>
        <w:tc>
          <w:tcPr>
            <w:tcW w:w="7578" w:type="dxa"/>
            <w:gridSpan w:val="5"/>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可以接受</w:t>
            </w:r>
            <w:r>
              <w:rPr>
                <w:rFonts w:hint="default" w:ascii="Times New Roman" w:hAnsi="Times New Roman" w:cs="Times New Roman"/>
                <w:color w:val="auto"/>
                <w:sz w:val="18"/>
                <w:szCs w:val="18"/>
              </w:rPr>
              <w:sym w:font="Wingdings" w:char="00FE"/>
            </w:r>
            <w:r>
              <w:rPr>
                <w:rFonts w:hint="default" w:ascii="Times New Roman" w:hAnsi="Times New Roman" w:cs="Times New Roman"/>
                <w:color w:val="auto"/>
                <w:sz w:val="18"/>
                <w:szCs w:val="18"/>
              </w:rPr>
              <w:t>；不可以接受</w:t>
            </w:r>
            <w:r>
              <w:rPr>
                <w:rFonts w:hint="default" w:ascii="Times New Roman" w:hAnsi="Times New Roman" w:cs="Times New Roman"/>
                <w:color w:val="auto"/>
                <w:sz w:val="18"/>
                <w:szCs w:val="18"/>
              </w:rPr>
              <w:sym w:font="Wingdings" w:char="00A8"/>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88" w:type="dxa"/>
            <w:gridSpan w:val="8"/>
            <w:tcBorders>
              <w:tl2br w:val="nil"/>
              <w:tr2bl w:val="nil"/>
            </w:tcBorders>
            <w:vAlign w:val="center"/>
          </w:tcPr>
          <w:p>
            <w:pPr>
              <w:spacing w:line="240" w:lineRule="auto"/>
              <w:ind w:firstLine="0" w:firstLineChars="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注：</w:t>
            </w:r>
            <w:r>
              <w:rPr>
                <w:rFonts w:hint="default" w:ascii="Times New Roman" w:hAnsi="Times New Roman" w:cs="Times New Roman"/>
                <w:color w:val="auto"/>
                <w:sz w:val="18"/>
                <w:szCs w:val="18"/>
              </w:rPr>
              <w:sym w:font="Wingdings" w:char="00A8"/>
            </w:r>
            <w:r>
              <w:rPr>
                <w:rFonts w:hint="default" w:ascii="Times New Roman" w:hAnsi="Times New Roman" w:cs="Times New Roman"/>
                <w:color w:val="auto"/>
                <w:sz w:val="18"/>
                <w:szCs w:val="18"/>
              </w:rPr>
              <w:t>为勾选内容（）填写内容“备注”为其他补充内容</w:t>
            </w:r>
          </w:p>
        </w:tc>
      </w:tr>
    </w:tbl>
    <w:p>
      <w:pPr>
        <w:pStyle w:val="5"/>
        <w:rPr>
          <w:rFonts w:hint="default" w:ascii="Times New Roman" w:hAnsi="Times New Roman" w:cs="Times New Roman"/>
          <w:color w:val="auto"/>
          <w:kern w:val="44"/>
        </w:rPr>
      </w:pPr>
      <w:bookmarkStart w:id="541" w:name="_Toc354421686"/>
      <w:bookmarkStart w:id="542" w:name="_Toc477357250"/>
      <w:bookmarkStart w:id="543" w:name="_Toc477187435"/>
      <w:bookmarkStart w:id="544" w:name="_Toc476923287"/>
      <w:bookmarkStart w:id="545" w:name="_Toc366760263"/>
      <w:bookmarkStart w:id="546" w:name="_Toc476921969"/>
      <w:bookmarkStart w:id="547" w:name="_Toc193113483"/>
      <w:bookmarkStart w:id="548" w:name="_Toc327741259"/>
      <w:bookmarkStart w:id="549" w:name="_Toc327476610"/>
      <w:r>
        <w:rPr>
          <w:rFonts w:hint="default" w:ascii="Times New Roman" w:hAnsi="Times New Roman" w:cs="Times New Roman"/>
          <w:color w:val="auto"/>
          <w:kern w:val="44"/>
        </w:rPr>
        <w:t>5.2.3地下水环境影响</w:t>
      </w:r>
      <w:bookmarkEnd w:id="541"/>
      <w:r>
        <w:rPr>
          <w:rFonts w:hint="default" w:ascii="Times New Roman" w:hAnsi="Times New Roman" w:cs="Times New Roman"/>
          <w:color w:val="auto"/>
          <w:kern w:val="44"/>
        </w:rPr>
        <w:t>分析</w:t>
      </w:r>
      <w:bookmarkEnd w:id="542"/>
      <w:bookmarkEnd w:id="543"/>
      <w:bookmarkEnd w:id="544"/>
      <w:bookmarkEnd w:id="545"/>
      <w:bookmarkEnd w:id="546"/>
    </w:p>
    <w:p>
      <w:pPr>
        <w:ind w:firstLine="480"/>
        <w:outlineLvl w:val="3"/>
        <w:rPr>
          <w:rFonts w:hint="default" w:ascii="Times New Roman" w:hAnsi="Times New Roman" w:cs="Times New Roman"/>
          <w:color w:val="auto"/>
        </w:rPr>
      </w:pPr>
      <w:r>
        <w:rPr>
          <w:rFonts w:hint="default" w:ascii="Times New Roman" w:hAnsi="Times New Roman" w:cs="Times New Roman"/>
          <w:color w:val="auto"/>
        </w:rPr>
        <w:t>5.2.3.1区域环境水文地质条件</w:t>
      </w:r>
    </w:p>
    <w:p>
      <w:pPr>
        <w:ind w:firstLine="480"/>
        <w:rPr>
          <w:rFonts w:hint="default" w:ascii="Times New Roman" w:hAnsi="Times New Roman" w:cs="Times New Roman"/>
          <w:color w:val="auto"/>
          <w:szCs w:val="32"/>
        </w:rPr>
      </w:pPr>
      <w:r>
        <w:rPr>
          <w:rFonts w:hint="default" w:ascii="Times New Roman" w:hAnsi="Times New Roman" w:cs="Times New Roman"/>
          <w:color w:val="auto"/>
          <w:szCs w:val="32"/>
        </w:rPr>
        <w:t>(1)区域地下水水文地质情况</w:t>
      </w:r>
    </w:p>
    <w:p>
      <w:pPr>
        <w:ind w:firstLine="480"/>
        <w:rPr>
          <w:rFonts w:hint="default" w:ascii="Times New Roman" w:hAnsi="Times New Roman" w:cs="Times New Roman"/>
          <w:color w:val="auto"/>
          <w:szCs w:val="32"/>
        </w:rPr>
      </w:pPr>
      <w:r>
        <w:rPr>
          <w:rFonts w:hint="default" w:ascii="Times New Roman" w:hAnsi="Times New Roman" w:cs="Times New Roman"/>
          <w:color w:val="auto"/>
          <w:szCs w:val="32"/>
        </w:rPr>
        <w:t>本项目厂址位于清丰县韩村镇</w:t>
      </w:r>
      <w:r>
        <w:rPr>
          <w:rFonts w:hint="default" w:ascii="Times New Roman" w:hAnsi="Times New Roman" w:cs="Times New Roman"/>
          <w:color w:val="auto"/>
        </w:rPr>
        <w:t>杨韩村北</w:t>
      </w:r>
      <w:r>
        <w:rPr>
          <w:rFonts w:hint="default" w:ascii="Times New Roman" w:hAnsi="Times New Roman" w:cs="Times New Roman"/>
          <w:color w:val="auto"/>
          <w:szCs w:val="32"/>
        </w:rPr>
        <w:t>，根据濮阳市规划建筑设计研究院2015年8月20日对本项目东北侧约11km处的《清丰县棚户区改造五眼井村村民安置房工程》详细勘察，项目所在区域场地地形相对平坦。该场地在勘探深度范围内的地层主要为第四系冲洪积物，场地内所揭露的地层按其岩性特征及物理力学性质的差异可划分为9个工程地质层，由上至下依次是：粉质粘土、粉土、粉质粘土、粉土、粉质粘土、粉土、粉质粘土、粉砂、粉质粘土，勘察未发现不良地质作用，未发现河道、沟浜、墓穴、防空洞、孤石等对工程不利的埋置物，地形较平坦，场地稳定。</w:t>
      </w:r>
    </w:p>
    <w:p>
      <w:pPr>
        <w:ind w:firstLine="480"/>
        <w:rPr>
          <w:rFonts w:hint="default" w:ascii="Times New Roman" w:hAnsi="Times New Roman" w:cs="Times New Roman"/>
          <w:color w:val="auto"/>
          <w:szCs w:val="32"/>
        </w:rPr>
      </w:pPr>
      <w:r>
        <w:rPr>
          <w:rFonts w:hint="default" w:ascii="Times New Roman" w:hAnsi="Times New Roman" w:cs="Times New Roman"/>
          <w:color w:val="auto"/>
          <w:szCs w:val="32"/>
        </w:rPr>
        <w:t>勘察厂区钻孔柱状图见图5-</w:t>
      </w:r>
      <w:r>
        <w:rPr>
          <w:rFonts w:hint="eastAsia" w:cs="Times New Roman"/>
          <w:color w:val="auto"/>
          <w:szCs w:val="32"/>
          <w:lang w:val="en-US" w:eastAsia="zh-CN"/>
        </w:rPr>
        <w:t>7</w:t>
      </w:r>
      <w:r>
        <w:rPr>
          <w:rFonts w:hint="default" w:ascii="Times New Roman" w:hAnsi="Times New Roman" w:cs="Times New Roman"/>
          <w:color w:val="auto"/>
          <w:szCs w:val="32"/>
        </w:rPr>
        <w:t>。勘察各地层性状见表5.2-</w:t>
      </w:r>
      <w:r>
        <w:rPr>
          <w:rFonts w:hint="eastAsia" w:cs="Times New Roman"/>
          <w:color w:val="auto"/>
          <w:szCs w:val="32"/>
          <w:lang w:val="en-US" w:eastAsia="zh-CN"/>
        </w:rPr>
        <w:t>26</w:t>
      </w:r>
      <w:r>
        <w:rPr>
          <w:rFonts w:hint="default" w:ascii="Times New Roman" w:hAnsi="Times New Roman" w:cs="Times New Roman"/>
          <w:color w:val="auto"/>
          <w:szCs w:val="32"/>
        </w:rPr>
        <w:t>。</w:t>
      </w:r>
    </w:p>
    <w:p>
      <w:pPr>
        <w:spacing w:line="240" w:lineRule="auto"/>
        <w:ind w:firstLine="0" w:firstLineChars="0"/>
        <w:rPr>
          <w:rFonts w:hint="default" w:ascii="Times New Roman" w:hAnsi="Times New Roman" w:cs="Times New Roman"/>
          <w:b/>
          <w:color w:val="auto"/>
        </w:rPr>
      </w:pPr>
      <w:r>
        <w:rPr>
          <w:rFonts w:hint="default" w:ascii="Times New Roman" w:hAnsi="Times New Roman" w:cs="Times New Roman"/>
          <w:color w:val="auto"/>
        </w:rPr>
        <mc:AlternateContent>
          <mc:Choice Requires="wps">
            <w:drawing>
              <wp:anchor distT="0" distB="0" distL="114300" distR="114300" simplePos="0" relativeHeight="251788288" behindDoc="0" locked="0" layoutInCell="1" allowOverlap="1">
                <wp:simplePos x="0" y="0"/>
                <wp:positionH relativeFrom="column">
                  <wp:posOffset>384810</wp:posOffset>
                </wp:positionH>
                <wp:positionV relativeFrom="paragraph">
                  <wp:posOffset>8487410</wp:posOffset>
                </wp:positionV>
                <wp:extent cx="4883785" cy="259715"/>
                <wp:effectExtent l="0" t="0" r="0" b="0"/>
                <wp:wrapNone/>
                <wp:docPr id="338" name="文本框 338"/>
                <wp:cNvGraphicFramePr/>
                <a:graphic xmlns:a="http://schemas.openxmlformats.org/drawingml/2006/main">
                  <a:graphicData uri="http://schemas.microsoft.com/office/word/2010/wordprocessingShape">
                    <wps:wsp>
                      <wps:cNvSpPr txBox="1"/>
                      <wps:spPr>
                        <a:xfrm>
                          <a:off x="0" y="0"/>
                          <a:ext cx="4883785" cy="259715"/>
                        </a:xfrm>
                        <a:prstGeom prst="rect">
                          <a:avLst/>
                        </a:prstGeom>
                        <a:noFill/>
                        <a:ln w="9525">
                          <a:noFill/>
                        </a:ln>
                        <a:effectLst/>
                      </wps:spPr>
                      <wps:txbx>
                        <w:txbxContent>
                          <w:p>
                            <w:pPr>
                              <w:spacing w:line="240" w:lineRule="auto"/>
                              <w:ind w:firstLine="482"/>
                              <w:jc w:val="center"/>
                              <w:rPr>
                                <w:b/>
                              </w:rPr>
                            </w:pPr>
                            <w:r>
                              <w:rPr>
                                <w:rFonts w:hint="eastAsia"/>
                                <w:b/>
                              </w:rPr>
                              <w:t>图5-</w:t>
                            </w:r>
                            <w:r>
                              <w:rPr>
                                <w:rFonts w:hint="eastAsia"/>
                                <w:b/>
                                <w:lang w:val="en-US" w:eastAsia="zh-CN"/>
                              </w:rPr>
                              <w:t>7</w:t>
                            </w:r>
                            <w:r>
                              <w:rPr>
                                <w:rFonts w:hint="eastAsia"/>
                                <w:b/>
                              </w:rPr>
                              <w:t xml:space="preserve">  工程地质勘察钻孔柱状图</w:t>
                            </w:r>
                          </w:p>
                          <w:p>
                            <w:pPr>
                              <w:ind w:firstLine="480"/>
                            </w:pPr>
                          </w:p>
                        </w:txbxContent>
                      </wps:txbx>
                      <wps:bodyPr upright="1"/>
                    </wps:wsp>
                  </a:graphicData>
                </a:graphic>
              </wp:anchor>
            </w:drawing>
          </mc:Choice>
          <mc:Fallback>
            <w:pict>
              <v:shape id="_x0000_s1026" o:spid="_x0000_s1026" o:spt="202" type="#_x0000_t202" style="position:absolute;left:0pt;margin-left:30.3pt;margin-top:668.3pt;height:20.45pt;width:384.55pt;z-index:251788288;mso-width-relative:page;mso-height-relative:page;" filled="f" stroked="f" coordsize="21600,21600" o:gfxdata="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eXN5x2QAAAAwBAAAPAAAA&#10;AAAAAAEAIAAAACIAAABkcnMvZG93bnJldi54bWxQSwECFAAUAAAACACHTuJAnieo/6IBAAAbAwAA&#10;DgAAAAAAAAABACAAAAAoAQAAZHJzL2Uyb0RvYy54bWxQSwUGAAAAAAYABgBZAQAAPAUAAAAA&#10;">
                <v:fill on="f" focussize="0,0"/>
                <v:stroke on="f"/>
                <v:imagedata o:title=""/>
                <o:lock v:ext="edit" aspectratio="f"/>
                <v:textbox>
                  <w:txbxContent>
                    <w:p>
                      <w:pPr>
                        <w:spacing w:line="240" w:lineRule="auto"/>
                        <w:ind w:firstLine="482"/>
                        <w:jc w:val="center"/>
                        <w:rPr>
                          <w:b/>
                        </w:rPr>
                      </w:pPr>
                      <w:r>
                        <w:rPr>
                          <w:rFonts w:hint="eastAsia"/>
                          <w:b/>
                        </w:rPr>
                        <w:t>图5-</w:t>
                      </w:r>
                      <w:r>
                        <w:rPr>
                          <w:rFonts w:hint="eastAsia"/>
                          <w:b/>
                          <w:lang w:val="en-US" w:eastAsia="zh-CN"/>
                        </w:rPr>
                        <w:t>7</w:t>
                      </w:r>
                      <w:r>
                        <w:rPr>
                          <w:rFonts w:hint="eastAsia"/>
                          <w:b/>
                        </w:rPr>
                        <w:t xml:space="preserve">  工程地质勘察钻孔柱状图</w:t>
                      </w:r>
                    </w:p>
                    <w:p>
                      <w:pPr>
                        <w:ind w:firstLine="480"/>
                      </w:pPr>
                    </w:p>
                  </w:txbxContent>
                </v:textbox>
              </v:shape>
            </w:pict>
          </mc:Fallback>
        </mc:AlternateContent>
      </w:r>
      <w:r>
        <w:rPr>
          <w:rFonts w:hint="default" w:ascii="Times New Roman" w:hAnsi="Times New Roman" w:cs="Times New Roman"/>
          <w:color w:val="auto"/>
        </w:rPr>
        <w:drawing>
          <wp:inline distT="0" distB="0" distL="114300" distR="114300">
            <wp:extent cx="5354320" cy="8405495"/>
            <wp:effectExtent l="73025" t="46355" r="78105" b="63500"/>
            <wp:docPr id="4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10"/>
                    <pic:cNvPicPr>
                      <a:picLocks noChangeAspect="1"/>
                    </pic:cNvPicPr>
                  </pic:nvPicPr>
                  <pic:blipFill>
                    <a:blip r:embed="rId56" cstate="print"/>
                    <a:stretch>
                      <a:fillRect/>
                    </a:stretch>
                  </pic:blipFill>
                  <pic:spPr>
                    <a:xfrm rot="-60000">
                      <a:off x="0" y="0"/>
                      <a:ext cx="5354320" cy="8405495"/>
                    </a:xfrm>
                    <a:prstGeom prst="rect">
                      <a:avLst/>
                    </a:prstGeom>
                    <a:noFill/>
                    <a:ln>
                      <a:noFill/>
                    </a:ln>
                  </pic:spPr>
                </pic:pic>
              </a:graphicData>
            </a:graphic>
          </wp:inline>
        </w:drawing>
      </w:r>
    </w:p>
    <w:p>
      <w:pPr>
        <w:ind w:firstLine="482"/>
        <w:jc w:val="center"/>
        <w:rPr>
          <w:rFonts w:hint="default" w:ascii="Times New Roman" w:hAnsi="Times New Roman" w:cs="Times New Roman"/>
          <w:b/>
          <w:color w:val="auto"/>
        </w:rPr>
      </w:pPr>
      <w:r>
        <w:rPr>
          <w:rFonts w:hint="default" w:ascii="Times New Roman" w:hAnsi="Times New Roman" w:cs="Times New Roman"/>
          <w:b/>
          <w:color w:val="auto"/>
        </w:rPr>
        <w:t>表5.2-</w:t>
      </w:r>
      <w:r>
        <w:rPr>
          <w:rFonts w:hint="eastAsia" w:cs="Times New Roman"/>
          <w:b/>
          <w:color w:val="auto"/>
          <w:lang w:val="en-US" w:eastAsia="zh-CN"/>
        </w:rPr>
        <w:t>26</w:t>
      </w:r>
      <w:r>
        <w:rPr>
          <w:rFonts w:hint="default" w:ascii="Times New Roman" w:hAnsi="Times New Roman" w:cs="Times New Roman"/>
          <w:b/>
          <w:color w:val="auto"/>
        </w:rPr>
        <w:t xml:space="preserve"> 地层性状一览表</w:t>
      </w:r>
    </w:p>
    <w:tbl>
      <w:tblPr>
        <w:tblStyle w:val="25"/>
        <w:tblW w:w="859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85" w:type="dxa"/>
          <w:left w:w="85" w:type="dxa"/>
          <w:bottom w:w="85" w:type="dxa"/>
          <w:right w:w="85" w:type="dxa"/>
        </w:tblCellMar>
      </w:tblPr>
      <w:tblGrid>
        <w:gridCol w:w="873"/>
        <w:gridCol w:w="1352"/>
        <w:gridCol w:w="4991"/>
        <w:gridCol w:w="137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85" w:type="dxa"/>
            <w:left w:w="85" w:type="dxa"/>
            <w:bottom w:w="85" w:type="dxa"/>
            <w:right w:w="85" w:type="dxa"/>
          </w:tblCellMar>
        </w:tblPrEx>
        <w:trPr>
          <w:trHeight w:val="441" w:hRule="atLeast"/>
        </w:trPr>
        <w:tc>
          <w:tcPr>
            <w:tcW w:w="873"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层号</w:t>
            </w:r>
          </w:p>
        </w:tc>
        <w:tc>
          <w:tcPr>
            <w:tcW w:w="1352"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地层名称</w:t>
            </w:r>
          </w:p>
        </w:tc>
        <w:tc>
          <w:tcPr>
            <w:tcW w:w="4991"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地层描述</w:t>
            </w:r>
          </w:p>
        </w:tc>
        <w:tc>
          <w:tcPr>
            <w:tcW w:w="1374" w:type="dxa"/>
            <w:tcBorders>
              <w:tl2br w:val="nil"/>
              <w:tr2bl w:val="nil"/>
            </w:tcBorders>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土层厚度（m）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85" w:type="dxa"/>
            <w:left w:w="85" w:type="dxa"/>
            <w:bottom w:w="85" w:type="dxa"/>
            <w:right w:w="85" w:type="dxa"/>
          </w:tblCellMar>
        </w:tblPrEx>
        <w:tc>
          <w:tcPr>
            <w:tcW w:w="87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3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粉质粘土</w:t>
            </w:r>
          </w:p>
        </w:tc>
        <w:tc>
          <w:tcPr>
            <w:tcW w:w="4991" w:type="dxa"/>
            <w:tcBorders>
              <w:tl2br w:val="nil"/>
              <w:tr2bl w:val="nil"/>
            </w:tcBorders>
            <w:vAlign w:val="center"/>
          </w:tcPr>
          <w:p>
            <w:pPr>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棕褐；可塑；包含氧化铁；无摇震反应，切面稍有光滑，干强度及韧性中等。</w:t>
            </w:r>
          </w:p>
        </w:tc>
        <w:tc>
          <w:tcPr>
            <w:tcW w:w="137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85" w:type="dxa"/>
            <w:left w:w="85" w:type="dxa"/>
            <w:bottom w:w="85" w:type="dxa"/>
            <w:right w:w="85" w:type="dxa"/>
          </w:tblCellMar>
        </w:tblPrEx>
        <w:tc>
          <w:tcPr>
            <w:tcW w:w="87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3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粉土</w:t>
            </w:r>
          </w:p>
        </w:tc>
        <w:tc>
          <w:tcPr>
            <w:tcW w:w="4991" w:type="dxa"/>
            <w:tcBorders>
              <w:tl2br w:val="nil"/>
              <w:tr2bl w:val="nil"/>
            </w:tcBorders>
            <w:vAlign w:val="center"/>
          </w:tcPr>
          <w:p>
            <w:pPr>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暗黄、中密、湿，包含云母；摇振反应中等，无光泽反应，干强度及韧性低。</w:t>
            </w:r>
          </w:p>
        </w:tc>
        <w:tc>
          <w:tcPr>
            <w:tcW w:w="137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85" w:type="dxa"/>
            <w:left w:w="85" w:type="dxa"/>
            <w:bottom w:w="85" w:type="dxa"/>
            <w:right w:w="85" w:type="dxa"/>
          </w:tblCellMar>
        </w:tblPrEx>
        <w:tc>
          <w:tcPr>
            <w:tcW w:w="87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3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粉质粘土</w:t>
            </w:r>
          </w:p>
        </w:tc>
        <w:tc>
          <w:tcPr>
            <w:tcW w:w="4991" w:type="dxa"/>
            <w:tcBorders>
              <w:tl2br w:val="nil"/>
              <w:tr2bl w:val="nil"/>
            </w:tcBorders>
            <w:vAlign w:val="center"/>
          </w:tcPr>
          <w:p>
            <w:pPr>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棕褐；可塑；包含氧化铁；无摇震反应，切面稍有光滑，干强度及韧性中等。</w:t>
            </w:r>
          </w:p>
        </w:tc>
        <w:tc>
          <w:tcPr>
            <w:tcW w:w="137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85" w:type="dxa"/>
            <w:left w:w="85" w:type="dxa"/>
            <w:bottom w:w="85" w:type="dxa"/>
            <w:right w:w="85" w:type="dxa"/>
          </w:tblCellMar>
        </w:tblPrEx>
        <w:tc>
          <w:tcPr>
            <w:tcW w:w="87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3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粉土</w:t>
            </w:r>
          </w:p>
        </w:tc>
        <w:tc>
          <w:tcPr>
            <w:tcW w:w="4991" w:type="dxa"/>
            <w:tcBorders>
              <w:tl2br w:val="nil"/>
              <w:tr2bl w:val="nil"/>
            </w:tcBorders>
            <w:vAlign w:val="center"/>
          </w:tcPr>
          <w:p>
            <w:pPr>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暗黄、中密、湿，包含云母；摇振反应中等，无光泽反应，干强度及韧性低。</w:t>
            </w:r>
          </w:p>
        </w:tc>
        <w:tc>
          <w:tcPr>
            <w:tcW w:w="137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85" w:type="dxa"/>
            <w:left w:w="85" w:type="dxa"/>
            <w:bottom w:w="85" w:type="dxa"/>
            <w:right w:w="85" w:type="dxa"/>
          </w:tblCellMar>
        </w:tblPrEx>
        <w:tc>
          <w:tcPr>
            <w:tcW w:w="87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3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粉质粘土</w:t>
            </w:r>
          </w:p>
        </w:tc>
        <w:tc>
          <w:tcPr>
            <w:tcW w:w="4991" w:type="dxa"/>
            <w:tcBorders>
              <w:tl2br w:val="nil"/>
              <w:tr2bl w:val="nil"/>
            </w:tcBorders>
            <w:vAlign w:val="center"/>
          </w:tcPr>
          <w:p>
            <w:pPr>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棕褐；可塑；包含氧化铁；无摇震反应，切面稍有光滑，干强度及韧性中等。</w:t>
            </w:r>
          </w:p>
        </w:tc>
        <w:tc>
          <w:tcPr>
            <w:tcW w:w="137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85" w:type="dxa"/>
            <w:left w:w="85" w:type="dxa"/>
            <w:bottom w:w="85" w:type="dxa"/>
            <w:right w:w="85" w:type="dxa"/>
          </w:tblCellMar>
        </w:tblPrEx>
        <w:tc>
          <w:tcPr>
            <w:tcW w:w="87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13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粉土</w:t>
            </w:r>
          </w:p>
        </w:tc>
        <w:tc>
          <w:tcPr>
            <w:tcW w:w="4991" w:type="dxa"/>
            <w:tcBorders>
              <w:tl2br w:val="nil"/>
              <w:tr2bl w:val="nil"/>
            </w:tcBorders>
            <w:vAlign w:val="center"/>
          </w:tcPr>
          <w:p>
            <w:pPr>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暗黄、中密、湿，包含云母；摇振反应中等，无光泽反应，干强度及韧性低。</w:t>
            </w:r>
          </w:p>
        </w:tc>
        <w:tc>
          <w:tcPr>
            <w:tcW w:w="137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85" w:type="dxa"/>
            <w:left w:w="85" w:type="dxa"/>
            <w:bottom w:w="85" w:type="dxa"/>
            <w:right w:w="85" w:type="dxa"/>
          </w:tblCellMar>
        </w:tblPrEx>
        <w:tc>
          <w:tcPr>
            <w:tcW w:w="87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13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粉质粘土</w:t>
            </w:r>
          </w:p>
        </w:tc>
        <w:tc>
          <w:tcPr>
            <w:tcW w:w="4991" w:type="dxa"/>
            <w:tcBorders>
              <w:tl2br w:val="nil"/>
              <w:tr2bl w:val="nil"/>
            </w:tcBorders>
            <w:vAlign w:val="center"/>
          </w:tcPr>
          <w:p>
            <w:pPr>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棕褐；可塑；包含氧化铁；无摇震反应，切面稍有光滑，干强度及韧性中等。</w:t>
            </w:r>
          </w:p>
        </w:tc>
        <w:tc>
          <w:tcPr>
            <w:tcW w:w="137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85" w:type="dxa"/>
            <w:left w:w="85" w:type="dxa"/>
            <w:bottom w:w="85" w:type="dxa"/>
            <w:right w:w="85" w:type="dxa"/>
          </w:tblCellMar>
        </w:tblPrEx>
        <w:tc>
          <w:tcPr>
            <w:tcW w:w="87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13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粉砂</w:t>
            </w:r>
          </w:p>
        </w:tc>
        <w:tc>
          <w:tcPr>
            <w:tcW w:w="4991" w:type="dxa"/>
            <w:tcBorders>
              <w:tl2br w:val="nil"/>
              <w:tr2bl w:val="nil"/>
            </w:tcBorders>
            <w:vAlign w:val="center"/>
          </w:tcPr>
          <w:p>
            <w:pPr>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黄色、中密；湿；主要矿物成分为石英、云母、长石等，级配不良，砂质较纯，粘粒含量2%-6%</w:t>
            </w:r>
          </w:p>
        </w:tc>
        <w:tc>
          <w:tcPr>
            <w:tcW w:w="137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85" w:type="dxa"/>
            <w:left w:w="85" w:type="dxa"/>
            <w:bottom w:w="85" w:type="dxa"/>
            <w:right w:w="85" w:type="dxa"/>
          </w:tblCellMar>
        </w:tblPrEx>
        <w:tc>
          <w:tcPr>
            <w:tcW w:w="87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13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粉质粘土</w:t>
            </w:r>
          </w:p>
        </w:tc>
        <w:tc>
          <w:tcPr>
            <w:tcW w:w="4991" w:type="dxa"/>
            <w:tcBorders>
              <w:tl2br w:val="nil"/>
              <w:tr2bl w:val="nil"/>
            </w:tcBorders>
            <w:vAlign w:val="center"/>
          </w:tcPr>
          <w:p>
            <w:pPr>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棕褐；可塑；包含氧化铁；无摇震反应，切面稍有光滑，干强度及韧性中等。</w:t>
            </w:r>
          </w:p>
        </w:tc>
        <w:tc>
          <w:tcPr>
            <w:tcW w:w="1374"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8.6</w:t>
            </w:r>
          </w:p>
        </w:tc>
      </w:tr>
    </w:tbl>
    <w:p>
      <w:pPr>
        <w:ind w:firstLine="480"/>
        <w:rPr>
          <w:rFonts w:hint="default" w:ascii="Times New Roman" w:hAnsi="Times New Roman" w:cs="Times New Roman"/>
          <w:color w:val="auto"/>
        </w:rPr>
      </w:pPr>
      <w:r>
        <w:rPr>
          <w:rFonts w:hint="default" w:ascii="Times New Roman" w:hAnsi="Times New Roman" w:cs="Times New Roman"/>
          <w:color w:val="auto"/>
        </w:rPr>
        <w:t>(2)评价区域地下水水质特征</w:t>
      </w:r>
    </w:p>
    <w:p>
      <w:pPr>
        <w:tabs>
          <w:tab w:val="left" w:pos="540"/>
        </w:tabs>
        <w:ind w:firstLine="480"/>
        <w:rPr>
          <w:rFonts w:hint="default" w:ascii="Times New Roman" w:hAnsi="Times New Roman" w:cs="Times New Roman"/>
          <w:color w:val="auto"/>
        </w:rPr>
      </w:pPr>
      <w:r>
        <w:rPr>
          <w:rFonts w:hint="default" w:ascii="Times New Roman" w:hAnsi="Times New Roman" w:cs="Times New Roman"/>
          <w:color w:val="auto"/>
        </w:rPr>
        <w:t>濮阳市地下水属于松散岩类孔隙水，总体流向是由西南向东北，根据含水层的岩性结构，埋藏条件及动力特征，本区域可划分为潜水含水系统、浅层承压含水系统和深层承压含水系统。</w:t>
      </w:r>
    </w:p>
    <w:p>
      <w:pPr>
        <w:tabs>
          <w:tab w:val="left" w:pos="540"/>
        </w:tabs>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①</w:t>
      </w:r>
      <w:r>
        <w:rPr>
          <w:rFonts w:hint="default" w:ascii="Times New Roman" w:hAnsi="Times New Roman" w:cs="Times New Roman"/>
          <w:color w:val="auto"/>
        </w:rPr>
        <w:fldChar w:fldCharType="end"/>
      </w:r>
      <w:r>
        <w:rPr>
          <w:rFonts w:hint="default" w:ascii="Times New Roman" w:hAnsi="Times New Roman" w:cs="Times New Roman"/>
          <w:color w:val="auto"/>
        </w:rPr>
        <w:t>潜水含水系统</w:t>
      </w:r>
    </w:p>
    <w:p>
      <w:pPr>
        <w:tabs>
          <w:tab w:val="left" w:pos="540"/>
        </w:tabs>
        <w:ind w:firstLine="480"/>
        <w:rPr>
          <w:rFonts w:hint="default" w:ascii="Times New Roman" w:hAnsi="Times New Roman" w:cs="Times New Roman"/>
          <w:color w:val="auto"/>
        </w:rPr>
      </w:pPr>
      <w:r>
        <w:rPr>
          <w:rFonts w:hint="default" w:ascii="Times New Roman" w:hAnsi="Times New Roman" w:cs="Times New Roman"/>
          <w:color w:val="auto"/>
        </w:rPr>
        <w:t>该含水系统为全新统黄河冲积物所组成，在全区均有分布，属潜水，局部承压。含水层为粉细砂，局部为细中砂，多夹粘性土薄层，其厚度受古河道分布控制，在古河道带，含水砂层总厚度20-25m，底板由不甚稳定的粘性土层所组成，埋深30-40m；在古河间带，含水砂层厚度小于5，底板埋深24-30m。潜水含水层与浅层承压含水层之间分布一层由亚沙土、亚粘土组成的弱透析水层，厚4-20 m，二含水层系统之间水力联系密切，共同组成浅层地下水系统。</w:t>
      </w:r>
    </w:p>
    <w:p>
      <w:pPr>
        <w:tabs>
          <w:tab w:val="left" w:pos="540"/>
        </w:tabs>
        <w:ind w:firstLine="480"/>
        <w:rPr>
          <w:rFonts w:hint="default" w:ascii="Times New Roman" w:hAnsi="Times New Roman" w:cs="Times New Roman"/>
          <w:color w:val="auto"/>
        </w:rPr>
      </w:pPr>
      <w:r>
        <w:rPr>
          <w:rFonts w:hint="default" w:ascii="Times New Roman" w:hAnsi="Times New Roman" w:cs="Times New Roman"/>
          <w:color w:val="auto"/>
        </w:rPr>
        <w:t>潜水含水系统富水性在古河道带较好，单井涌水量150-1300m</w:t>
      </w:r>
      <w:r>
        <w:rPr>
          <w:rFonts w:hint="default" w:ascii="Times New Roman" w:hAnsi="Times New Roman" w:cs="Times New Roman"/>
          <w:color w:val="auto"/>
          <w:vertAlign w:val="superscript"/>
        </w:rPr>
        <w:t>3</w:t>
      </w:r>
      <w:r>
        <w:rPr>
          <w:rFonts w:hint="default" w:ascii="Times New Roman" w:hAnsi="Times New Roman" w:cs="Times New Roman"/>
          <w:color w:val="auto"/>
        </w:rPr>
        <w:t>/d，古河间带富水性较差，单井涌水量小于50m</w:t>
      </w:r>
      <w:r>
        <w:rPr>
          <w:rFonts w:hint="default" w:ascii="Times New Roman" w:hAnsi="Times New Roman" w:cs="Times New Roman"/>
          <w:color w:val="auto"/>
          <w:vertAlign w:val="superscript"/>
        </w:rPr>
        <w:t>3</w:t>
      </w:r>
      <w:r>
        <w:rPr>
          <w:rFonts w:hint="default" w:ascii="Times New Roman" w:hAnsi="Times New Roman" w:cs="Times New Roman"/>
          <w:color w:val="auto"/>
        </w:rPr>
        <w:t>/d。该含水系统开启程度最大，接受大气降水、地表水和农灌补给，其排泄主要为人工开采、下渗越流和蒸发。另外，该含水系统埋藏浅，与外界水的交换频繁，易受污染。该含水系统目前主要为农业灌溉和农村人畜用水。</w:t>
      </w:r>
    </w:p>
    <w:p>
      <w:pPr>
        <w:tabs>
          <w:tab w:val="left" w:pos="540"/>
        </w:tabs>
        <w:ind w:firstLine="480"/>
        <w:rPr>
          <w:rFonts w:hint="default" w:ascii="Times New Roman" w:hAnsi="Times New Roman" w:cs="Times New Roman"/>
          <w:color w:val="auto"/>
        </w:rPr>
      </w:pPr>
      <w:r>
        <w:rPr>
          <w:rFonts w:hint="default" w:ascii="Times New Roman" w:hAnsi="Times New Roman" w:cs="Times New Roman"/>
          <w:color w:val="auto"/>
        </w:rPr>
        <w:t>潜水化学类型较为单一，以HCO</w:t>
      </w:r>
      <w:r>
        <w:rPr>
          <w:rFonts w:hint="default" w:ascii="Times New Roman" w:hAnsi="Times New Roman" w:cs="Times New Roman"/>
          <w:color w:val="auto"/>
          <w:vertAlign w:val="subscript"/>
        </w:rPr>
        <w:t>3</w:t>
      </w:r>
      <w:r>
        <w:rPr>
          <w:rFonts w:hint="default" w:ascii="Times New Roman" w:hAnsi="Times New Roman" w:cs="Times New Roman"/>
          <w:color w:val="auto"/>
          <w:vertAlign w:val="superscript"/>
        </w:rPr>
        <w:t>-</w:t>
      </w:r>
      <w:r>
        <w:rPr>
          <w:rFonts w:hint="default" w:ascii="Times New Roman" w:hAnsi="Times New Roman" w:cs="Times New Roman"/>
          <w:color w:val="auto"/>
        </w:rPr>
        <w:t>型水为主，阳离子组合分带性明显。在渗入条件较好的古河道高地带，水化学类型为HCO</w:t>
      </w:r>
      <w:r>
        <w:rPr>
          <w:rFonts w:hint="default" w:ascii="Times New Roman" w:hAnsi="Times New Roman" w:cs="Times New Roman"/>
          <w:color w:val="auto"/>
          <w:vertAlign w:val="subscript"/>
        </w:rPr>
        <w:t>3</w:t>
      </w:r>
      <w:r>
        <w:rPr>
          <w:rFonts w:hint="default" w:ascii="Times New Roman" w:hAnsi="Times New Roman" w:cs="Times New Roman"/>
          <w:color w:val="auto"/>
        </w:rPr>
        <w:t>—Ca·Mg型，Na</w:t>
      </w:r>
      <w:r>
        <w:rPr>
          <w:rFonts w:hint="default" w:ascii="Times New Roman" w:hAnsi="Times New Roman" w:cs="Times New Roman"/>
          <w:color w:val="auto"/>
          <w:vertAlign w:val="superscript"/>
        </w:rPr>
        <w:t xml:space="preserve">+ </w:t>
      </w:r>
      <w:r>
        <w:rPr>
          <w:rFonts w:hint="default" w:ascii="Times New Roman" w:hAnsi="Times New Roman" w:cs="Times New Roman"/>
          <w:color w:val="auto"/>
        </w:rPr>
        <w:t>含量及矿化度沿地下水径流方向不断增高，矿化度0.51-0.58g/L，具有Na</w:t>
      </w:r>
      <w:r>
        <w:rPr>
          <w:rFonts w:hint="default" w:ascii="Times New Roman" w:hAnsi="Times New Roman" w:cs="Times New Roman"/>
          <w:color w:val="auto"/>
          <w:vertAlign w:val="superscript"/>
        </w:rPr>
        <w:t xml:space="preserve">+ </w:t>
      </w:r>
      <w:r>
        <w:rPr>
          <w:rFonts w:hint="default" w:ascii="Times New Roman" w:hAnsi="Times New Roman" w:cs="Times New Roman"/>
          <w:color w:val="auto"/>
        </w:rPr>
        <w:t>含量高，矿化度低的特点。在马颊河流经的地段，由于河水大量补给、与潜水混合和脱硫酸等化学作用潜水中普遍检出H</w:t>
      </w:r>
      <w:r>
        <w:rPr>
          <w:rFonts w:hint="default" w:ascii="Times New Roman" w:hAnsi="Times New Roman" w:cs="Times New Roman"/>
          <w:color w:val="auto"/>
          <w:vertAlign w:val="subscript"/>
        </w:rPr>
        <w:t>2</w:t>
      </w:r>
      <w:r>
        <w:rPr>
          <w:rFonts w:hint="default" w:ascii="Times New Roman" w:hAnsi="Times New Roman" w:cs="Times New Roman"/>
          <w:color w:val="auto"/>
        </w:rPr>
        <w:t>S，局部地形低洼地区，形成Cl·SO</w:t>
      </w:r>
      <w:r>
        <w:rPr>
          <w:rFonts w:hint="default" w:ascii="Times New Roman" w:hAnsi="Times New Roman" w:cs="Times New Roman"/>
          <w:color w:val="auto"/>
          <w:vertAlign w:val="subscript"/>
        </w:rPr>
        <w:t>4</w:t>
      </w:r>
      <w:r>
        <w:rPr>
          <w:rFonts w:hint="default" w:ascii="Times New Roman" w:hAnsi="Times New Roman" w:cs="Times New Roman"/>
          <w:color w:val="auto"/>
        </w:rPr>
        <w:t>·HCO</w:t>
      </w:r>
      <w:r>
        <w:rPr>
          <w:rFonts w:hint="default" w:ascii="Times New Roman" w:hAnsi="Times New Roman" w:cs="Times New Roman"/>
          <w:color w:val="auto"/>
          <w:vertAlign w:val="subscript"/>
        </w:rPr>
        <w:t>3</w:t>
      </w:r>
      <w:r>
        <w:rPr>
          <w:rFonts w:hint="default" w:ascii="Times New Roman" w:hAnsi="Times New Roman" w:cs="Times New Roman"/>
          <w:color w:val="auto"/>
        </w:rPr>
        <w:t>型水。</w:t>
      </w:r>
    </w:p>
    <w:p>
      <w:pPr>
        <w:tabs>
          <w:tab w:val="left" w:pos="540"/>
        </w:tabs>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②</w:t>
      </w:r>
      <w:r>
        <w:rPr>
          <w:rFonts w:hint="default" w:ascii="Times New Roman" w:hAnsi="Times New Roman" w:cs="Times New Roman"/>
          <w:color w:val="auto"/>
        </w:rPr>
        <w:fldChar w:fldCharType="end"/>
      </w:r>
      <w:r>
        <w:rPr>
          <w:rFonts w:hint="default" w:ascii="Times New Roman" w:hAnsi="Times New Roman" w:cs="Times New Roman"/>
          <w:color w:val="auto"/>
        </w:rPr>
        <w:t>浅层承压含水系统</w:t>
      </w:r>
    </w:p>
    <w:p>
      <w:pPr>
        <w:tabs>
          <w:tab w:val="left" w:pos="540"/>
        </w:tabs>
        <w:ind w:firstLine="480"/>
        <w:rPr>
          <w:rFonts w:hint="default" w:ascii="Times New Roman" w:hAnsi="Times New Roman" w:cs="Times New Roman"/>
          <w:color w:val="auto"/>
        </w:rPr>
      </w:pPr>
      <w:r>
        <w:rPr>
          <w:rFonts w:hint="default" w:ascii="Times New Roman" w:hAnsi="Times New Roman" w:cs="Times New Roman"/>
          <w:color w:val="auto"/>
        </w:rPr>
        <w:t>该含水系统由上更新统黄河冲积物所组成，其底板厚度为80-103m，顶部有一层粘土、亚粘土、亚砂土所组成的4-20m厚相对隔水层，与上部的潜水含水层系统隔开。区内浅层承压系统的富水性与古河道的分布和结构密切相关。古河道带渗透性强，地下水补给条件良好，单井涌水量大，水量较丰富；而古河道间带颗粒细，渗透性差，单井涌水量小。根据河南省水文地质一队提供的资料，濮阳市境内又分为中等富水区和强富水区。中等富水区单井涌水量5-10m</w:t>
      </w:r>
      <w:r>
        <w:rPr>
          <w:rFonts w:hint="default" w:ascii="Times New Roman" w:hAnsi="Times New Roman" w:cs="Times New Roman"/>
          <w:color w:val="auto"/>
          <w:vertAlign w:val="superscript"/>
        </w:rPr>
        <w:t>3</w:t>
      </w:r>
      <w:r>
        <w:rPr>
          <w:rFonts w:hint="default" w:ascii="Times New Roman" w:hAnsi="Times New Roman" w:cs="Times New Roman"/>
          <w:color w:val="auto"/>
        </w:rPr>
        <w:t>/h，含水层厚度10-20m，濮阳市区在该区内；该富水区单井涌水量10-30m</w:t>
      </w:r>
      <w:r>
        <w:rPr>
          <w:rFonts w:hint="default" w:ascii="Times New Roman" w:hAnsi="Times New Roman" w:cs="Times New Roman"/>
          <w:color w:val="auto"/>
          <w:vertAlign w:val="superscript"/>
        </w:rPr>
        <w:t>3</w:t>
      </w:r>
      <w:r>
        <w:rPr>
          <w:rFonts w:hint="default" w:ascii="Times New Roman" w:hAnsi="Times New Roman" w:cs="Times New Roman"/>
          <w:color w:val="auto"/>
        </w:rPr>
        <w:t>/h，含水层多为中、细砂，局部粗砂，厚度10-30m，区内有两处呈带状分布，一处在花园屯—戚城—油田供应处—油田物探公司—大寨一线，一处在皇甫—后范庄—马庄桥一带。该含水层接受潜水越流及区域径流补给，以人工开采为主要排泄途径，含盐量小于1mg/L，是生活和工业用水的主要地下水源。</w:t>
      </w:r>
    </w:p>
    <w:p>
      <w:pPr>
        <w:tabs>
          <w:tab w:val="left" w:pos="540"/>
        </w:tabs>
        <w:ind w:firstLine="480"/>
        <w:rPr>
          <w:rFonts w:hint="default" w:ascii="Times New Roman" w:hAnsi="Times New Roman" w:cs="Times New Roman"/>
          <w:color w:val="auto"/>
        </w:rPr>
      </w:pPr>
      <w:r>
        <w:rPr>
          <w:rFonts w:hint="default" w:ascii="Times New Roman" w:hAnsi="Times New Roman" w:cs="Times New Roman"/>
          <w:color w:val="auto"/>
        </w:rPr>
        <w:t>浅层承压水以HCO</w:t>
      </w:r>
      <w:r>
        <w:rPr>
          <w:rFonts w:hint="default" w:ascii="Times New Roman" w:hAnsi="Times New Roman" w:cs="Times New Roman"/>
          <w:color w:val="auto"/>
          <w:vertAlign w:val="subscript"/>
        </w:rPr>
        <w:t>3</w:t>
      </w:r>
      <w:r>
        <w:rPr>
          <w:rFonts w:hint="default" w:ascii="Times New Roman" w:hAnsi="Times New Roman" w:cs="Times New Roman"/>
          <w:color w:val="auto"/>
          <w:vertAlign w:val="superscript"/>
        </w:rPr>
        <w:t>-</w:t>
      </w:r>
      <w:r>
        <w:rPr>
          <w:rFonts w:hint="default" w:ascii="Times New Roman" w:hAnsi="Times New Roman" w:cs="Times New Roman"/>
          <w:color w:val="auto"/>
        </w:rPr>
        <w:t>型水为主，矿化度0.7-1.1g/L，绝大部分小于1.0g/L，水质较好，阳离子呈带状分布。总的来说，沿地下水流向由于Ca</w:t>
      </w:r>
      <w:r>
        <w:rPr>
          <w:rFonts w:hint="default" w:ascii="Times New Roman" w:hAnsi="Times New Roman" w:cs="Times New Roman"/>
          <w:color w:val="auto"/>
          <w:vertAlign w:val="superscript"/>
        </w:rPr>
        <w:t>2+</w:t>
      </w:r>
      <w:r>
        <w:rPr>
          <w:rFonts w:hint="default" w:ascii="Times New Roman" w:hAnsi="Times New Roman" w:cs="Times New Roman"/>
          <w:color w:val="auto"/>
        </w:rPr>
        <w:t>、Mg</w:t>
      </w:r>
      <w:r>
        <w:rPr>
          <w:rFonts w:hint="default" w:ascii="Times New Roman" w:hAnsi="Times New Roman" w:cs="Times New Roman"/>
          <w:color w:val="auto"/>
          <w:vertAlign w:val="superscript"/>
        </w:rPr>
        <w:t>2+</w:t>
      </w:r>
      <w:r>
        <w:rPr>
          <w:rFonts w:hint="default" w:ascii="Times New Roman" w:hAnsi="Times New Roman" w:cs="Times New Roman"/>
          <w:color w:val="auto"/>
        </w:rPr>
        <w:t>与Na</w:t>
      </w:r>
      <w:r>
        <w:rPr>
          <w:rFonts w:hint="default" w:ascii="Times New Roman" w:hAnsi="Times New Roman" w:cs="Times New Roman"/>
          <w:color w:val="auto"/>
          <w:vertAlign w:val="superscript"/>
        </w:rPr>
        <w:t>+</w:t>
      </w:r>
      <w:r>
        <w:rPr>
          <w:rFonts w:hint="default" w:ascii="Times New Roman" w:hAnsi="Times New Roman" w:cs="Times New Roman"/>
          <w:color w:val="auto"/>
        </w:rPr>
        <w:t>交换所致，使浅层承压水化学类型由HCO</w:t>
      </w:r>
      <w:r>
        <w:rPr>
          <w:rFonts w:hint="default" w:ascii="Times New Roman" w:hAnsi="Times New Roman" w:cs="Times New Roman"/>
          <w:color w:val="auto"/>
          <w:vertAlign w:val="subscript"/>
        </w:rPr>
        <w:t>3</w:t>
      </w:r>
      <w:r>
        <w:rPr>
          <w:rFonts w:hint="default" w:ascii="Times New Roman" w:hAnsi="Times New Roman" w:cs="Times New Roman"/>
          <w:color w:val="auto"/>
        </w:rPr>
        <w:t>—Ca·Mg型水向HCO</w:t>
      </w:r>
      <w:r>
        <w:rPr>
          <w:rFonts w:hint="default" w:ascii="Times New Roman" w:hAnsi="Times New Roman" w:cs="Times New Roman"/>
          <w:color w:val="auto"/>
          <w:vertAlign w:val="subscript"/>
        </w:rPr>
        <w:t>3</w:t>
      </w:r>
      <w:r>
        <w:rPr>
          <w:rFonts w:hint="default" w:ascii="Times New Roman" w:hAnsi="Times New Roman" w:cs="Times New Roman"/>
          <w:color w:val="auto"/>
        </w:rPr>
        <w:t>—Na·Mg·Ca型水转化地下水中。</w:t>
      </w:r>
    </w:p>
    <w:p>
      <w:pPr>
        <w:tabs>
          <w:tab w:val="left" w:pos="540"/>
        </w:tabs>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③</w:t>
      </w:r>
      <w:r>
        <w:rPr>
          <w:rFonts w:hint="default" w:ascii="Times New Roman" w:hAnsi="Times New Roman" w:cs="Times New Roman"/>
          <w:color w:val="auto"/>
        </w:rPr>
        <w:fldChar w:fldCharType="end"/>
      </w:r>
      <w:r>
        <w:rPr>
          <w:rFonts w:hint="default" w:ascii="Times New Roman" w:hAnsi="Times New Roman" w:cs="Times New Roman"/>
          <w:color w:val="auto"/>
        </w:rPr>
        <w:t>深层承压含水系统</w:t>
      </w:r>
    </w:p>
    <w:p>
      <w:pPr>
        <w:tabs>
          <w:tab w:val="left" w:pos="540"/>
        </w:tabs>
        <w:ind w:firstLine="480"/>
        <w:rPr>
          <w:rFonts w:hint="default" w:ascii="Times New Roman" w:hAnsi="Times New Roman" w:cs="Times New Roman"/>
          <w:color w:val="auto"/>
        </w:rPr>
      </w:pPr>
      <w:r>
        <w:rPr>
          <w:rFonts w:hint="default" w:ascii="Times New Roman" w:hAnsi="Times New Roman" w:cs="Times New Roman"/>
          <w:color w:val="auto"/>
        </w:rPr>
        <w:t>深层承压含水系统由中、早更新统及上第三系河湖相地层所组成，其顶界埋深为90-103m，顶部有稳定且厚的粘性土层，将其与上层的浅层含水系统隔开。该含水系统在濮阳不同地区含水砂层分布差别较大。根据有关资料，铁丘南，在121.50-195.50m之间有三个含水层，总厚度28.5m，降深6.42m时，涌水量43.9m</w:t>
      </w:r>
      <w:r>
        <w:rPr>
          <w:rFonts w:hint="default" w:ascii="Times New Roman" w:hAnsi="Times New Roman" w:cs="Times New Roman"/>
          <w:color w:val="auto"/>
          <w:vertAlign w:val="superscript"/>
        </w:rPr>
        <w:t>3</w:t>
      </w:r>
      <w:r>
        <w:rPr>
          <w:rFonts w:hint="default" w:ascii="Times New Roman" w:hAnsi="Times New Roman" w:cs="Times New Roman"/>
          <w:color w:val="auto"/>
        </w:rPr>
        <w:t>/h（滤水管直径为146mm）；油田基地及柳屯地区含水砂层单层厚度较小，以粉细砂和中砂为主，一般可见6-8层，单井涌水量32-144m</w:t>
      </w:r>
      <w:r>
        <w:rPr>
          <w:rFonts w:hint="default" w:ascii="Times New Roman" w:hAnsi="Times New Roman" w:cs="Times New Roman"/>
          <w:color w:val="auto"/>
          <w:vertAlign w:val="superscript"/>
        </w:rPr>
        <w:t>3</w:t>
      </w:r>
      <w:r>
        <w:rPr>
          <w:rFonts w:hint="default" w:ascii="Times New Roman" w:hAnsi="Times New Roman" w:cs="Times New Roman"/>
          <w:color w:val="auto"/>
        </w:rPr>
        <w:t>/d；砂层厚度较大的地方，单井涌水量较大，如大寨—双庙及北昌湖—呼沱一线，降深15m时，单井涌水量可达1000-2000m</w:t>
      </w:r>
      <w:r>
        <w:rPr>
          <w:rFonts w:hint="default" w:ascii="Times New Roman" w:hAnsi="Times New Roman" w:cs="Times New Roman"/>
          <w:color w:val="auto"/>
          <w:vertAlign w:val="superscript"/>
        </w:rPr>
        <w:t>3</w:t>
      </w:r>
      <w:r>
        <w:rPr>
          <w:rFonts w:hint="default" w:ascii="Times New Roman" w:hAnsi="Times New Roman" w:cs="Times New Roman"/>
          <w:color w:val="auto"/>
        </w:rPr>
        <w:t>/d，其他地区单井涌水量一般小于1000m</w:t>
      </w:r>
      <w:r>
        <w:rPr>
          <w:rFonts w:hint="default" w:ascii="Times New Roman" w:hAnsi="Times New Roman" w:cs="Times New Roman"/>
          <w:color w:val="auto"/>
          <w:vertAlign w:val="superscript"/>
        </w:rPr>
        <w:t>3</w:t>
      </w:r>
      <w:r>
        <w:rPr>
          <w:rFonts w:hint="default" w:ascii="Times New Roman" w:hAnsi="Times New Roman" w:cs="Times New Roman"/>
          <w:color w:val="auto"/>
        </w:rPr>
        <w:t>/d。该含水系统与上部含水系统之间的联系微弱，与当地气象要素变化几乎无关，水质较差，为氯化物型微咸水。</w:t>
      </w:r>
    </w:p>
    <w:p>
      <w:pPr>
        <w:tabs>
          <w:tab w:val="left" w:pos="540"/>
        </w:tabs>
        <w:ind w:firstLine="480"/>
        <w:rPr>
          <w:rFonts w:hint="default" w:ascii="Times New Roman" w:hAnsi="Times New Roman" w:cs="Times New Roman"/>
          <w:color w:val="auto"/>
        </w:rPr>
      </w:pPr>
      <w:r>
        <w:rPr>
          <w:rFonts w:hint="default" w:ascii="Times New Roman" w:hAnsi="Times New Roman" w:cs="Times New Roman"/>
          <w:color w:val="auto"/>
        </w:rPr>
        <w:t>深层承压含水系统地下水化学类型以SO</w:t>
      </w:r>
      <w:r>
        <w:rPr>
          <w:rFonts w:hint="default" w:ascii="Times New Roman" w:hAnsi="Times New Roman" w:cs="Times New Roman"/>
          <w:color w:val="auto"/>
          <w:vertAlign w:val="subscript"/>
        </w:rPr>
        <w:t>4</w:t>
      </w:r>
      <w:r>
        <w:rPr>
          <w:rFonts w:hint="default" w:ascii="Times New Roman" w:hAnsi="Times New Roman" w:cs="Times New Roman"/>
          <w:color w:val="auto"/>
        </w:rPr>
        <w:t>·Cl—Na·Mg及HCO</w:t>
      </w:r>
      <w:r>
        <w:rPr>
          <w:rFonts w:hint="default" w:ascii="Times New Roman" w:hAnsi="Times New Roman" w:cs="Times New Roman"/>
          <w:color w:val="auto"/>
          <w:vertAlign w:val="subscript"/>
        </w:rPr>
        <w:t>3</w:t>
      </w:r>
      <w:r>
        <w:rPr>
          <w:rFonts w:hint="default" w:ascii="Times New Roman" w:hAnsi="Times New Roman" w:cs="Times New Roman"/>
          <w:color w:val="auto"/>
        </w:rPr>
        <w:t>·Cl—Na·Mg为主，矿化度0.89-2.1g/L，为微咸水，随深度增加，矿化度有增高的趋势，而硬度有减少的趋势，反应深层承压含水系统的湖相沉积背景和封闭还原的水文地球环境，不宜作为饮用水水源。</w:t>
      </w:r>
    </w:p>
    <w:p>
      <w:pPr>
        <w:ind w:firstLine="480"/>
        <w:outlineLvl w:val="3"/>
        <w:rPr>
          <w:rFonts w:hint="default" w:ascii="Times New Roman" w:hAnsi="Times New Roman" w:cs="Times New Roman"/>
          <w:color w:val="auto"/>
        </w:rPr>
      </w:pPr>
      <w:r>
        <w:rPr>
          <w:rFonts w:hint="default" w:ascii="Times New Roman" w:hAnsi="Times New Roman" w:cs="Times New Roman"/>
          <w:color w:val="auto"/>
        </w:rPr>
        <w:t>5.2.3.2本项目周边地下水开采利用现状</w:t>
      </w:r>
    </w:p>
    <w:p>
      <w:pPr>
        <w:ind w:firstLine="480"/>
        <w:rPr>
          <w:rFonts w:hint="default" w:ascii="Times New Roman" w:hAnsi="Times New Roman" w:cs="Times New Roman"/>
          <w:color w:val="auto"/>
          <w:kern w:val="0"/>
        </w:rPr>
      </w:pPr>
      <w:r>
        <w:rPr>
          <w:rFonts w:hint="default" w:ascii="Times New Roman" w:hAnsi="Times New Roman" w:cs="Times New Roman"/>
          <w:color w:val="auto"/>
        </w:rPr>
        <w:t>距本项目最近的水源地保护区为清丰县韩村乡地下水井群，位于本项目南侧1.7km处，不在饮用水源保护区范围内。含水层岩性以细砂、中西细砂为主，含水岩组为松散岩类孔隙水。</w:t>
      </w:r>
      <w:r>
        <w:rPr>
          <w:rFonts w:hint="default" w:ascii="Times New Roman" w:hAnsi="Times New Roman" w:cs="Times New Roman"/>
          <w:color w:val="auto"/>
          <w:kern w:val="0"/>
        </w:rPr>
        <w:t>本项目附近村民生活用水采用村庄集中供水，一般分布在村庄中间，取水井井深100m以上；村民分散的自备水井，多用来提供洗衣服及灌溉等其他用水。</w:t>
      </w:r>
    </w:p>
    <w:p>
      <w:pPr>
        <w:ind w:firstLine="480"/>
        <w:outlineLvl w:val="3"/>
        <w:rPr>
          <w:rFonts w:hint="default" w:ascii="Times New Roman" w:hAnsi="Times New Roman" w:cs="Times New Roman"/>
          <w:color w:val="auto"/>
        </w:rPr>
      </w:pPr>
      <w:r>
        <w:rPr>
          <w:rFonts w:hint="default" w:ascii="Times New Roman" w:hAnsi="Times New Roman" w:cs="Times New Roman"/>
          <w:color w:val="auto"/>
        </w:rPr>
        <w:t>5.2.3.3污染源调查</w:t>
      </w:r>
    </w:p>
    <w:p>
      <w:pPr>
        <w:ind w:firstLine="480"/>
        <w:rPr>
          <w:rFonts w:hint="default" w:ascii="Times New Roman" w:hAnsi="Times New Roman" w:cs="Times New Roman"/>
          <w:color w:val="auto"/>
        </w:rPr>
      </w:pPr>
      <w:r>
        <w:rPr>
          <w:rFonts w:hint="default" w:ascii="Times New Roman" w:hAnsi="Times New Roman" w:cs="Times New Roman"/>
          <w:color w:val="auto"/>
        </w:rPr>
        <w:t>本项目区地处农村，区域没有工业污染源存在，区域污染源主要为农村面源污染。农村</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"http://www.baike.com/sowiki/%E9%9D%A2%E6%BA%90%E6%B1%A1%E6%9F%93?prd=content_doc_search" \t "_blank" \o "面源污染" </w:instrText>
      </w:r>
      <w:r>
        <w:rPr>
          <w:rFonts w:hint="default" w:ascii="Times New Roman" w:hAnsi="Times New Roman" w:cs="Times New Roman"/>
          <w:color w:val="auto"/>
        </w:rPr>
        <w:fldChar w:fldCharType="separate"/>
      </w:r>
      <w:r>
        <w:rPr>
          <w:rFonts w:hint="default" w:ascii="Times New Roman" w:hAnsi="Times New Roman" w:cs="Times New Roman"/>
          <w:color w:val="auto"/>
        </w:rPr>
        <w:t>面源污染</w:t>
      </w:r>
      <w:r>
        <w:rPr>
          <w:rFonts w:hint="default" w:ascii="Times New Roman" w:hAnsi="Times New Roman" w:cs="Times New Roman"/>
          <w:color w:val="auto"/>
        </w:rPr>
        <w:fldChar w:fldCharType="end"/>
      </w:r>
      <w:r>
        <w:rPr>
          <w:rFonts w:hint="default" w:ascii="Times New Roman" w:hAnsi="Times New Roman" w:cs="Times New Roman"/>
          <w:color w:val="auto"/>
        </w:rPr>
        <w:t>农田中大量使用化肥和农药，生活污水无组织排放。</w:t>
      </w:r>
    </w:p>
    <w:p>
      <w:pPr>
        <w:ind w:firstLine="480"/>
        <w:outlineLvl w:val="3"/>
        <w:rPr>
          <w:rFonts w:hint="default" w:ascii="Times New Roman" w:hAnsi="Times New Roman" w:cs="Times New Roman"/>
          <w:color w:val="auto"/>
        </w:rPr>
      </w:pPr>
      <w:r>
        <w:rPr>
          <w:rFonts w:hint="default" w:ascii="Times New Roman" w:hAnsi="Times New Roman" w:cs="Times New Roman"/>
          <w:color w:val="auto"/>
        </w:rPr>
        <w:t>5.2.3.4评价工作等级的确定</w:t>
      </w:r>
    </w:p>
    <w:p>
      <w:pPr>
        <w:ind w:firstLine="480"/>
        <w:rPr>
          <w:rFonts w:hint="default" w:ascii="Times New Roman" w:hAnsi="Times New Roman" w:eastAsia="黑体" w:cs="Times New Roman"/>
          <w:color w:val="auto"/>
          <w:szCs w:val="21"/>
        </w:rPr>
      </w:pPr>
      <w:r>
        <w:rPr>
          <w:rFonts w:hint="default" w:ascii="Times New Roman" w:hAnsi="Times New Roman" w:cs="Times New Roman"/>
          <w:color w:val="auto"/>
        </w:rPr>
        <w:t>根据《环境影响评价技术导则（地下水环境）》（HJ610-2016）地下水环境影响评价行业分类表（附录A），本项目属于B农、林、牧、渔、海洋类中第14条“畜禽养殖场、养殖小区”类，为</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ROMAN </w:instrText>
      </w:r>
      <w:r>
        <w:rPr>
          <w:rFonts w:hint="default" w:ascii="Times New Roman" w:hAnsi="Times New Roman" w:cs="Times New Roman"/>
          <w:color w:val="auto"/>
        </w:rPr>
        <w:fldChar w:fldCharType="separate"/>
      </w:r>
      <w:r>
        <w:rPr>
          <w:rFonts w:hint="default" w:ascii="Times New Roman" w:hAnsi="Times New Roman" w:cs="Times New Roman"/>
          <w:color w:val="auto"/>
        </w:rPr>
        <w:t>III</w:t>
      </w:r>
      <w:r>
        <w:rPr>
          <w:rFonts w:hint="default" w:ascii="Times New Roman" w:hAnsi="Times New Roman" w:cs="Times New Roman"/>
          <w:color w:val="auto"/>
        </w:rPr>
        <w:fldChar w:fldCharType="end"/>
      </w:r>
      <w:r>
        <w:rPr>
          <w:rFonts w:hint="default" w:ascii="Times New Roman" w:hAnsi="Times New Roman" w:cs="Times New Roman"/>
          <w:color w:val="auto"/>
        </w:rPr>
        <w:t>类项目，本项目地下水敏感程度为不敏感，根据评价工作等级划分表，本项目地下水评价等级为三级，评价范围以项目区西南侧0.1km，项目两侧1.5km，东北侧（下游）1.9km的区域，约6km</w:t>
      </w:r>
      <w:r>
        <w:rPr>
          <w:rFonts w:hint="default" w:ascii="Times New Roman" w:hAnsi="Times New Roman" w:cs="Times New Roman"/>
          <w:color w:val="auto"/>
          <w:vertAlign w:val="superscript"/>
        </w:rPr>
        <w:t>2</w:t>
      </w:r>
      <w:r>
        <w:rPr>
          <w:rFonts w:hint="default" w:ascii="Times New Roman" w:hAnsi="Times New Roman" w:cs="Times New Roman"/>
          <w:color w:val="auto"/>
        </w:rPr>
        <w:t>范围。地下水划分工作等级表详见表5.2-</w:t>
      </w:r>
      <w:r>
        <w:rPr>
          <w:rFonts w:hint="eastAsia" w:cs="Times New Roman"/>
          <w:color w:val="auto"/>
          <w:lang w:val="en-US" w:eastAsia="zh-CN"/>
        </w:rPr>
        <w:t>27</w:t>
      </w:r>
      <w:r>
        <w:rPr>
          <w:rFonts w:hint="default" w:ascii="Times New Roman" w:hAnsi="Times New Roman" w:cs="Times New Roman"/>
          <w:color w:val="auto"/>
        </w:rPr>
        <w:t>。</w:t>
      </w:r>
    </w:p>
    <w:p>
      <w:pPr>
        <w:spacing w:afterLines="30" w:line="500" w:lineRule="exact"/>
        <w:ind w:left="851"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表5.2-</w:t>
      </w:r>
      <w:r>
        <w:rPr>
          <w:rFonts w:hint="eastAsia" w:cs="Times New Roman"/>
          <w:b/>
          <w:color w:val="auto"/>
          <w:szCs w:val="21"/>
          <w:lang w:val="en-US" w:eastAsia="zh-CN"/>
        </w:rPr>
        <w:t>27</w:t>
      </w:r>
      <w:r>
        <w:rPr>
          <w:rFonts w:hint="default" w:ascii="Times New Roman" w:hAnsi="Times New Roman" w:cs="Times New Roman"/>
          <w:b/>
          <w:color w:val="auto"/>
          <w:szCs w:val="21"/>
        </w:rPr>
        <w:t xml:space="preserve">                      评价工作等级分级别</w:t>
      </w:r>
    </w:p>
    <w:tbl>
      <w:tblPr>
        <w:tblStyle w:val="25"/>
        <w:tblW w:w="9060" w:type="dxa"/>
        <w:tblInd w:w="0"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265"/>
        <w:gridCol w:w="2265"/>
        <w:gridCol w:w="2265"/>
        <w:gridCol w:w="2265"/>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6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项目类别</w:t>
            </w:r>
          </w:p>
          <w:p>
            <w:pPr>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环境敏感程度</w:t>
            </w:r>
          </w:p>
        </w:tc>
        <w:tc>
          <w:tcPr>
            <w:tcW w:w="226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1 \* ROMAN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I</w:t>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类项目</w:t>
            </w:r>
          </w:p>
        </w:tc>
        <w:tc>
          <w:tcPr>
            <w:tcW w:w="226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2 \* ROMAN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II</w:t>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类项目</w:t>
            </w:r>
          </w:p>
        </w:tc>
        <w:tc>
          <w:tcPr>
            <w:tcW w:w="226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 3 \* ROMAN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t>III</w:t>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类项目</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6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敏感</w:t>
            </w:r>
          </w:p>
        </w:tc>
        <w:tc>
          <w:tcPr>
            <w:tcW w:w="226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w:t>
            </w:r>
          </w:p>
        </w:tc>
        <w:tc>
          <w:tcPr>
            <w:tcW w:w="226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w:t>
            </w:r>
          </w:p>
        </w:tc>
        <w:tc>
          <w:tcPr>
            <w:tcW w:w="226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6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较敏感</w:t>
            </w:r>
          </w:p>
        </w:tc>
        <w:tc>
          <w:tcPr>
            <w:tcW w:w="226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w:t>
            </w:r>
          </w:p>
        </w:tc>
        <w:tc>
          <w:tcPr>
            <w:tcW w:w="226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w:t>
            </w:r>
          </w:p>
        </w:tc>
        <w:tc>
          <w:tcPr>
            <w:tcW w:w="226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6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不敏感</w:t>
            </w:r>
          </w:p>
        </w:tc>
        <w:tc>
          <w:tcPr>
            <w:tcW w:w="226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w:t>
            </w:r>
          </w:p>
        </w:tc>
        <w:tc>
          <w:tcPr>
            <w:tcW w:w="226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w:t>
            </w:r>
          </w:p>
        </w:tc>
        <w:tc>
          <w:tcPr>
            <w:tcW w:w="226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三</w:t>
            </w:r>
          </w:p>
        </w:tc>
      </w:tr>
    </w:tbl>
    <w:p>
      <w:pPr>
        <w:spacing w:line="500" w:lineRule="exact"/>
        <w:ind w:firstLine="482"/>
        <w:outlineLvl w:val="2"/>
        <w:rPr>
          <w:rFonts w:hint="default" w:ascii="Times New Roman" w:hAnsi="Times New Roman" w:cs="Times New Roman"/>
          <w:b/>
          <w:color w:val="auto"/>
        </w:rPr>
      </w:pPr>
      <w:r>
        <w:rPr>
          <w:rFonts w:hint="default" w:ascii="Times New Roman" w:hAnsi="Times New Roman" w:cs="Times New Roman"/>
          <w:b/>
          <w:color w:val="auto"/>
        </w:rPr>
        <w:t>5.2.3.4地下水环境影响预测</w:t>
      </w:r>
    </w:p>
    <w:p>
      <w:pPr>
        <w:spacing w:line="500" w:lineRule="exact"/>
        <w:ind w:firstLine="480"/>
        <w:rPr>
          <w:rFonts w:hint="default" w:ascii="Times New Roman" w:hAnsi="Times New Roman" w:cs="Times New Roman"/>
          <w:bCs/>
          <w:color w:val="auto"/>
        </w:rPr>
      </w:pPr>
      <w:r>
        <w:rPr>
          <w:rFonts w:hint="default" w:ascii="Times New Roman" w:hAnsi="Times New Roman" w:cs="Times New Roman"/>
          <w:bCs/>
          <w:color w:val="auto"/>
        </w:rPr>
        <w:t>本项目为生猪养殖项目，营运期间无废水排放，项目对地下水的影响主要为</w:t>
      </w:r>
      <w:r>
        <w:rPr>
          <w:rFonts w:hint="default" w:ascii="Times New Roman" w:hAnsi="Times New Roman" w:cs="Times New Roman"/>
          <w:bCs/>
          <w:color w:val="auto"/>
          <w:lang w:eastAsia="zh-CN"/>
        </w:rPr>
        <w:t>沼液存储池</w:t>
      </w:r>
      <w:r>
        <w:rPr>
          <w:rFonts w:hint="default" w:ascii="Times New Roman" w:hAnsi="Times New Roman" w:cs="Times New Roman"/>
          <w:bCs/>
          <w:color w:val="auto"/>
        </w:rPr>
        <w:t>防渗衬层达不到防渗效果时沼液泄漏对地下水的影响。</w:t>
      </w:r>
    </w:p>
    <w:p>
      <w:pPr>
        <w:spacing w:line="500" w:lineRule="exact"/>
        <w:ind w:firstLine="480"/>
        <w:rPr>
          <w:rFonts w:hint="default" w:ascii="Times New Roman" w:hAnsi="Times New Roman" w:cs="Times New Roman"/>
          <w:bCs/>
          <w:color w:val="auto"/>
        </w:rPr>
      </w:pPr>
      <w:r>
        <w:rPr>
          <w:rFonts w:hint="default" w:ascii="Times New Roman" w:hAnsi="Times New Roman" w:cs="Times New Roman"/>
          <w:bCs/>
          <w:color w:val="auto"/>
        </w:rPr>
        <w:t>（1）预测范围</w:t>
      </w:r>
    </w:p>
    <w:p>
      <w:pPr>
        <w:spacing w:line="500" w:lineRule="exact"/>
        <w:ind w:firstLine="480"/>
        <w:rPr>
          <w:rFonts w:hint="default" w:ascii="Times New Roman" w:hAnsi="Times New Roman" w:cs="Times New Roman"/>
          <w:bCs/>
          <w:color w:val="auto"/>
        </w:rPr>
      </w:pPr>
      <w:r>
        <w:rPr>
          <w:rFonts w:hint="default" w:ascii="Times New Roman" w:hAnsi="Times New Roman" w:cs="Times New Roman"/>
          <w:bCs/>
          <w:color w:val="auto"/>
        </w:rPr>
        <w:t>根据《环境影响评价技术导则地下水环境》（HJ610-2016）的要求，本次地下水环境影响评价预测范围与地下水现状调查范围一致，即：以本项目猪舍和粪污处置场地为中心6km</w:t>
      </w:r>
      <w:r>
        <w:rPr>
          <w:rFonts w:hint="default" w:ascii="Times New Roman" w:hAnsi="Times New Roman" w:cs="Times New Roman"/>
          <w:bCs/>
          <w:color w:val="auto"/>
          <w:vertAlign w:val="superscript"/>
        </w:rPr>
        <w:t>2</w:t>
      </w:r>
      <w:r>
        <w:rPr>
          <w:rFonts w:hint="default" w:ascii="Times New Roman" w:hAnsi="Times New Roman" w:cs="Times New Roman"/>
          <w:bCs/>
          <w:color w:val="auto"/>
        </w:rPr>
        <w:t>的区域。预测层位为地下水的潜水含水层。</w:t>
      </w:r>
    </w:p>
    <w:p>
      <w:pPr>
        <w:spacing w:line="500" w:lineRule="exact"/>
        <w:ind w:firstLine="480"/>
        <w:rPr>
          <w:rFonts w:hint="default" w:ascii="Times New Roman" w:hAnsi="Times New Roman" w:cs="Times New Roman"/>
          <w:bCs/>
          <w:color w:val="auto"/>
        </w:rPr>
      </w:pPr>
      <w:r>
        <w:rPr>
          <w:rFonts w:hint="default" w:ascii="Times New Roman" w:hAnsi="Times New Roman" w:cs="Times New Roman"/>
          <w:bCs/>
          <w:color w:val="auto"/>
        </w:rPr>
        <w:t>（2）预测时段</w:t>
      </w:r>
    </w:p>
    <w:p>
      <w:pPr>
        <w:spacing w:line="500" w:lineRule="exact"/>
        <w:ind w:firstLine="480"/>
        <w:rPr>
          <w:rFonts w:hint="default" w:ascii="Times New Roman" w:hAnsi="Times New Roman" w:cs="Times New Roman"/>
          <w:bCs/>
          <w:color w:val="auto"/>
        </w:rPr>
      </w:pPr>
      <w:r>
        <w:rPr>
          <w:rFonts w:hint="default" w:ascii="Times New Roman" w:hAnsi="Times New Roman" w:cs="Times New Roman"/>
          <w:bCs/>
          <w:color w:val="auto"/>
        </w:rPr>
        <w:t>结合地下水跟踪监测的频率（1次/季度），预测时段设定为发生泄漏后的100天和1000天。</w:t>
      </w:r>
    </w:p>
    <w:p>
      <w:pPr>
        <w:spacing w:line="500" w:lineRule="exact"/>
        <w:ind w:firstLine="480"/>
        <w:rPr>
          <w:rFonts w:hint="default" w:ascii="Times New Roman" w:hAnsi="Times New Roman" w:cs="Times New Roman"/>
          <w:bCs/>
          <w:color w:val="auto"/>
        </w:rPr>
      </w:pPr>
      <w:r>
        <w:rPr>
          <w:rFonts w:hint="default" w:ascii="Times New Roman" w:hAnsi="Times New Roman" w:cs="Times New Roman"/>
          <w:bCs/>
          <w:color w:val="auto"/>
        </w:rPr>
        <w:t>3、情景设置</w:t>
      </w:r>
    </w:p>
    <w:p>
      <w:pPr>
        <w:spacing w:line="500" w:lineRule="exact"/>
        <w:ind w:firstLine="480"/>
        <w:rPr>
          <w:rFonts w:hint="default" w:ascii="Times New Roman" w:hAnsi="Times New Roman" w:cs="Times New Roman"/>
          <w:bCs/>
          <w:color w:val="auto"/>
        </w:rPr>
      </w:pPr>
      <w:r>
        <w:rPr>
          <w:rFonts w:hint="default" w:ascii="Times New Roman" w:hAnsi="Times New Roman" w:cs="Times New Roman"/>
          <w:bCs/>
          <w:color w:val="auto"/>
        </w:rPr>
        <w:t>根据《环境影响评价技术导则 地下水环境》（HJ610-2016），本项目场区划分为重点防渗区及一般防渗区，根据防渗级别采取不同的防渗材料，地下水防渗措施均为目前养殖行业普遍采用的成熟措施，</w:t>
      </w:r>
      <w:r>
        <w:rPr>
          <w:rFonts w:hint="default" w:ascii="Times New Roman" w:hAnsi="Times New Roman" w:cs="Times New Roman"/>
          <w:bCs/>
          <w:color w:val="auto"/>
          <w:lang w:eastAsia="zh-CN"/>
        </w:rPr>
        <w:t>沼液存储池</w:t>
      </w:r>
      <w:r>
        <w:rPr>
          <w:rFonts w:hint="default" w:ascii="Times New Roman" w:hAnsi="Times New Roman" w:cs="Times New Roman"/>
          <w:bCs/>
          <w:color w:val="auto"/>
        </w:rPr>
        <w:t>在清场夯压的基础上铺设HDPE膜，渗透系数1.0×10</w:t>
      </w:r>
      <w:r>
        <w:rPr>
          <w:rFonts w:hint="default" w:ascii="Times New Roman" w:hAnsi="Times New Roman" w:cs="Times New Roman"/>
          <w:bCs/>
          <w:color w:val="auto"/>
          <w:vertAlign w:val="superscript"/>
        </w:rPr>
        <w:t>-10</w:t>
      </w:r>
      <w:r>
        <w:rPr>
          <w:rFonts w:hint="default" w:ascii="Times New Roman" w:hAnsi="Times New Roman" w:cs="Times New Roman"/>
          <w:bCs/>
          <w:color w:val="auto"/>
        </w:rPr>
        <w:t>cm/s，符合（GB18597-2001）、（GB18599-2001）的相关规定要求，故仅预测非正常状况下的影响结果。本次情景设置如下：</w:t>
      </w:r>
    </w:p>
    <w:p>
      <w:pPr>
        <w:spacing w:line="500" w:lineRule="exact"/>
        <w:ind w:firstLine="480"/>
        <w:rPr>
          <w:rFonts w:hint="default" w:ascii="Times New Roman" w:hAnsi="Times New Roman" w:cs="Times New Roman"/>
          <w:bCs/>
          <w:color w:val="auto"/>
        </w:rPr>
      </w:pPr>
      <w:r>
        <w:rPr>
          <w:rFonts w:hint="default" w:ascii="Times New Roman" w:hAnsi="Times New Roman" w:cs="Times New Roman"/>
          <w:bCs/>
          <w:color w:val="auto"/>
        </w:rPr>
        <w:t>非正常状况下：</w:t>
      </w:r>
      <w:r>
        <w:rPr>
          <w:rFonts w:hint="default" w:ascii="Times New Roman" w:hAnsi="Times New Roman" w:cs="Times New Roman"/>
          <w:bCs/>
          <w:color w:val="auto"/>
          <w:lang w:eastAsia="zh-CN"/>
        </w:rPr>
        <w:t>沼液存储池</w:t>
      </w:r>
      <w:r>
        <w:rPr>
          <w:rFonts w:hint="default" w:ascii="Times New Roman" w:hAnsi="Times New Roman" w:cs="Times New Roman"/>
          <w:bCs/>
          <w:color w:val="auto"/>
        </w:rPr>
        <w:t>防渗层达不到设计的防渗效果，沼液通过池底、池壁下渗经包气带进入潜层地下水对场界及下游保护目标进行预测。</w:t>
      </w:r>
    </w:p>
    <w:p>
      <w:pPr>
        <w:spacing w:line="500" w:lineRule="exact"/>
        <w:ind w:firstLine="480"/>
        <w:rPr>
          <w:rFonts w:hint="default" w:ascii="Times New Roman" w:hAnsi="Times New Roman" w:cs="Times New Roman"/>
          <w:bCs/>
          <w:color w:val="auto"/>
        </w:rPr>
      </w:pPr>
      <w:r>
        <w:rPr>
          <w:rFonts w:hint="default" w:ascii="Times New Roman" w:hAnsi="Times New Roman" w:cs="Times New Roman"/>
          <w:bCs/>
          <w:color w:val="auto"/>
        </w:rPr>
        <w:t>（3）预测因子</w:t>
      </w:r>
    </w:p>
    <w:p>
      <w:pPr>
        <w:spacing w:line="500" w:lineRule="exact"/>
        <w:ind w:firstLine="480"/>
        <w:rPr>
          <w:rFonts w:hint="default" w:ascii="Times New Roman" w:hAnsi="Times New Roman" w:cs="Times New Roman"/>
          <w:bCs/>
          <w:color w:val="auto"/>
        </w:rPr>
      </w:pPr>
      <w:r>
        <w:rPr>
          <w:rFonts w:hint="default" w:ascii="Times New Roman" w:hAnsi="Times New Roman" w:cs="Times New Roman"/>
          <w:bCs/>
          <w:color w:val="auto"/>
        </w:rPr>
        <w:t>本项目废水污染物特征因子不含重金属，不含持久性有机污染物，废水特征污染因子为COD、氨氮。</w:t>
      </w:r>
    </w:p>
    <w:p>
      <w:pPr>
        <w:spacing w:line="500" w:lineRule="exact"/>
        <w:ind w:firstLine="480"/>
        <w:rPr>
          <w:rFonts w:hint="default" w:ascii="Times New Roman" w:hAnsi="Times New Roman" w:cs="Times New Roman"/>
          <w:bCs/>
          <w:color w:val="auto"/>
        </w:rPr>
      </w:pPr>
      <w:r>
        <w:rPr>
          <w:rFonts w:hint="default" w:ascii="Times New Roman" w:hAnsi="Times New Roman" w:cs="Times New Roman"/>
          <w:bCs/>
          <w:color w:val="auto"/>
        </w:rPr>
        <w:t xml:space="preserve">（4）预测源强及预测模式 </w:t>
      </w:r>
    </w:p>
    <w:p>
      <w:pPr>
        <w:spacing w:line="500" w:lineRule="exact"/>
        <w:ind w:firstLine="480"/>
        <w:rPr>
          <w:rFonts w:hint="default" w:ascii="Times New Roman" w:hAnsi="Times New Roman" w:cs="Times New Roman"/>
          <w:bCs/>
          <w:color w:val="auto"/>
        </w:rPr>
      </w:pPr>
      <w:r>
        <w:rPr>
          <w:rFonts w:hint="default" w:ascii="Times New Roman" w:hAnsi="Times New Roman" w:cs="Times New Roman"/>
          <w:bCs/>
          <w:color w:val="auto"/>
        </w:rPr>
        <w:fldChar w:fldCharType="begin"/>
      </w:r>
      <w:r>
        <w:rPr>
          <w:rFonts w:hint="default" w:ascii="Times New Roman" w:hAnsi="Times New Roman" w:cs="Times New Roman"/>
          <w:bCs/>
          <w:color w:val="auto"/>
        </w:rPr>
        <w:instrText xml:space="preserve"> = 1 \* GB3 </w:instrText>
      </w:r>
      <w:r>
        <w:rPr>
          <w:rFonts w:hint="default" w:ascii="Times New Roman" w:hAnsi="Times New Roman" w:cs="Times New Roman"/>
          <w:bCs/>
          <w:color w:val="auto"/>
        </w:rPr>
        <w:fldChar w:fldCharType="separate"/>
      </w:r>
      <w:r>
        <w:rPr>
          <w:rFonts w:hint="default" w:ascii="Times New Roman" w:hAnsi="Times New Roman" w:cs="Times New Roman"/>
          <w:bCs/>
          <w:color w:val="auto"/>
        </w:rPr>
        <w:t>①</w:t>
      </w:r>
      <w:r>
        <w:rPr>
          <w:rFonts w:hint="default" w:ascii="Times New Roman" w:hAnsi="Times New Roman" w:cs="Times New Roman"/>
          <w:bCs/>
          <w:color w:val="auto"/>
        </w:rPr>
        <w:fldChar w:fldCharType="end"/>
      </w:r>
      <w:r>
        <w:rPr>
          <w:rFonts w:hint="default" w:ascii="Times New Roman" w:hAnsi="Times New Roman" w:cs="Times New Roman"/>
          <w:bCs/>
          <w:color w:val="auto"/>
        </w:rPr>
        <w:t>预测源强</w:t>
      </w:r>
    </w:p>
    <w:p>
      <w:pPr>
        <w:spacing w:line="500" w:lineRule="exact"/>
        <w:ind w:firstLine="480"/>
        <w:rPr>
          <w:rFonts w:hint="default" w:ascii="Times New Roman" w:hAnsi="Times New Roman" w:cs="Times New Roman"/>
          <w:bCs/>
          <w:color w:val="auto"/>
        </w:rPr>
      </w:pPr>
      <w:r>
        <w:rPr>
          <w:rFonts w:hint="default" w:ascii="Times New Roman" w:hAnsi="Times New Roman" w:cs="Times New Roman"/>
          <w:bCs/>
          <w:color w:val="auto"/>
        </w:rPr>
        <w:t>参照《给水排水构筑物工程施工及验收规范》（GB50141）中钢筋混凝土结构渗漏强度、渗漏量计算公式，确定本项目预测源强。其正常状况渗漏强度为：2L/（m</w:t>
      </w:r>
      <w:r>
        <w:rPr>
          <w:rFonts w:hint="default" w:ascii="Times New Roman" w:hAnsi="Times New Roman" w:cs="Times New Roman"/>
          <w:bCs/>
          <w:color w:val="auto"/>
          <w:vertAlign w:val="superscript"/>
        </w:rPr>
        <w:t>2</w:t>
      </w:r>
      <w:r>
        <w:rPr>
          <w:rFonts w:hint="default" w:ascii="Times New Roman" w:hAnsi="Times New Roman" w:cs="Times New Roman"/>
          <w:bCs/>
          <w:color w:val="auto"/>
        </w:rPr>
        <w:t>·d），非正常状况下泄漏强度按照正常状况下泄漏源强的10倍计，渗漏量（L/d）=渗漏面积（池底面积+池壁面积）×渗漏强度。考虑到本项目</w:t>
      </w:r>
      <w:r>
        <w:rPr>
          <w:rFonts w:hint="default" w:ascii="Times New Roman" w:hAnsi="Times New Roman" w:cs="Times New Roman"/>
          <w:bCs/>
          <w:color w:val="auto"/>
          <w:lang w:eastAsia="zh-CN"/>
        </w:rPr>
        <w:t>沼液存储池</w:t>
      </w:r>
      <w:r>
        <w:rPr>
          <w:rFonts w:hint="default" w:ascii="Times New Roman" w:hAnsi="Times New Roman" w:cs="Times New Roman"/>
          <w:bCs/>
          <w:color w:val="auto"/>
        </w:rPr>
        <w:t>占地面积较大，整个</w:t>
      </w:r>
      <w:r>
        <w:rPr>
          <w:rFonts w:hint="default" w:ascii="Times New Roman" w:hAnsi="Times New Roman" w:cs="Times New Roman"/>
          <w:bCs/>
          <w:color w:val="auto"/>
          <w:lang w:eastAsia="zh-CN"/>
        </w:rPr>
        <w:t>沼液存储池</w:t>
      </w:r>
      <w:r>
        <w:rPr>
          <w:rFonts w:hint="default" w:ascii="Times New Roman" w:hAnsi="Times New Roman" w:cs="Times New Roman"/>
          <w:bCs/>
          <w:color w:val="auto"/>
        </w:rPr>
        <w:t>同时发生防渗层达不到设计的防渗效果的可能性较小，故本项目非正常状况的渗漏面积按照</w:t>
      </w:r>
      <w:r>
        <w:rPr>
          <w:rFonts w:hint="default" w:ascii="Times New Roman" w:hAnsi="Times New Roman" w:cs="Times New Roman"/>
          <w:bCs/>
          <w:color w:val="auto"/>
          <w:lang w:eastAsia="zh-CN"/>
        </w:rPr>
        <w:t>沼液存储池</w:t>
      </w:r>
      <w:r>
        <w:rPr>
          <w:rFonts w:hint="default" w:ascii="Times New Roman" w:hAnsi="Times New Roman" w:cs="Times New Roman"/>
          <w:bCs/>
          <w:color w:val="auto"/>
        </w:rPr>
        <w:t xml:space="preserve">有效内表面积的10%计。 </w:t>
      </w:r>
    </w:p>
    <w:p>
      <w:pPr>
        <w:spacing w:line="500" w:lineRule="exact"/>
        <w:ind w:firstLine="480"/>
        <w:rPr>
          <w:rFonts w:hint="default" w:ascii="Times New Roman" w:hAnsi="Times New Roman" w:cs="Times New Roman"/>
          <w:bCs/>
          <w:color w:val="auto"/>
        </w:rPr>
      </w:pPr>
      <w:r>
        <w:rPr>
          <w:rFonts w:hint="default" w:ascii="Times New Roman" w:hAnsi="Times New Roman" w:cs="Times New Roman"/>
          <w:bCs/>
          <w:color w:val="auto"/>
        </w:rPr>
        <w:t>本项目按照</w:t>
      </w:r>
      <w:r>
        <w:rPr>
          <w:rFonts w:hint="default" w:ascii="Times New Roman" w:hAnsi="Times New Roman" w:cs="Times New Roman"/>
          <w:bCs/>
          <w:color w:val="auto"/>
          <w:lang w:eastAsia="zh-CN"/>
        </w:rPr>
        <w:t>沼液存储池</w:t>
      </w:r>
      <w:r>
        <w:rPr>
          <w:rFonts w:hint="default" w:ascii="Times New Roman" w:hAnsi="Times New Roman" w:cs="Times New Roman"/>
          <w:bCs/>
          <w:color w:val="auto"/>
        </w:rPr>
        <w:t>（41500m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）有效内表面积（池底面积+池壁面积）的10%为848.8m</w:t>
      </w:r>
      <w:r>
        <w:rPr>
          <w:rFonts w:hint="default" w:ascii="Times New Roman" w:hAnsi="Times New Roman" w:cs="Times New Roman"/>
          <w:bCs/>
          <w:color w:val="auto"/>
          <w:vertAlign w:val="superscript"/>
        </w:rPr>
        <w:t>2</w:t>
      </w:r>
      <w:r>
        <w:rPr>
          <w:rFonts w:hint="default" w:ascii="Times New Roman" w:hAnsi="Times New Roman" w:cs="Times New Roman"/>
          <w:bCs/>
          <w:color w:val="auto"/>
        </w:rPr>
        <w:t>，沼液渗漏量约为16.98m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。沼液中COD浓度为3000mg/L，氨氮为900mg/L，所以COD、氨氮泄漏量分别为COD 50.9kg，氨氮15.28kg。</w:t>
      </w:r>
    </w:p>
    <w:p>
      <w:pPr>
        <w:spacing w:line="500" w:lineRule="exact"/>
        <w:ind w:firstLine="480"/>
        <w:rPr>
          <w:rFonts w:hint="default" w:ascii="Times New Roman" w:hAnsi="Times New Roman" w:cs="Times New Roman"/>
          <w:bCs/>
          <w:color w:val="auto"/>
        </w:rPr>
      </w:pPr>
      <w:r>
        <w:rPr>
          <w:rFonts w:hint="default" w:ascii="Times New Roman" w:hAnsi="Times New Roman" w:cs="Times New Roman"/>
          <w:bCs/>
          <w:color w:val="auto"/>
        </w:rPr>
        <w:fldChar w:fldCharType="begin"/>
      </w:r>
      <w:r>
        <w:rPr>
          <w:rFonts w:hint="default" w:ascii="Times New Roman" w:hAnsi="Times New Roman" w:cs="Times New Roman"/>
          <w:bCs/>
          <w:color w:val="auto"/>
        </w:rPr>
        <w:instrText xml:space="preserve"> = 2 \* GB3 </w:instrText>
      </w:r>
      <w:r>
        <w:rPr>
          <w:rFonts w:hint="default" w:ascii="Times New Roman" w:hAnsi="Times New Roman" w:cs="Times New Roman"/>
          <w:bCs/>
          <w:color w:val="auto"/>
        </w:rPr>
        <w:fldChar w:fldCharType="separate"/>
      </w:r>
      <w:r>
        <w:rPr>
          <w:rFonts w:hint="default" w:ascii="Times New Roman" w:hAnsi="Times New Roman" w:cs="Times New Roman"/>
          <w:bCs/>
          <w:color w:val="auto"/>
        </w:rPr>
        <w:t>②</w:t>
      </w:r>
      <w:r>
        <w:rPr>
          <w:rFonts w:hint="default" w:ascii="Times New Roman" w:hAnsi="Times New Roman" w:cs="Times New Roman"/>
          <w:bCs/>
          <w:color w:val="auto"/>
        </w:rPr>
        <w:fldChar w:fldCharType="end"/>
      </w:r>
      <w:r>
        <w:rPr>
          <w:rFonts w:hint="default" w:ascii="Times New Roman" w:hAnsi="Times New Roman" w:cs="Times New Roman"/>
          <w:bCs/>
          <w:color w:val="auto"/>
        </w:rPr>
        <w:t>预测模型</w:t>
      </w:r>
    </w:p>
    <w:p>
      <w:pPr>
        <w:spacing w:line="500" w:lineRule="exact"/>
        <w:ind w:firstLine="480"/>
        <w:rPr>
          <w:rFonts w:hint="default" w:ascii="Times New Roman" w:hAnsi="Times New Roman" w:cs="Times New Roman"/>
          <w:bCs/>
          <w:color w:val="auto"/>
        </w:rPr>
      </w:pPr>
      <w:r>
        <w:rPr>
          <w:rFonts w:hint="default" w:ascii="Times New Roman" w:hAnsi="Times New Roman" w:cs="Times New Roman"/>
          <w:bCs/>
          <w:color w:val="auto"/>
        </w:rPr>
        <w:t>本项目采用地下水溶质运移解析法中的一维稳定流动一维水动力弥散模式进行预测及评价，预测模型如下:</w:t>
      </w:r>
    </w:p>
    <w:p>
      <w:pPr>
        <w:ind w:firstLine="482"/>
        <w:rPr>
          <w:rFonts w:hint="default" w:ascii="Times New Roman" w:hAnsi="Times New Roman" w:cs="Times New Roman"/>
          <w:color w:val="auto"/>
        </w:rPr>
      </w:pPr>
      <w:r>
        <w:rPr>
          <w:rFonts w:hint="default" w:ascii="Times New Roman" w:hAnsi="Times New Roman" w:cs="Times New Roman"/>
          <w:b/>
          <w:color w:val="auto"/>
        </w:rPr>
        <w:drawing>
          <wp:anchor distT="0" distB="0" distL="114300" distR="114300" simplePos="0" relativeHeight="251781120" behindDoc="0" locked="0" layoutInCell="1" allowOverlap="1">
            <wp:simplePos x="0" y="0"/>
            <wp:positionH relativeFrom="column">
              <wp:posOffset>939165</wp:posOffset>
            </wp:positionH>
            <wp:positionV relativeFrom="paragraph">
              <wp:posOffset>41910</wp:posOffset>
            </wp:positionV>
            <wp:extent cx="3238500" cy="619125"/>
            <wp:effectExtent l="0" t="0" r="0" b="9525"/>
            <wp:wrapNone/>
            <wp:docPr id="411"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图片 348"/>
                    <pic:cNvPicPr>
                      <a:picLocks noChangeAspect="1"/>
                    </pic:cNvPicPr>
                  </pic:nvPicPr>
                  <pic:blipFill>
                    <a:blip r:embed="rId57" cstate="print"/>
                    <a:stretch>
                      <a:fillRect/>
                    </a:stretch>
                  </pic:blipFill>
                  <pic:spPr>
                    <a:xfrm>
                      <a:off x="0" y="0"/>
                      <a:ext cx="3238500" cy="619125"/>
                    </a:xfrm>
                    <a:prstGeom prst="rect">
                      <a:avLst/>
                    </a:prstGeom>
                    <a:noFill/>
                    <a:ln>
                      <a:noFill/>
                    </a:ln>
                  </pic:spPr>
                </pic:pic>
              </a:graphicData>
            </a:graphic>
          </wp:anchor>
        </w:drawing>
      </w:r>
    </w:p>
    <w:p>
      <w:pPr>
        <w:ind w:firstLine="482"/>
        <w:rPr>
          <w:rFonts w:hint="default" w:ascii="Times New Roman" w:hAnsi="Times New Roman" w:cs="Times New Roman"/>
          <w:b/>
          <w:color w:val="auto"/>
        </w:rPr>
      </w:pPr>
    </w:p>
    <w:p>
      <w:pPr>
        <w:ind w:firstLine="482"/>
        <w:rPr>
          <w:rFonts w:hint="default" w:ascii="Times New Roman" w:hAnsi="Times New Roman" w:cs="Times New Roman"/>
          <w:b/>
          <w:color w:val="auto"/>
          <w:u w:val="single"/>
        </w:rPr>
      </w:pPr>
    </w:p>
    <w:p>
      <w:pPr>
        <w:ind w:firstLine="480"/>
        <w:rPr>
          <w:rFonts w:hint="default" w:ascii="Times New Roman" w:hAnsi="Times New Roman" w:cs="Times New Roman"/>
          <w:bCs/>
          <w:color w:val="auto"/>
        </w:rPr>
      </w:pPr>
      <w:r>
        <w:rPr>
          <w:rFonts w:hint="default" w:ascii="Times New Roman" w:hAnsi="Times New Roman" w:cs="Times New Roman"/>
          <w:bCs/>
          <w:color w:val="auto"/>
        </w:rPr>
        <w:t>式中： x—距注入点的距离，m；</w:t>
      </w:r>
    </w:p>
    <w:p>
      <w:pPr>
        <w:ind w:firstLine="1320" w:firstLineChars="550"/>
        <w:rPr>
          <w:rFonts w:hint="default" w:ascii="Times New Roman" w:hAnsi="Times New Roman" w:cs="Times New Roman"/>
          <w:bCs/>
          <w:color w:val="auto"/>
        </w:rPr>
      </w:pPr>
      <w:r>
        <w:rPr>
          <w:rFonts w:hint="default" w:ascii="Times New Roman" w:hAnsi="Times New Roman" w:cs="Times New Roman"/>
          <w:bCs/>
          <w:color w:val="auto"/>
        </w:rPr>
        <w:t>t—时间，d；</w:t>
      </w:r>
    </w:p>
    <w:p>
      <w:pPr>
        <w:ind w:firstLine="1320" w:firstLineChars="550"/>
        <w:rPr>
          <w:rFonts w:hint="default" w:ascii="Times New Roman" w:hAnsi="Times New Roman" w:cs="Times New Roman"/>
          <w:bCs/>
          <w:color w:val="auto"/>
        </w:rPr>
      </w:pPr>
      <w:r>
        <w:rPr>
          <w:rFonts w:hint="default" w:ascii="Times New Roman" w:hAnsi="Times New Roman" w:cs="Times New Roman"/>
          <w:bCs/>
          <w:color w:val="auto"/>
        </w:rPr>
        <w:t>C（x，t）—t时刻x处的示踪剂浓度，g/L；</w:t>
      </w:r>
    </w:p>
    <w:p>
      <w:pPr>
        <w:ind w:firstLine="1320" w:firstLineChars="550"/>
        <w:rPr>
          <w:rFonts w:hint="default" w:ascii="Times New Roman" w:hAnsi="Times New Roman" w:cs="Times New Roman"/>
          <w:bCs/>
          <w:color w:val="auto"/>
        </w:rPr>
      </w:pPr>
      <w:r>
        <w:rPr>
          <w:rFonts w:hint="default" w:ascii="Times New Roman" w:hAnsi="Times New Roman" w:cs="Times New Roman"/>
          <w:bCs/>
          <w:color w:val="auto"/>
        </w:rPr>
        <w:t>C</w:t>
      </w:r>
      <w:r>
        <w:rPr>
          <w:rFonts w:hint="default" w:ascii="Times New Roman" w:hAnsi="Times New Roman" w:cs="Times New Roman"/>
          <w:bCs/>
          <w:color w:val="auto"/>
          <w:vertAlign w:val="subscript"/>
        </w:rPr>
        <w:t>0</w:t>
      </w:r>
      <w:r>
        <w:rPr>
          <w:rFonts w:hint="default" w:ascii="Times New Roman" w:hAnsi="Times New Roman" w:cs="Times New Roman"/>
          <w:bCs/>
          <w:color w:val="auto"/>
        </w:rPr>
        <w:t>—注入的示踪剂浓度，g/L；</w:t>
      </w:r>
    </w:p>
    <w:p>
      <w:pPr>
        <w:ind w:firstLine="1320" w:firstLineChars="550"/>
        <w:rPr>
          <w:rFonts w:hint="default" w:ascii="Times New Roman" w:hAnsi="Times New Roman" w:cs="Times New Roman"/>
          <w:bCs/>
          <w:color w:val="auto"/>
        </w:rPr>
      </w:pPr>
      <w:r>
        <w:rPr>
          <w:rFonts w:hint="default" w:ascii="Times New Roman" w:hAnsi="Times New Roman" w:cs="Times New Roman"/>
          <w:bCs/>
          <w:color w:val="auto"/>
        </w:rPr>
        <w:t>u—水流速度，m/d；</w:t>
      </w:r>
    </w:p>
    <w:p>
      <w:pPr>
        <w:ind w:firstLine="1320" w:firstLineChars="550"/>
        <w:rPr>
          <w:rFonts w:hint="default" w:ascii="Times New Roman" w:hAnsi="Times New Roman" w:cs="Times New Roman"/>
          <w:bCs/>
          <w:color w:val="auto"/>
        </w:rPr>
      </w:pPr>
      <w:r>
        <w:rPr>
          <w:rFonts w:hint="default" w:ascii="Times New Roman" w:hAnsi="Times New Roman" w:cs="Times New Roman"/>
          <w:bCs/>
          <w:color w:val="auto"/>
        </w:rPr>
        <w:t>DL—纵向弥散系数，m</w:t>
      </w:r>
      <w:r>
        <w:rPr>
          <w:rFonts w:hint="default" w:ascii="Times New Roman" w:hAnsi="Times New Roman" w:cs="Times New Roman"/>
          <w:bCs/>
          <w:color w:val="auto"/>
          <w:vertAlign w:val="superscript"/>
        </w:rPr>
        <w:t>2</w:t>
      </w:r>
      <w:r>
        <w:rPr>
          <w:rFonts w:hint="default" w:ascii="Times New Roman" w:hAnsi="Times New Roman" w:cs="Times New Roman"/>
          <w:bCs/>
          <w:color w:val="auto"/>
        </w:rPr>
        <w:t>/d；</w:t>
      </w:r>
    </w:p>
    <w:p>
      <w:pPr>
        <w:ind w:firstLine="1320" w:firstLineChars="550"/>
        <w:rPr>
          <w:rFonts w:hint="default" w:ascii="Times New Roman" w:hAnsi="Times New Roman" w:cs="Times New Roman"/>
          <w:bCs/>
          <w:color w:val="auto"/>
        </w:rPr>
      </w:pPr>
      <w:r>
        <w:rPr>
          <w:rFonts w:hint="default" w:ascii="Times New Roman" w:hAnsi="Times New Roman" w:cs="Times New Roman"/>
          <w:bCs/>
          <w:color w:val="auto"/>
        </w:rPr>
        <w:t>erfc( )—余误差函数。</w:t>
      </w:r>
    </w:p>
    <w:p>
      <w:pPr>
        <w:spacing w:line="500" w:lineRule="exact"/>
        <w:ind w:firstLine="480"/>
        <w:rPr>
          <w:rFonts w:hint="default" w:ascii="Times New Roman" w:hAnsi="Times New Roman" w:cs="Times New Roman"/>
          <w:bCs/>
          <w:color w:val="auto"/>
        </w:rPr>
      </w:pPr>
      <w:r>
        <w:rPr>
          <w:rFonts w:hint="default" w:ascii="Times New Roman" w:hAnsi="Times New Roman" w:cs="Times New Roman"/>
          <w:bCs/>
          <w:color w:val="auto"/>
        </w:rPr>
        <w:fldChar w:fldCharType="begin"/>
      </w:r>
      <w:r>
        <w:rPr>
          <w:rFonts w:hint="default" w:ascii="Times New Roman" w:hAnsi="Times New Roman" w:cs="Times New Roman"/>
          <w:bCs/>
          <w:color w:val="auto"/>
        </w:rPr>
        <w:instrText xml:space="preserve"> = 3 \* GB3 </w:instrText>
      </w:r>
      <w:r>
        <w:rPr>
          <w:rFonts w:hint="default" w:ascii="Times New Roman" w:hAnsi="Times New Roman" w:cs="Times New Roman"/>
          <w:bCs/>
          <w:color w:val="auto"/>
        </w:rPr>
        <w:fldChar w:fldCharType="separate"/>
      </w:r>
      <w:r>
        <w:rPr>
          <w:rFonts w:hint="default" w:ascii="Times New Roman" w:hAnsi="Times New Roman" w:cs="Times New Roman"/>
          <w:bCs/>
          <w:color w:val="auto"/>
        </w:rPr>
        <w:t>③</w:t>
      </w:r>
      <w:r>
        <w:rPr>
          <w:rFonts w:hint="default" w:ascii="Times New Roman" w:hAnsi="Times New Roman" w:cs="Times New Roman"/>
          <w:bCs/>
          <w:color w:val="auto"/>
        </w:rPr>
        <w:fldChar w:fldCharType="end"/>
      </w:r>
      <w:r>
        <w:rPr>
          <w:rFonts w:hint="default" w:ascii="Times New Roman" w:hAnsi="Times New Roman" w:cs="Times New Roman"/>
          <w:bCs/>
          <w:color w:val="auto"/>
        </w:rPr>
        <w:t>参数确定</w:t>
      </w:r>
    </w:p>
    <w:p>
      <w:pPr>
        <w:spacing w:line="500" w:lineRule="exact"/>
        <w:ind w:firstLine="480"/>
        <w:rPr>
          <w:rFonts w:hint="default" w:ascii="Times New Roman" w:hAnsi="Times New Roman" w:cs="Times New Roman"/>
          <w:bCs/>
          <w:color w:val="auto"/>
        </w:rPr>
      </w:pPr>
      <w:r>
        <w:rPr>
          <w:rFonts w:hint="default" w:ascii="Times New Roman" w:hAnsi="Times New Roman" w:cs="Times New Roman"/>
          <w:bCs/>
          <w:color w:val="auto"/>
        </w:rPr>
        <w:t>a.纵向弥散系数DL</w:t>
      </w:r>
    </w:p>
    <w:p>
      <w:pPr>
        <w:spacing w:line="500" w:lineRule="exact"/>
        <w:ind w:firstLine="480"/>
        <w:rPr>
          <w:rFonts w:hint="default" w:ascii="Times New Roman" w:hAnsi="Times New Roman" w:cs="Times New Roman"/>
          <w:bCs/>
          <w:color w:val="auto"/>
        </w:rPr>
      </w:pPr>
      <w:r>
        <w:rPr>
          <w:rFonts w:hint="default" w:ascii="Times New Roman" w:hAnsi="Times New Roman" w:cs="Times New Roman"/>
          <w:bCs/>
          <w:color w:val="auto"/>
        </w:rPr>
        <w:t>根据张红志等人对不同土壤弥散系数的测点（一维土柱水动力弥散试验），可知不同类土壤的弥散系数，详见表5.2-</w:t>
      </w:r>
      <w:r>
        <w:rPr>
          <w:rFonts w:hint="eastAsia" w:cs="Times New Roman"/>
          <w:bCs/>
          <w:color w:val="auto"/>
          <w:lang w:val="en-US" w:eastAsia="zh-CN"/>
        </w:rPr>
        <w:t>28</w:t>
      </w:r>
      <w:r>
        <w:rPr>
          <w:rFonts w:hint="default" w:ascii="Times New Roman" w:hAnsi="Times New Roman" w:cs="Times New Roman"/>
          <w:bCs/>
          <w:color w:val="auto"/>
        </w:rPr>
        <w:t>。</w:t>
      </w:r>
    </w:p>
    <w:p>
      <w:pPr>
        <w:ind w:firstLine="482"/>
        <w:jc w:val="center"/>
        <w:rPr>
          <w:rFonts w:hint="default" w:ascii="Times New Roman" w:hAnsi="Times New Roman" w:cs="Times New Roman"/>
          <w:b/>
          <w:bCs/>
          <w:color w:val="auto"/>
        </w:rPr>
      </w:pPr>
      <w:r>
        <w:rPr>
          <w:rFonts w:hint="default" w:ascii="Times New Roman" w:hAnsi="Times New Roman" w:cs="Times New Roman"/>
          <w:b/>
          <w:bCs/>
          <w:color w:val="auto"/>
        </w:rPr>
        <w:t>表5.2-</w:t>
      </w:r>
      <w:r>
        <w:rPr>
          <w:rFonts w:hint="eastAsia" w:cs="Times New Roman"/>
          <w:b/>
          <w:bCs/>
          <w:color w:val="auto"/>
          <w:lang w:val="en-US" w:eastAsia="zh-CN"/>
        </w:rPr>
        <w:t>28</w:t>
      </w:r>
      <w:r>
        <w:rPr>
          <w:rFonts w:hint="default" w:ascii="Times New Roman" w:hAnsi="Times New Roman" w:cs="Times New Roman"/>
          <w:b/>
          <w:bCs/>
          <w:color w:val="auto"/>
        </w:rPr>
        <w:t xml:space="preserve">         各类土质弥散系数经验值一览表</w:t>
      </w:r>
    </w:p>
    <w:tbl>
      <w:tblPr>
        <w:tblStyle w:val="25"/>
        <w:tblW w:w="894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49"/>
        <w:gridCol w:w="1675"/>
        <w:gridCol w:w="1678"/>
        <w:gridCol w:w="1574"/>
        <w:gridCol w:w="16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49"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土壤类型</w:t>
            </w:r>
          </w:p>
        </w:tc>
        <w:tc>
          <w:tcPr>
            <w:tcW w:w="1675"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砂土</w:t>
            </w:r>
          </w:p>
        </w:tc>
        <w:tc>
          <w:tcPr>
            <w:tcW w:w="1678"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粉质粘土</w:t>
            </w:r>
          </w:p>
        </w:tc>
        <w:tc>
          <w:tcPr>
            <w:tcW w:w="1574"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粘质粉土</w:t>
            </w:r>
          </w:p>
        </w:tc>
        <w:tc>
          <w:tcPr>
            <w:tcW w:w="1666"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粘土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49"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弥散系数（cm</w:t>
            </w:r>
            <w:r>
              <w:rPr>
                <w:rFonts w:hint="default" w:ascii="Times New Roman" w:hAnsi="Times New Roman" w:cs="Times New Roman"/>
                <w:bCs/>
                <w:color w:val="auto"/>
                <w:sz w:val="21"/>
                <w:szCs w:val="21"/>
                <w:vertAlign w:val="superscript"/>
              </w:rPr>
              <w:t>2</w:t>
            </w:r>
            <w:r>
              <w:rPr>
                <w:rFonts w:hint="default" w:ascii="Times New Roman" w:hAnsi="Times New Roman" w:cs="Times New Roman"/>
                <w:bCs/>
                <w:color w:val="auto"/>
                <w:sz w:val="21"/>
                <w:szCs w:val="21"/>
              </w:rPr>
              <w:t>/s）</w:t>
            </w:r>
          </w:p>
        </w:tc>
        <w:tc>
          <w:tcPr>
            <w:tcW w:w="1675"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1.46×10</w:t>
            </w:r>
            <w:r>
              <w:rPr>
                <w:rFonts w:hint="default" w:ascii="Times New Roman" w:hAnsi="Times New Roman" w:cs="Times New Roman"/>
                <w:bCs/>
                <w:color w:val="auto"/>
                <w:sz w:val="21"/>
                <w:szCs w:val="21"/>
                <w:vertAlign w:val="superscript"/>
              </w:rPr>
              <w:t>-3</w:t>
            </w:r>
          </w:p>
        </w:tc>
        <w:tc>
          <w:tcPr>
            <w:tcW w:w="1678"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1.71×10</w:t>
            </w:r>
            <w:r>
              <w:rPr>
                <w:rFonts w:hint="default" w:ascii="Times New Roman" w:hAnsi="Times New Roman" w:cs="Times New Roman"/>
                <w:bCs/>
                <w:color w:val="auto"/>
                <w:sz w:val="21"/>
                <w:szCs w:val="21"/>
                <w:vertAlign w:val="superscript"/>
              </w:rPr>
              <w:t>-9</w:t>
            </w:r>
          </w:p>
        </w:tc>
        <w:tc>
          <w:tcPr>
            <w:tcW w:w="1574"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8.46×10</w:t>
            </w:r>
            <w:r>
              <w:rPr>
                <w:rFonts w:hint="default" w:ascii="Times New Roman" w:hAnsi="Times New Roman" w:cs="Times New Roman"/>
                <w:bCs/>
                <w:color w:val="auto"/>
                <w:sz w:val="21"/>
                <w:szCs w:val="21"/>
                <w:vertAlign w:val="superscript"/>
              </w:rPr>
              <w:t>-9</w:t>
            </w:r>
          </w:p>
        </w:tc>
        <w:tc>
          <w:tcPr>
            <w:tcW w:w="1666"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2.31×10</w:t>
            </w:r>
            <w:r>
              <w:rPr>
                <w:rFonts w:hint="default" w:ascii="Times New Roman" w:hAnsi="Times New Roman" w:cs="Times New Roman"/>
                <w:bCs/>
                <w:color w:val="auto"/>
                <w:sz w:val="21"/>
                <w:szCs w:val="21"/>
                <w:vertAlign w:val="superscript"/>
              </w:rPr>
              <w:t>-11</w:t>
            </w:r>
          </w:p>
        </w:tc>
      </w:tr>
    </w:tbl>
    <w:p>
      <w:pPr>
        <w:ind w:firstLine="480"/>
        <w:rPr>
          <w:rFonts w:hint="default" w:ascii="Times New Roman" w:hAnsi="Times New Roman" w:cs="Times New Roman"/>
          <w:b/>
          <w:color w:val="auto"/>
          <w:u w:val="single"/>
        </w:rPr>
      </w:pPr>
      <w:r>
        <w:rPr>
          <w:rFonts w:hint="default" w:ascii="Times New Roman" w:hAnsi="Times New Roman" w:cs="Times New Roman"/>
          <w:bCs/>
          <w:color w:val="auto"/>
        </w:rPr>
        <w:t>根据调查，项目区域地下含水层以以粉细、中细砂为主，确定项目所在区域弥散系数为1.46×10</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cm</w:t>
      </w:r>
      <w:r>
        <w:rPr>
          <w:rFonts w:hint="default" w:ascii="Times New Roman" w:hAnsi="Times New Roman" w:cs="Times New Roman"/>
          <w:bCs/>
          <w:color w:val="auto"/>
          <w:vertAlign w:val="superscript"/>
        </w:rPr>
        <w:t>2</w:t>
      </w:r>
      <w:r>
        <w:rPr>
          <w:rFonts w:hint="default" w:ascii="Times New Roman" w:hAnsi="Times New Roman" w:cs="Times New Roman"/>
          <w:bCs/>
          <w:color w:val="auto"/>
        </w:rPr>
        <w:t>/s（1.26×10</w:t>
      </w:r>
      <w:r>
        <w:rPr>
          <w:rFonts w:hint="default" w:ascii="Times New Roman" w:hAnsi="Times New Roman" w:cs="Times New Roman"/>
          <w:bCs/>
          <w:color w:val="auto"/>
          <w:vertAlign w:val="superscript"/>
        </w:rPr>
        <w:t>-2</w:t>
      </w:r>
      <w:r>
        <w:rPr>
          <w:rFonts w:hint="default" w:ascii="Times New Roman" w:hAnsi="Times New Roman" w:cs="Times New Roman"/>
          <w:bCs/>
          <w:color w:val="auto"/>
        </w:rPr>
        <w:t>m</w:t>
      </w:r>
      <w:r>
        <w:rPr>
          <w:rFonts w:hint="default" w:ascii="Times New Roman" w:hAnsi="Times New Roman" w:cs="Times New Roman"/>
          <w:bCs/>
          <w:color w:val="auto"/>
          <w:vertAlign w:val="superscript"/>
        </w:rPr>
        <w:t>2</w:t>
      </w:r>
      <w:r>
        <w:rPr>
          <w:rFonts w:hint="default" w:ascii="Times New Roman" w:hAnsi="Times New Roman" w:cs="Times New Roman"/>
          <w:bCs/>
          <w:color w:val="auto"/>
        </w:rPr>
        <w:t>/d）。</w:t>
      </w:r>
    </w:p>
    <w:p>
      <w:pPr>
        <w:spacing w:line="500" w:lineRule="exact"/>
        <w:ind w:firstLine="480"/>
        <w:rPr>
          <w:rFonts w:hint="default" w:ascii="Times New Roman" w:hAnsi="Times New Roman" w:cs="Times New Roman"/>
          <w:bCs/>
          <w:color w:val="auto"/>
        </w:rPr>
      </w:pPr>
      <w:r>
        <w:rPr>
          <w:rFonts w:hint="default" w:ascii="Times New Roman" w:hAnsi="Times New Roman" w:cs="Times New Roman"/>
          <w:bCs/>
          <w:color w:val="auto"/>
        </w:rPr>
        <w:t>b. 水力坡度</w:t>
      </w:r>
    </w:p>
    <w:p>
      <w:pPr>
        <w:spacing w:line="500" w:lineRule="exact"/>
        <w:ind w:firstLine="480"/>
        <w:rPr>
          <w:rFonts w:hint="default" w:ascii="Times New Roman" w:hAnsi="Times New Roman" w:cs="Times New Roman"/>
          <w:bCs/>
          <w:color w:val="auto"/>
          <w:highlight w:val="none"/>
        </w:rPr>
      </w:pPr>
      <w:r>
        <w:rPr>
          <w:rFonts w:hint="default" w:ascii="Times New Roman" w:hAnsi="Times New Roman" w:cs="Times New Roman"/>
          <w:bCs/>
          <w:color w:val="auto"/>
          <w:highlight w:val="none"/>
          <w:lang w:eastAsia="zh-CN"/>
        </w:rPr>
        <w:t>根据地下水监测数据，本项目地下水水位为</w:t>
      </w:r>
      <w:r>
        <w:rPr>
          <w:rFonts w:hint="default" w:ascii="Times New Roman" w:hAnsi="Times New Roman" w:cs="Times New Roman"/>
          <w:bCs/>
          <w:color w:val="auto"/>
          <w:highlight w:val="none"/>
          <w:lang w:val="en-US" w:eastAsia="zh-CN"/>
        </w:rPr>
        <w:t>15m-17m，且</w:t>
      </w:r>
      <w:r>
        <w:rPr>
          <w:rFonts w:hint="default" w:ascii="Times New Roman" w:hAnsi="Times New Roman" w:cs="Times New Roman"/>
          <w:bCs/>
          <w:color w:val="auto"/>
          <w:highlight w:val="none"/>
        </w:rPr>
        <w:t>项目所在区域为黄河下游冲积平原，地形平坦，</w:t>
      </w:r>
      <w:r>
        <w:rPr>
          <w:rFonts w:hint="default" w:ascii="Times New Roman" w:hAnsi="Times New Roman" w:cs="Times New Roman"/>
          <w:bCs/>
          <w:color w:val="auto"/>
          <w:highlight w:val="none"/>
          <w:lang w:eastAsia="zh-CN"/>
        </w:rPr>
        <w:t>因此</w:t>
      </w:r>
      <w:r>
        <w:rPr>
          <w:rFonts w:hint="default" w:ascii="Times New Roman" w:hAnsi="Times New Roman" w:cs="Times New Roman"/>
          <w:bCs/>
          <w:color w:val="auto"/>
          <w:highlight w:val="none"/>
        </w:rPr>
        <w:t>地下水的坡降很小，参考《黄河下游河道工程地质及淤积物物源分析》（黄河水利出版社，1997年），水力坡降为0.1‰~0.36‰，本次预测取0.36‰ 。</w:t>
      </w:r>
      <w:r>
        <w:rPr>
          <w:rFonts w:hint="default" w:ascii="Times New Roman" w:hAnsi="Times New Roman" w:cs="Times New Roman"/>
          <w:bCs/>
          <w:color w:val="auto"/>
          <w:highlight w:val="none"/>
          <w:lang w:eastAsia="zh-CN"/>
        </w:rPr>
        <w:t>本项目地下水流向为西南向东北。</w:t>
      </w:r>
    </w:p>
    <w:p>
      <w:pPr>
        <w:spacing w:line="500" w:lineRule="exact"/>
        <w:ind w:firstLine="480"/>
        <w:rPr>
          <w:rFonts w:hint="default" w:ascii="Times New Roman" w:hAnsi="Times New Roman" w:cs="Times New Roman"/>
          <w:bCs/>
          <w:color w:val="auto"/>
        </w:rPr>
      </w:pPr>
      <w:r>
        <w:rPr>
          <w:rFonts w:hint="default" w:ascii="Times New Roman" w:hAnsi="Times New Roman" w:cs="Times New Roman"/>
          <w:bCs/>
          <w:color w:val="auto"/>
        </w:rPr>
        <w:t>c.地下水流速u</w:t>
      </w:r>
    </w:p>
    <w:p>
      <w:pPr>
        <w:spacing w:line="500" w:lineRule="exact"/>
        <w:ind w:firstLine="480"/>
        <w:rPr>
          <w:rFonts w:hint="default" w:ascii="Times New Roman" w:hAnsi="Times New Roman" w:cs="Times New Roman"/>
          <w:bCs/>
          <w:color w:val="auto"/>
        </w:rPr>
      </w:pPr>
      <w:r>
        <w:rPr>
          <w:rFonts w:hint="default" w:ascii="Times New Roman" w:hAnsi="Times New Roman" w:cs="Times New Roman"/>
          <w:bCs/>
          <w:color w:val="auto"/>
        </w:rPr>
        <w:t>地下水流速可以利用水力坡度及渗透系数求出，具体计算公式为：</w:t>
      </w:r>
    </w:p>
    <w:p>
      <w:pPr>
        <w:spacing w:line="500" w:lineRule="exact"/>
        <w:ind w:firstLine="3120" w:firstLineChars="1300"/>
        <w:rPr>
          <w:rFonts w:hint="default" w:ascii="Times New Roman" w:hAnsi="Times New Roman" w:cs="Times New Roman"/>
          <w:bCs/>
          <w:color w:val="auto"/>
        </w:rPr>
      </w:pPr>
      <w:r>
        <w:rPr>
          <w:rFonts w:hint="default" w:ascii="Times New Roman" w:hAnsi="Times New Roman" w:cs="Times New Roman"/>
          <w:bCs/>
          <w:color w:val="auto"/>
        </w:rPr>
        <w:t>u =kl/n</w:t>
      </w:r>
    </w:p>
    <w:p>
      <w:pPr>
        <w:spacing w:line="500" w:lineRule="exact"/>
        <w:ind w:firstLine="480"/>
        <w:rPr>
          <w:rFonts w:hint="default" w:ascii="Times New Roman" w:hAnsi="Times New Roman" w:cs="Times New Roman"/>
          <w:bCs/>
          <w:color w:val="auto"/>
        </w:rPr>
      </w:pPr>
      <w:r>
        <w:rPr>
          <w:rFonts w:hint="default" w:ascii="Times New Roman" w:hAnsi="Times New Roman" w:cs="Times New Roman"/>
          <w:bCs/>
          <w:color w:val="auto"/>
        </w:rPr>
        <w:t>式中：u—地下水流速，m/d；</w:t>
      </w:r>
    </w:p>
    <w:p>
      <w:pPr>
        <w:spacing w:line="500" w:lineRule="exact"/>
        <w:ind w:firstLine="1200" w:firstLineChars="500"/>
        <w:rPr>
          <w:rFonts w:hint="default" w:ascii="Times New Roman" w:hAnsi="Times New Roman" w:cs="Times New Roman"/>
          <w:bCs/>
          <w:color w:val="auto"/>
        </w:rPr>
      </w:pPr>
      <w:r>
        <w:rPr>
          <w:rFonts w:hint="default" w:ascii="Times New Roman" w:hAnsi="Times New Roman" w:cs="Times New Roman"/>
          <w:bCs/>
          <w:color w:val="auto"/>
        </w:rPr>
        <w:t>k—渗透系数，m/d，根据经验值取10m/d；</w:t>
      </w:r>
    </w:p>
    <w:p>
      <w:pPr>
        <w:spacing w:line="500" w:lineRule="exact"/>
        <w:ind w:firstLine="1200" w:firstLineChars="500"/>
        <w:rPr>
          <w:rFonts w:hint="default" w:ascii="Times New Roman" w:hAnsi="Times New Roman" w:cs="Times New Roman"/>
          <w:bCs/>
          <w:color w:val="auto"/>
        </w:rPr>
      </w:pPr>
      <w:r>
        <w:rPr>
          <w:rFonts w:hint="default" w:ascii="Times New Roman" w:hAnsi="Times New Roman" w:cs="Times New Roman"/>
          <w:bCs/>
          <w:color w:val="auto"/>
        </w:rPr>
        <w:t>l—水力坡度，取值0.36‰；</w:t>
      </w:r>
    </w:p>
    <w:p>
      <w:pPr>
        <w:spacing w:line="500" w:lineRule="exact"/>
        <w:ind w:firstLine="1200" w:firstLineChars="500"/>
        <w:rPr>
          <w:rFonts w:hint="default" w:ascii="Times New Roman" w:hAnsi="Times New Roman" w:cs="Times New Roman"/>
          <w:bCs/>
          <w:color w:val="auto"/>
        </w:rPr>
      </w:pPr>
      <w:r>
        <w:rPr>
          <w:rFonts w:hint="default" w:ascii="Times New Roman" w:hAnsi="Times New Roman" w:cs="Times New Roman"/>
          <w:bCs/>
          <w:color w:val="auto"/>
        </w:rPr>
        <w:t>n—孔隙度，取值30%</w:t>
      </w:r>
    </w:p>
    <w:p>
      <w:pPr>
        <w:ind w:firstLine="480"/>
        <w:rPr>
          <w:rFonts w:hint="default" w:ascii="Times New Roman" w:hAnsi="Times New Roman" w:cs="Times New Roman"/>
          <w:bCs/>
          <w:color w:val="auto"/>
        </w:rPr>
      </w:pPr>
      <w:r>
        <w:rPr>
          <w:rFonts w:hint="default" w:ascii="Times New Roman" w:hAnsi="Times New Roman" w:cs="Times New Roman"/>
          <w:bCs/>
          <w:color w:val="auto"/>
        </w:rPr>
        <w:t>d.参数确定</w:t>
      </w:r>
    </w:p>
    <w:p>
      <w:pPr>
        <w:ind w:firstLine="480"/>
        <w:rPr>
          <w:rFonts w:hint="default" w:ascii="Times New Roman" w:hAnsi="Times New Roman" w:cs="Times New Roman"/>
          <w:bCs/>
          <w:color w:val="auto"/>
        </w:rPr>
      </w:pPr>
      <w:r>
        <w:rPr>
          <w:rFonts w:hint="default" w:ascii="Times New Roman" w:hAnsi="Times New Roman" w:cs="Times New Roman"/>
          <w:bCs/>
          <w:color w:val="auto"/>
        </w:rPr>
        <w:t>根据以上结论，确定本次地下水预测参数，详见表5.2-</w:t>
      </w:r>
      <w:r>
        <w:rPr>
          <w:rFonts w:hint="eastAsia" w:cs="Times New Roman"/>
          <w:bCs/>
          <w:color w:val="auto"/>
          <w:lang w:val="en-US" w:eastAsia="zh-CN"/>
        </w:rPr>
        <w:t>29</w:t>
      </w:r>
      <w:r>
        <w:rPr>
          <w:rFonts w:hint="default" w:ascii="Times New Roman" w:hAnsi="Times New Roman" w:cs="Times New Roman"/>
          <w:bCs/>
          <w:color w:val="auto"/>
        </w:rPr>
        <w:t>。</w:t>
      </w:r>
    </w:p>
    <w:p>
      <w:pPr>
        <w:ind w:firstLine="482"/>
        <w:jc w:val="center"/>
        <w:rPr>
          <w:rFonts w:hint="default" w:ascii="Times New Roman" w:hAnsi="Times New Roman" w:cs="Times New Roman"/>
          <w:b/>
          <w:bCs/>
          <w:color w:val="auto"/>
        </w:rPr>
      </w:pPr>
      <w:r>
        <w:rPr>
          <w:rFonts w:hint="default" w:ascii="Times New Roman" w:hAnsi="Times New Roman" w:cs="Times New Roman"/>
          <w:b/>
          <w:bCs/>
          <w:color w:val="auto"/>
        </w:rPr>
        <w:t>表5.2-</w:t>
      </w:r>
      <w:r>
        <w:rPr>
          <w:rFonts w:hint="eastAsia" w:cs="Times New Roman"/>
          <w:b/>
          <w:bCs/>
          <w:color w:val="auto"/>
          <w:lang w:val="en-US" w:eastAsia="zh-CN"/>
        </w:rPr>
        <w:t>29</w:t>
      </w:r>
      <w:r>
        <w:rPr>
          <w:rFonts w:hint="default" w:ascii="Times New Roman" w:hAnsi="Times New Roman" w:cs="Times New Roman"/>
          <w:b/>
          <w:bCs/>
          <w:color w:val="auto"/>
        </w:rPr>
        <w:t xml:space="preserve">          地下水预测参数选取一览表</w:t>
      </w:r>
    </w:p>
    <w:tbl>
      <w:tblPr>
        <w:tblStyle w:val="25"/>
        <w:tblW w:w="894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984"/>
        <w:gridCol w:w="2629"/>
        <w:gridCol w:w="1385"/>
        <w:gridCol w:w="1385"/>
        <w:gridCol w:w="120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1"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参数</w:t>
            </w:r>
          </w:p>
        </w:tc>
        <w:tc>
          <w:tcPr>
            <w:tcW w:w="984"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x（m）</w:t>
            </w:r>
          </w:p>
        </w:tc>
        <w:tc>
          <w:tcPr>
            <w:tcW w:w="2629"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C</w:t>
            </w:r>
            <w:r>
              <w:rPr>
                <w:rFonts w:hint="default" w:ascii="Times New Roman" w:hAnsi="Times New Roman" w:cs="Times New Roman"/>
                <w:bCs/>
                <w:color w:val="auto"/>
                <w:sz w:val="21"/>
                <w:szCs w:val="21"/>
                <w:vertAlign w:val="subscript"/>
              </w:rPr>
              <w:t>0</w:t>
            </w:r>
            <w:r>
              <w:rPr>
                <w:rFonts w:hint="default" w:ascii="Times New Roman" w:hAnsi="Times New Roman" w:cs="Times New Roman"/>
                <w:bCs/>
                <w:color w:val="auto"/>
                <w:sz w:val="21"/>
                <w:szCs w:val="21"/>
              </w:rPr>
              <w:t>（mg/l）</w:t>
            </w:r>
          </w:p>
        </w:tc>
        <w:tc>
          <w:tcPr>
            <w:tcW w:w="1385"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D（m</w:t>
            </w:r>
            <w:r>
              <w:rPr>
                <w:rFonts w:hint="default" w:ascii="Times New Roman" w:hAnsi="Times New Roman" w:cs="Times New Roman"/>
                <w:bCs/>
                <w:color w:val="auto"/>
                <w:sz w:val="21"/>
                <w:szCs w:val="21"/>
                <w:vertAlign w:val="superscript"/>
              </w:rPr>
              <w:t>2</w:t>
            </w:r>
            <w:r>
              <w:rPr>
                <w:rFonts w:hint="default" w:ascii="Times New Roman" w:hAnsi="Times New Roman" w:cs="Times New Roman"/>
                <w:bCs/>
                <w:color w:val="auto"/>
                <w:sz w:val="21"/>
                <w:szCs w:val="21"/>
              </w:rPr>
              <w:t>/d）</w:t>
            </w:r>
          </w:p>
        </w:tc>
        <w:tc>
          <w:tcPr>
            <w:tcW w:w="1385"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T（d）</w:t>
            </w:r>
          </w:p>
        </w:tc>
        <w:tc>
          <w:tcPr>
            <w:tcW w:w="1207"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u（m/d）</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1"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取值</w:t>
            </w:r>
          </w:p>
        </w:tc>
        <w:tc>
          <w:tcPr>
            <w:tcW w:w="984"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0~1000</w:t>
            </w:r>
          </w:p>
        </w:tc>
        <w:tc>
          <w:tcPr>
            <w:tcW w:w="2629"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COD：3000；氨氮：900</w:t>
            </w:r>
          </w:p>
        </w:tc>
        <w:tc>
          <w:tcPr>
            <w:tcW w:w="1385"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1.26×10</w:t>
            </w:r>
            <w:r>
              <w:rPr>
                <w:rFonts w:hint="default" w:ascii="Times New Roman" w:hAnsi="Times New Roman" w:cs="Times New Roman"/>
                <w:bCs/>
                <w:color w:val="auto"/>
                <w:sz w:val="21"/>
                <w:szCs w:val="21"/>
                <w:vertAlign w:val="superscript"/>
              </w:rPr>
              <w:t>-2</w:t>
            </w:r>
          </w:p>
        </w:tc>
        <w:tc>
          <w:tcPr>
            <w:tcW w:w="1385"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0~1000</w:t>
            </w:r>
          </w:p>
        </w:tc>
        <w:tc>
          <w:tcPr>
            <w:tcW w:w="1207"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0.012</w:t>
            </w:r>
          </w:p>
        </w:tc>
      </w:tr>
    </w:tbl>
    <w:p>
      <w:pPr>
        <w:spacing w:line="500" w:lineRule="exact"/>
        <w:ind w:firstLine="480"/>
        <w:rPr>
          <w:rFonts w:hint="default" w:ascii="Times New Roman" w:hAnsi="Times New Roman" w:cs="Times New Roman"/>
          <w:bCs/>
          <w:color w:val="auto"/>
        </w:rPr>
      </w:pPr>
      <w:r>
        <w:rPr>
          <w:rFonts w:hint="default" w:ascii="Times New Roman" w:hAnsi="Times New Roman" w:cs="Times New Roman"/>
          <w:bCs/>
          <w:color w:val="auto"/>
        </w:rPr>
        <w:t xml:space="preserve">（5）预测结果 </w:t>
      </w:r>
    </w:p>
    <w:p>
      <w:pPr>
        <w:spacing w:line="500" w:lineRule="exact"/>
        <w:ind w:firstLine="480"/>
        <w:rPr>
          <w:rFonts w:hint="default" w:ascii="Times New Roman" w:hAnsi="Times New Roman" w:eastAsia="宋体" w:cs="Times New Roman"/>
          <w:bCs/>
          <w:color w:val="auto"/>
          <w:lang w:eastAsia="zh-CN"/>
        </w:rPr>
      </w:pPr>
      <w:r>
        <w:rPr>
          <w:rFonts w:hint="default" w:ascii="Times New Roman" w:hAnsi="Times New Roman" w:cs="Times New Roman"/>
          <w:bCs/>
          <w:color w:val="auto"/>
        </w:rPr>
        <w:t>结合《环境影响评价技术导则 地下水环境》（HJ610-2016），选取泄漏后1d、100d、500d、1000d等进行预测。</w:t>
      </w:r>
      <w:r>
        <w:rPr>
          <w:rFonts w:hint="default" w:ascii="Times New Roman" w:hAnsi="Times New Roman" w:cs="Times New Roman"/>
          <w:bCs/>
          <w:color w:val="auto"/>
          <w:lang w:eastAsia="zh-CN"/>
        </w:rPr>
        <w:t>根据地下水溶质运移解析计算程序，地下水预测结果见下表。</w:t>
      </w:r>
    </w:p>
    <w:p>
      <w:pPr>
        <w:ind w:firstLine="482"/>
        <w:jc w:val="center"/>
        <w:rPr>
          <w:rFonts w:hint="default" w:ascii="Times New Roman" w:hAnsi="Times New Roman" w:cs="Times New Roman"/>
          <w:b/>
          <w:bCs/>
          <w:color w:val="auto"/>
        </w:rPr>
      </w:pPr>
    </w:p>
    <w:p>
      <w:pPr>
        <w:ind w:firstLine="482"/>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表5.2-</w:t>
      </w:r>
      <w:r>
        <w:rPr>
          <w:rFonts w:hint="eastAsia" w:cs="Times New Roman"/>
          <w:b/>
          <w:bCs/>
          <w:color w:val="auto"/>
          <w:highlight w:val="none"/>
          <w:lang w:val="en-US" w:eastAsia="zh-CN"/>
        </w:rPr>
        <w:t>30</w:t>
      </w:r>
      <w:r>
        <w:rPr>
          <w:rFonts w:hint="default" w:ascii="Times New Roman" w:hAnsi="Times New Roman" w:cs="Times New Roman"/>
          <w:b/>
          <w:bCs/>
          <w:color w:val="auto"/>
          <w:highlight w:val="none"/>
        </w:rPr>
        <w:t xml:space="preserve">         地下水预测参数选取一览表</w:t>
      </w:r>
    </w:p>
    <w:tbl>
      <w:tblPr>
        <w:tblStyle w:val="25"/>
        <w:tblW w:w="906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977"/>
        <w:gridCol w:w="1416"/>
        <w:gridCol w:w="1206"/>
        <w:gridCol w:w="1416"/>
        <w:gridCol w:w="1682"/>
        <w:gridCol w:w="108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7" w:type="dxa"/>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预测因子</w:t>
            </w:r>
          </w:p>
        </w:tc>
        <w:tc>
          <w:tcPr>
            <w:tcW w:w="977" w:type="dxa"/>
            <w:tcBorders>
              <w:tl2br w:val="single" w:color="auto" w:sz="4" w:space="0"/>
            </w:tcBorders>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 xml:space="preserve">   距离</w:t>
            </w:r>
          </w:p>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时间</w:t>
            </w:r>
          </w:p>
        </w:tc>
        <w:tc>
          <w:tcPr>
            <w:tcW w:w="1416" w:type="dxa"/>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10m</w:t>
            </w:r>
          </w:p>
        </w:tc>
        <w:tc>
          <w:tcPr>
            <w:tcW w:w="1206" w:type="dxa"/>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20m</w:t>
            </w:r>
          </w:p>
        </w:tc>
        <w:tc>
          <w:tcPr>
            <w:tcW w:w="1416" w:type="dxa"/>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30m</w:t>
            </w:r>
          </w:p>
        </w:tc>
        <w:tc>
          <w:tcPr>
            <w:tcW w:w="1682" w:type="dxa"/>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50m</w:t>
            </w:r>
          </w:p>
        </w:tc>
        <w:tc>
          <w:tcPr>
            <w:tcW w:w="1086" w:type="dxa"/>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60m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7" w:type="dxa"/>
            <w:vMerge w:val="restart"/>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COD</w:t>
            </w:r>
          </w:p>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（mg/L）</w:t>
            </w:r>
          </w:p>
        </w:tc>
        <w:tc>
          <w:tcPr>
            <w:tcW w:w="977" w:type="dxa"/>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1d</w:t>
            </w:r>
          </w:p>
        </w:tc>
        <w:tc>
          <w:tcPr>
            <w:tcW w:w="1416"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0</w:t>
            </w:r>
          </w:p>
        </w:tc>
        <w:tc>
          <w:tcPr>
            <w:tcW w:w="1206"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0</w:t>
            </w:r>
          </w:p>
        </w:tc>
        <w:tc>
          <w:tcPr>
            <w:tcW w:w="1416"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0</w:t>
            </w:r>
          </w:p>
        </w:tc>
        <w:tc>
          <w:tcPr>
            <w:tcW w:w="1682"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0</w:t>
            </w:r>
          </w:p>
        </w:tc>
        <w:tc>
          <w:tcPr>
            <w:tcW w:w="1086"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7"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p>
        </w:tc>
        <w:tc>
          <w:tcPr>
            <w:tcW w:w="977" w:type="dxa"/>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100d</w:t>
            </w:r>
          </w:p>
        </w:tc>
        <w:tc>
          <w:tcPr>
            <w:tcW w:w="1416"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4.459167E-05</w:t>
            </w:r>
          </w:p>
        </w:tc>
        <w:tc>
          <w:tcPr>
            <w:tcW w:w="1206"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0</w:t>
            </w:r>
          </w:p>
        </w:tc>
        <w:tc>
          <w:tcPr>
            <w:tcW w:w="1416"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0</w:t>
            </w:r>
          </w:p>
        </w:tc>
        <w:tc>
          <w:tcPr>
            <w:tcW w:w="1682"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0</w:t>
            </w:r>
          </w:p>
        </w:tc>
        <w:tc>
          <w:tcPr>
            <w:tcW w:w="1086"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7"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p>
        </w:tc>
        <w:tc>
          <w:tcPr>
            <w:tcW w:w="977" w:type="dxa"/>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500d</w:t>
            </w:r>
          </w:p>
        </w:tc>
        <w:tc>
          <w:tcPr>
            <w:tcW w:w="1416"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155.1785</w:t>
            </w:r>
          </w:p>
        </w:tc>
        <w:tc>
          <w:tcPr>
            <w:tcW w:w="1206"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0.1054488</w:t>
            </w:r>
          </w:p>
        </w:tc>
        <w:tc>
          <w:tcPr>
            <w:tcW w:w="1416"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2.045647E-08</w:t>
            </w:r>
          </w:p>
        </w:tc>
        <w:tc>
          <w:tcPr>
            <w:tcW w:w="1682"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0</w:t>
            </w:r>
          </w:p>
        </w:tc>
        <w:tc>
          <w:tcPr>
            <w:tcW w:w="1086"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7"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p>
        </w:tc>
        <w:tc>
          <w:tcPr>
            <w:tcW w:w="977" w:type="dxa"/>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1000d</w:t>
            </w:r>
          </w:p>
        </w:tc>
        <w:tc>
          <w:tcPr>
            <w:tcW w:w="1416"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153.3404</w:t>
            </w:r>
          </w:p>
        </w:tc>
        <w:tc>
          <w:tcPr>
            <w:tcW w:w="1206"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56.74137</w:t>
            </w:r>
          </w:p>
        </w:tc>
        <w:tc>
          <w:tcPr>
            <w:tcW w:w="1416"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0.3244569</w:t>
            </w:r>
          </w:p>
        </w:tc>
        <w:tc>
          <w:tcPr>
            <w:tcW w:w="1682"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5.745404E-11</w:t>
            </w:r>
          </w:p>
        </w:tc>
        <w:tc>
          <w:tcPr>
            <w:tcW w:w="1086"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7" w:type="dxa"/>
            <w:vMerge w:val="restart"/>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氨氮</w:t>
            </w:r>
          </w:p>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（mg/L）</w:t>
            </w:r>
          </w:p>
        </w:tc>
        <w:tc>
          <w:tcPr>
            <w:tcW w:w="977" w:type="dxa"/>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1d</w:t>
            </w:r>
          </w:p>
        </w:tc>
        <w:tc>
          <w:tcPr>
            <w:tcW w:w="1416"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0</w:t>
            </w:r>
          </w:p>
        </w:tc>
        <w:tc>
          <w:tcPr>
            <w:tcW w:w="1206"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0</w:t>
            </w:r>
          </w:p>
        </w:tc>
        <w:tc>
          <w:tcPr>
            <w:tcW w:w="1416"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0</w:t>
            </w:r>
          </w:p>
        </w:tc>
        <w:tc>
          <w:tcPr>
            <w:tcW w:w="1682"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0</w:t>
            </w:r>
          </w:p>
        </w:tc>
        <w:tc>
          <w:tcPr>
            <w:tcW w:w="1086"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7"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p>
        </w:tc>
        <w:tc>
          <w:tcPr>
            <w:tcW w:w="977" w:type="dxa"/>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100d</w:t>
            </w:r>
          </w:p>
        </w:tc>
        <w:tc>
          <w:tcPr>
            <w:tcW w:w="1416"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1.33775E-05</w:t>
            </w:r>
          </w:p>
        </w:tc>
        <w:tc>
          <w:tcPr>
            <w:tcW w:w="1206"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0</w:t>
            </w:r>
          </w:p>
        </w:tc>
        <w:tc>
          <w:tcPr>
            <w:tcW w:w="1416"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0</w:t>
            </w:r>
          </w:p>
        </w:tc>
        <w:tc>
          <w:tcPr>
            <w:tcW w:w="1682"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0</w:t>
            </w:r>
          </w:p>
        </w:tc>
        <w:tc>
          <w:tcPr>
            <w:tcW w:w="1086"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7"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p>
        </w:tc>
        <w:tc>
          <w:tcPr>
            <w:tcW w:w="977" w:type="dxa"/>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500d</w:t>
            </w:r>
          </w:p>
        </w:tc>
        <w:tc>
          <w:tcPr>
            <w:tcW w:w="1416"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46.55355</w:t>
            </w:r>
          </w:p>
        </w:tc>
        <w:tc>
          <w:tcPr>
            <w:tcW w:w="1206"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0.03163464</w:t>
            </w:r>
          </w:p>
        </w:tc>
        <w:tc>
          <w:tcPr>
            <w:tcW w:w="1416"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6.136941E-09</w:t>
            </w:r>
          </w:p>
        </w:tc>
        <w:tc>
          <w:tcPr>
            <w:tcW w:w="1682"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0</w:t>
            </w:r>
          </w:p>
        </w:tc>
        <w:tc>
          <w:tcPr>
            <w:tcW w:w="1086"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7"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p>
        </w:tc>
        <w:tc>
          <w:tcPr>
            <w:tcW w:w="977" w:type="dxa"/>
            <w:vAlign w:val="center"/>
          </w:tcPr>
          <w:p>
            <w:pPr>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1000d</w:t>
            </w:r>
          </w:p>
        </w:tc>
        <w:tc>
          <w:tcPr>
            <w:tcW w:w="1416"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46.00212</w:t>
            </w:r>
          </w:p>
        </w:tc>
        <w:tc>
          <w:tcPr>
            <w:tcW w:w="1206"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17.02241</w:t>
            </w:r>
          </w:p>
        </w:tc>
        <w:tc>
          <w:tcPr>
            <w:tcW w:w="1416"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0.09733707</w:t>
            </w:r>
          </w:p>
        </w:tc>
        <w:tc>
          <w:tcPr>
            <w:tcW w:w="1682"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1.723621E-11</w:t>
            </w:r>
          </w:p>
        </w:tc>
        <w:tc>
          <w:tcPr>
            <w:tcW w:w="1086" w:type="dxa"/>
            <w:vAlign w:val="center"/>
          </w:tcPr>
          <w:p>
            <w:pPr>
              <w:adjustRightInd/>
              <w:snapToGrid/>
              <w:spacing w:line="240" w:lineRule="auto"/>
              <w:ind w:firstLine="0" w:firstLineChars="0"/>
              <w:jc w:val="center"/>
              <w:rPr>
                <w:rFonts w:hint="default" w:ascii="Times New Roman" w:hAnsi="Times New Roman" w:cs="Times New Roman"/>
                <w:bCs/>
                <w:color w:val="auto"/>
                <w:sz w:val="21"/>
                <w:szCs w:val="21"/>
                <w:highlight w:val="none"/>
              </w:rPr>
            </w:pPr>
            <w:r>
              <w:rPr>
                <w:rFonts w:hint="default" w:ascii="Times New Roman" w:hAnsi="Times New Roman" w:cs="Times New Roman"/>
                <w:b w:val="0"/>
                <w:bCs/>
                <w:color w:val="auto"/>
                <w:sz w:val="21"/>
                <w:szCs w:val="21"/>
                <w:highlight w:val="none"/>
                <w:u w:val="none"/>
              </w:rPr>
              <w:t>0</w:t>
            </w:r>
          </w:p>
        </w:tc>
      </w:tr>
    </w:tbl>
    <w:p>
      <w:pPr>
        <w:adjustRightInd w:val="0"/>
        <w:snapToGrid w:val="0"/>
        <w:spacing w:line="360" w:lineRule="auto"/>
        <w:ind w:firstLine="480" w:firstLineChars="200"/>
        <w:rPr>
          <w:rFonts w:hint="default" w:ascii="Times New Roman" w:hAnsi="Times New Roman" w:cs="Times New Roman"/>
          <w:b w:val="0"/>
          <w:bCs/>
          <w:color w:val="auto"/>
          <w:sz w:val="24"/>
          <w:u w:val="none"/>
        </w:rPr>
      </w:pPr>
      <w:r>
        <w:rPr>
          <w:rFonts w:hint="default" w:ascii="Times New Roman" w:hAnsi="Times New Roman" w:cs="Times New Roman"/>
          <w:b w:val="0"/>
          <w:bCs/>
          <w:color w:val="auto"/>
          <w:sz w:val="24"/>
          <w:u w:val="none"/>
        </w:rPr>
        <w:t>根据预测结果，非正常状况条件下，COD泄露后1000d时，最远迁移距离为54m，浓度为1.66×10</w:t>
      </w:r>
      <w:r>
        <w:rPr>
          <w:rFonts w:hint="default" w:ascii="Times New Roman" w:hAnsi="Times New Roman" w:cs="Times New Roman"/>
          <w:b w:val="0"/>
          <w:bCs/>
          <w:color w:val="auto"/>
          <w:sz w:val="24"/>
          <w:u w:val="none"/>
          <w:vertAlign w:val="superscript"/>
        </w:rPr>
        <w:t>-13</w:t>
      </w:r>
      <w:r>
        <w:rPr>
          <w:rFonts w:hint="default" w:ascii="Times New Roman" w:hAnsi="Times New Roman" w:cs="Times New Roman"/>
          <w:b w:val="0"/>
          <w:bCs/>
          <w:color w:val="auto"/>
          <w:sz w:val="24"/>
          <w:u w:val="none"/>
        </w:rPr>
        <w:t>mg/L，对区域地下水质量造成影响的范围为下游54m；氨氮泄露后1000d时，最远迁移距离为54m，浓度为5.0×10</w:t>
      </w:r>
      <w:r>
        <w:rPr>
          <w:rFonts w:hint="default" w:ascii="Times New Roman" w:hAnsi="Times New Roman" w:cs="Times New Roman"/>
          <w:b w:val="0"/>
          <w:bCs/>
          <w:color w:val="auto"/>
          <w:sz w:val="24"/>
          <w:u w:val="none"/>
          <w:vertAlign w:val="superscript"/>
        </w:rPr>
        <w:t>-14</w:t>
      </w:r>
      <w:r>
        <w:rPr>
          <w:rFonts w:hint="default" w:ascii="Times New Roman" w:hAnsi="Times New Roman" w:cs="Times New Roman"/>
          <w:b w:val="0"/>
          <w:bCs/>
          <w:color w:val="auto"/>
          <w:sz w:val="24"/>
          <w:u w:val="none"/>
        </w:rPr>
        <w:t>mg/L，对区域地下水质量造成影响的范围为下游54m，超标范围为下游29m。根据调查，在影响范围内无内无分散式饮用水源等敏感点。</w:t>
      </w:r>
    </w:p>
    <w:p>
      <w:pPr>
        <w:ind w:firstLine="480"/>
        <w:rPr>
          <w:rFonts w:hint="default" w:ascii="Times New Roman" w:hAnsi="Times New Roman" w:cs="Times New Roman"/>
          <w:bCs/>
          <w:color w:val="auto"/>
        </w:rPr>
      </w:pPr>
      <w:r>
        <w:rPr>
          <w:rFonts w:hint="default" w:ascii="Times New Roman" w:hAnsi="Times New Roman" w:cs="Times New Roman"/>
          <w:bCs/>
          <w:color w:val="auto"/>
        </w:rPr>
        <w:t>因此为避免非正常工况下沼液渗漏对场址下游地下水保护目标的影响，项目营运期间要加强对</w:t>
      </w:r>
      <w:r>
        <w:rPr>
          <w:rFonts w:hint="default" w:ascii="Times New Roman" w:hAnsi="Times New Roman" w:cs="Times New Roman"/>
          <w:bCs/>
          <w:color w:val="auto"/>
          <w:lang w:eastAsia="zh-CN"/>
        </w:rPr>
        <w:t>沼液存储池</w:t>
      </w:r>
      <w:r>
        <w:rPr>
          <w:rFonts w:hint="default" w:ascii="Times New Roman" w:hAnsi="Times New Roman" w:cs="Times New Roman"/>
          <w:bCs/>
          <w:color w:val="auto"/>
        </w:rPr>
        <w:t>的维护管理，定期监测场址周围地下水水质状况，制定跟踪监测计划，将对地下水的污染风险降低到最小。综上，本项目地下水环境影响是可以接受的。</w:t>
      </w:r>
    </w:p>
    <w:p>
      <w:pPr>
        <w:ind w:firstLine="480"/>
        <w:outlineLvl w:val="3"/>
        <w:rPr>
          <w:rFonts w:hint="default" w:ascii="Times New Roman" w:hAnsi="Times New Roman" w:cs="Times New Roman"/>
          <w:color w:val="auto"/>
        </w:rPr>
      </w:pPr>
      <w:r>
        <w:rPr>
          <w:rFonts w:hint="default" w:ascii="Times New Roman" w:hAnsi="Times New Roman" w:cs="Times New Roman"/>
          <w:color w:val="auto"/>
        </w:rPr>
        <w:t>5.2.3.5地下水环境影响分析</w:t>
      </w:r>
    </w:p>
    <w:p>
      <w:pPr>
        <w:ind w:firstLine="480"/>
        <w:rPr>
          <w:rFonts w:hint="default" w:ascii="Times New Roman" w:hAnsi="Times New Roman" w:cs="Times New Roman"/>
          <w:color w:val="auto"/>
        </w:rPr>
      </w:pPr>
      <w:r>
        <w:rPr>
          <w:rFonts w:hint="default" w:ascii="Times New Roman" w:hAnsi="Times New Roman" w:cs="Times New Roman"/>
          <w:color w:val="auto"/>
        </w:rPr>
        <w:t>项目建成投产后，养殖废水全部经污水处理设施处理后还田综合利用，对地下水的影响主要为场区内污水处理池及</w:t>
      </w:r>
      <w:r>
        <w:rPr>
          <w:rFonts w:hint="default" w:ascii="Times New Roman" w:hAnsi="Times New Roman" w:cs="Times New Roman"/>
          <w:color w:val="auto"/>
          <w:lang w:eastAsia="zh-CN"/>
        </w:rPr>
        <w:t>沼液存储池</w:t>
      </w:r>
      <w:r>
        <w:rPr>
          <w:rFonts w:hint="default" w:ascii="Times New Roman" w:hAnsi="Times New Roman" w:cs="Times New Roman"/>
          <w:color w:val="auto"/>
        </w:rPr>
        <w:t>防渗措施不到位导致的废水下渗对地下水的影响；猪粪、沼渣乱堆乱放，可能转入环境空气或地表水体，并通过下渗影响到地下水环境；废水的还田利用可能对地下水质产生的影响。</w:t>
      </w:r>
    </w:p>
    <w:p>
      <w:pPr>
        <w:ind w:firstLine="480"/>
        <w:rPr>
          <w:rFonts w:hint="default" w:ascii="Times New Roman" w:hAnsi="Times New Roman" w:cs="Times New Roman"/>
          <w:color w:val="auto"/>
        </w:rPr>
      </w:pPr>
      <w:r>
        <w:rPr>
          <w:rFonts w:hint="default" w:ascii="Times New Roman" w:hAnsi="Times New Roman" w:cs="Times New Roman"/>
          <w:color w:val="auto"/>
        </w:rPr>
        <w:t>污染物对地下水的影响主要是由于降雨或废水排放等通过垂直渗透进入包气带，进入包气带的污染物在物理、化学和生物作用下吸附、转化、迁移和分解后输入地下水。因此，包气带是联接地面污染物的净化场所和防护层。一般说来，土壤粒细而紧密，渗透性差，则污染慢；反之，颗粒大松散，渗透性能良好则污染重。</w:t>
      </w:r>
    </w:p>
    <w:p>
      <w:pPr>
        <w:ind w:firstLine="480"/>
        <w:rPr>
          <w:rFonts w:hint="default" w:ascii="Times New Roman" w:hAnsi="Times New Roman" w:cs="Times New Roman"/>
          <w:color w:val="auto"/>
        </w:rPr>
      </w:pPr>
      <w:r>
        <w:rPr>
          <w:rFonts w:hint="default" w:ascii="Times New Roman" w:hAnsi="Times New Roman" w:cs="Times New Roman"/>
          <w:color w:val="auto"/>
        </w:rPr>
        <w:t>（1）场区对地下水影响分析</w:t>
      </w:r>
    </w:p>
    <w:p>
      <w:pPr>
        <w:ind w:firstLine="480"/>
        <w:rPr>
          <w:rFonts w:hint="default" w:ascii="Times New Roman" w:hAnsi="Times New Roman" w:cs="Times New Roman"/>
          <w:color w:val="auto"/>
        </w:rPr>
      </w:pPr>
      <w:r>
        <w:rPr>
          <w:rFonts w:hint="default" w:ascii="Times New Roman" w:hAnsi="Times New Roman" w:cs="Times New Roman"/>
          <w:color w:val="auto"/>
        </w:rPr>
        <w:t>场区包括养殖区、</w:t>
      </w:r>
      <w:r>
        <w:rPr>
          <w:rFonts w:hint="default" w:ascii="Times New Roman" w:hAnsi="Times New Roman" w:cs="Times New Roman"/>
          <w:color w:val="auto"/>
          <w:lang w:eastAsia="zh-CN"/>
        </w:rPr>
        <w:t>固粪处理区</w:t>
      </w:r>
      <w:r>
        <w:rPr>
          <w:rFonts w:hint="default" w:ascii="Times New Roman" w:hAnsi="Times New Roman" w:cs="Times New Roman"/>
          <w:color w:val="auto"/>
        </w:rPr>
        <w:t>、污水处理区、</w:t>
      </w:r>
      <w:r>
        <w:rPr>
          <w:rFonts w:hint="default" w:ascii="Times New Roman" w:hAnsi="Times New Roman" w:cs="Times New Roman"/>
          <w:color w:val="auto"/>
          <w:lang w:eastAsia="zh-CN"/>
        </w:rPr>
        <w:t>沼液存储池</w:t>
      </w:r>
      <w:r>
        <w:rPr>
          <w:rFonts w:hint="default" w:ascii="Times New Roman" w:hAnsi="Times New Roman" w:cs="Times New Roman"/>
          <w:color w:val="auto"/>
        </w:rPr>
        <w:t>以及污水管线等，其对地下水影响的主要途径为贮存的养殖废水直接下渗或粪便堆存过程中粪便所含污水渗漏对浅层地下水构成影响；猪粪、沼渣乱堆乱放，可能转入环境空气或地表水体，并通过下渗影响到地下水环境，评价针对污染途径采取相应措施处理，详见表5.2-</w:t>
      </w:r>
      <w:r>
        <w:rPr>
          <w:rFonts w:hint="eastAsia" w:cs="Times New Roman"/>
          <w:color w:val="auto"/>
          <w:lang w:val="en-US" w:eastAsia="zh-CN"/>
        </w:rPr>
        <w:t>31</w:t>
      </w:r>
      <w:r>
        <w:rPr>
          <w:rFonts w:hint="default" w:ascii="Times New Roman" w:hAnsi="Times New Roman" w:cs="Times New Roman"/>
          <w:color w:val="auto"/>
        </w:rPr>
        <w:t>。</w:t>
      </w:r>
    </w:p>
    <w:p>
      <w:pPr>
        <w:spacing w:afterLines="30" w:line="500" w:lineRule="exact"/>
        <w:ind w:firstLine="0" w:firstLine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表5.2-</w:t>
      </w:r>
      <w:r>
        <w:rPr>
          <w:rFonts w:hint="eastAsia" w:cs="Times New Roman"/>
          <w:b/>
          <w:color w:val="auto"/>
          <w:szCs w:val="21"/>
          <w:lang w:val="en-US" w:eastAsia="zh-CN"/>
        </w:rPr>
        <w:t>31</w:t>
      </w:r>
      <w:r>
        <w:rPr>
          <w:rFonts w:hint="default" w:ascii="Times New Roman" w:hAnsi="Times New Roman" w:cs="Times New Roman"/>
          <w:b/>
          <w:color w:val="auto"/>
          <w:szCs w:val="21"/>
        </w:rPr>
        <w:t xml:space="preserve">                    项目污染地下水途径及防治措施一览表</w:t>
      </w:r>
    </w:p>
    <w:tbl>
      <w:tblPr>
        <w:tblStyle w:val="25"/>
        <w:tblW w:w="8844" w:type="dxa"/>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40"/>
        <w:gridCol w:w="1478"/>
        <w:gridCol w:w="4500"/>
        <w:gridCol w:w="2326"/>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40" w:type="dxa"/>
            <w:tcMar>
              <w:left w:w="0" w:type="dxa"/>
              <w:right w:w="0"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序号</w:t>
            </w:r>
          </w:p>
        </w:tc>
        <w:tc>
          <w:tcPr>
            <w:tcW w:w="1478" w:type="dxa"/>
            <w:tcMar>
              <w:left w:w="0" w:type="dxa"/>
              <w:right w:w="0"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项目</w:t>
            </w:r>
          </w:p>
        </w:tc>
        <w:tc>
          <w:tcPr>
            <w:tcW w:w="4500" w:type="dxa"/>
            <w:tcMar>
              <w:left w:w="0" w:type="dxa"/>
              <w:right w:w="0"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保护措施</w:t>
            </w:r>
          </w:p>
        </w:tc>
        <w:tc>
          <w:tcPr>
            <w:tcW w:w="2326" w:type="dxa"/>
            <w:tcMar>
              <w:left w:w="0" w:type="dxa"/>
              <w:right w:w="0"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达到效果</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40" w:type="dxa"/>
            <w:tcMar>
              <w:left w:w="0" w:type="dxa"/>
              <w:right w:w="0"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1</w:t>
            </w:r>
          </w:p>
        </w:tc>
        <w:tc>
          <w:tcPr>
            <w:tcW w:w="1478" w:type="dxa"/>
            <w:tcMar>
              <w:left w:w="0" w:type="dxa"/>
              <w:right w:w="0"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猪舍内部</w:t>
            </w:r>
          </w:p>
        </w:tc>
        <w:tc>
          <w:tcPr>
            <w:tcW w:w="4500" w:type="dxa"/>
            <w:tcMar>
              <w:left w:w="0" w:type="dxa"/>
              <w:right w:w="0" w:type="dxa"/>
            </w:tcMar>
            <w:vAlign w:val="center"/>
          </w:tcPr>
          <w:p>
            <w:pPr>
              <w:spacing w:line="240" w:lineRule="auto"/>
              <w:ind w:left="120" w:leftChars="50" w:right="120" w:rightChars="50" w:firstLine="0" w:firstLineChars="0"/>
              <w:jc w:val="left"/>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pacing w:val="-11"/>
                <w:sz w:val="21"/>
                <w:szCs w:val="21"/>
                <w:u w:val="single"/>
              </w:rPr>
              <w:t>猪舍底部在清场夯压的基础上混凝土防渗，渗透系数1.0×10</w:t>
            </w:r>
            <w:r>
              <w:rPr>
                <w:rFonts w:hint="default" w:ascii="Times New Roman" w:hAnsi="Times New Roman" w:cs="Times New Roman"/>
                <w:b/>
                <w:bCs/>
                <w:color w:val="auto"/>
                <w:spacing w:val="-11"/>
                <w:sz w:val="21"/>
                <w:szCs w:val="21"/>
                <w:u w:val="single"/>
                <w:vertAlign w:val="superscript"/>
              </w:rPr>
              <w:t>-7</w:t>
            </w:r>
            <w:r>
              <w:rPr>
                <w:rFonts w:hint="default" w:ascii="Times New Roman" w:hAnsi="Times New Roman" w:cs="Times New Roman"/>
                <w:b/>
                <w:bCs/>
                <w:color w:val="auto"/>
                <w:spacing w:val="-11"/>
                <w:sz w:val="21"/>
                <w:szCs w:val="21"/>
                <w:u w:val="single"/>
              </w:rPr>
              <w:t>cm/s，减少污染物的跑、冒、滴、漏，将污染物泄漏的环境风险事故降到最低限度</w:t>
            </w:r>
          </w:p>
        </w:tc>
        <w:tc>
          <w:tcPr>
            <w:tcW w:w="2326" w:type="dxa"/>
            <w:vMerge w:val="restart"/>
            <w:tcMar>
              <w:left w:w="0" w:type="dxa"/>
              <w:right w:w="0" w:type="dxa"/>
            </w:tcMar>
            <w:vAlign w:val="center"/>
          </w:tcPr>
          <w:p>
            <w:pPr>
              <w:spacing w:line="240" w:lineRule="auto"/>
              <w:ind w:left="120" w:leftChars="50" w:right="120" w:rightChars="50" w:firstLine="0" w:firstLineChars="0"/>
              <w:jc w:val="left"/>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各反应池符合《规模化畜禽养殖场沼气工程设计规范》（NY/T1222）和《混凝土结构设计规范》（GB50010）的要求，具备“防渗、防雨、防溢”的三防措施；畜禽粪便的贮存相关要求，应具备防渗、防风、防雨的“三防”措施，雨污分流</w:t>
            </w:r>
          </w:p>
          <w:p>
            <w:pPr>
              <w:spacing w:line="240" w:lineRule="auto"/>
              <w:ind w:left="120" w:leftChars="50" w:right="120" w:rightChars="50" w:firstLine="0" w:firstLineChars="0"/>
              <w:jc w:val="left"/>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满足《畜禽养殖业污染防治技术规范》（HJ/T81~2001）要求</w:t>
            </w:r>
          </w:p>
          <w:p>
            <w:pPr>
              <w:spacing w:line="240" w:lineRule="auto"/>
              <w:ind w:left="120" w:leftChars="50" w:right="120" w:rightChars="50" w:firstLine="0" w:firstLineChars="0"/>
              <w:jc w:val="left"/>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满足《畜禽养殖业污染源总量减排技术指导意见（试行）》（豫环文（2012）99号文）要求</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40" w:type="dxa"/>
            <w:tcMar>
              <w:left w:w="0" w:type="dxa"/>
              <w:right w:w="0"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2</w:t>
            </w:r>
          </w:p>
        </w:tc>
        <w:tc>
          <w:tcPr>
            <w:tcW w:w="1478" w:type="dxa"/>
            <w:tcMar>
              <w:left w:w="0" w:type="dxa"/>
              <w:right w:w="0" w:type="dxa"/>
            </w:tcMar>
            <w:vAlign w:val="center"/>
          </w:tcPr>
          <w:p>
            <w:pPr>
              <w:spacing w:line="240" w:lineRule="auto"/>
              <w:ind w:firstLine="0" w:firstLineChars="0"/>
              <w:jc w:val="center"/>
              <w:rPr>
                <w:rFonts w:hint="default" w:ascii="Times New Roman" w:hAnsi="Times New Roman" w:eastAsia="宋体" w:cs="Times New Roman"/>
                <w:b/>
                <w:bCs/>
                <w:color w:val="auto"/>
                <w:sz w:val="21"/>
                <w:szCs w:val="21"/>
                <w:u w:val="single"/>
                <w:lang w:eastAsia="zh-CN"/>
              </w:rPr>
            </w:pPr>
            <w:r>
              <w:rPr>
                <w:rFonts w:hint="default" w:ascii="Times New Roman" w:hAnsi="Times New Roman" w:cs="Times New Roman"/>
                <w:b/>
                <w:bCs/>
                <w:color w:val="auto"/>
                <w:sz w:val="21"/>
                <w:szCs w:val="21"/>
                <w:u w:val="single"/>
                <w:lang w:eastAsia="zh-CN"/>
              </w:rPr>
              <w:t>沼液存储池</w:t>
            </w:r>
          </w:p>
        </w:tc>
        <w:tc>
          <w:tcPr>
            <w:tcW w:w="4500" w:type="dxa"/>
            <w:tcMar>
              <w:left w:w="0" w:type="dxa"/>
              <w:right w:w="0" w:type="dxa"/>
            </w:tcMar>
            <w:vAlign w:val="center"/>
          </w:tcPr>
          <w:p>
            <w:pPr>
              <w:spacing w:line="240" w:lineRule="auto"/>
              <w:ind w:left="120" w:leftChars="50" w:right="120" w:rightChars="50" w:firstLine="0" w:firstLineChars="0"/>
              <w:jc w:val="left"/>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lang w:eastAsia="zh-CN"/>
              </w:rPr>
              <w:t>沼液存储池</w:t>
            </w:r>
            <w:r>
              <w:rPr>
                <w:rFonts w:hint="default" w:ascii="Times New Roman" w:hAnsi="Times New Roman" w:cs="Times New Roman"/>
                <w:b/>
                <w:bCs/>
                <w:color w:val="auto"/>
                <w:sz w:val="21"/>
                <w:szCs w:val="21"/>
                <w:u w:val="single"/>
              </w:rPr>
              <w:t>为满足农闲期沼液产生量，容积不小于200d的废水产生量，池容设计为</w:t>
            </w:r>
            <w:r>
              <w:rPr>
                <w:rFonts w:hint="default" w:ascii="Times New Roman" w:hAnsi="Times New Roman" w:cs="Times New Roman"/>
                <w:b/>
                <w:bCs/>
                <w:color w:val="auto"/>
                <w:sz w:val="21"/>
                <w:szCs w:val="21"/>
                <w:u w:val="single"/>
                <w:lang w:val="en-US" w:eastAsia="zh-CN"/>
              </w:rPr>
              <w:t>41500m</w:t>
            </w:r>
            <w:r>
              <w:rPr>
                <w:rFonts w:hint="default" w:ascii="Times New Roman" w:hAnsi="Times New Roman" w:cs="Times New Roman"/>
                <w:b/>
                <w:bCs/>
                <w:color w:val="auto"/>
                <w:sz w:val="21"/>
                <w:szCs w:val="21"/>
                <w:u w:val="single"/>
                <w:vertAlign w:val="superscript"/>
                <w:lang w:val="en-US" w:eastAsia="zh-CN"/>
              </w:rPr>
              <w:t>3</w:t>
            </w:r>
            <w:r>
              <w:rPr>
                <w:rFonts w:hint="default" w:ascii="Times New Roman" w:hAnsi="Times New Roman" w:cs="Times New Roman"/>
                <w:b/>
                <w:bCs/>
                <w:color w:val="auto"/>
                <w:sz w:val="21"/>
                <w:szCs w:val="21"/>
                <w:u w:val="single"/>
              </w:rPr>
              <w:t>，储存池在清场夯压的基础上铺设HDPE膜防渗，渗透系数1.0×10</w:t>
            </w:r>
            <w:r>
              <w:rPr>
                <w:rFonts w:hint="default" w:ascii="Times New Roman" w:hAnsi="Times New Roman" w:cs="Times New Roman"/>
                <w:b/>
                <w:bCs/>
                <w:color w:val="auto"/>
                <w:sz w:val="21"/>
                <w:szCs w:val="21"/>
                <w:u w:val="single"/>
                <w:vertAlign w:val="superscript"/>
              </w:rPr>
              <w:t>-10</w:t>
            </w:r>
            <w:r>
              <w:rPr>
                <w:rFonts w:hint="default" w:ascii="Times New Roman" w:hAnsi="Times New Roman" w:cs="Times New Roman"/>
                <w:b/>
                <w:bCs/>
                <w:color w:val="auto"/>
                <w:sz w:val="21"/>
                <w:szCs w:val="21"/>
                <w:u w:val="single"/>
              </w:rPr>
              <w:t>，并设置导流渠</w:t>
            </w:r>
          </w:p>
        </w:tc>
        <w:tc>
          <w:tcPr>
            <w:tcW w:w="2326"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70" w:hRule="atLeast"/>
          <w:tblHeader/>
          <w:jc w:val="center"/>
        </w:trPr>
        <w:tc>
          <w:tcPr>
            <w:tcW w:w="540" w:type="dxa"/>
            <w:tcMar>
              <w:left w:w="0" w:type="dxa"/>
              <w:right w:w="0"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3</w:t>
            </w:r>
          </w:p>
        </w:tc>
        <w:tc>
          <w:tcPr>
            <w:tcW w:w="1478" w:type="dxa"/>
            <w:tcMar>
              <w:left w:w="0" w:type="dxa"/>
              <w:right w:w="0"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污水处理系统</w:t>
            </w:r>
          </w:p>
        </w:tc>
        <w:tc>
          <w:tcPr>
            <w:tcW w:w="4500" w:type="dxa"/>
            <w:tcMar>
              <w:left w:w="0" w:type="dxa"/>
              <w:right w:w="0" w:type="dxa"/>
            </w:tcMar>
            <w:vAlign w:val="center"/>
          </w:tcPr>
          <w:p>
            <w:pPr>
              <w:spacing w:line="240" w:lineRule="auto"/>
              <w:ind w:left="120" w:leftChars="50" w:right="120" w:rightChars="50" w:firstLine="0" w:firstLineChars="0"/>
              <w:jc w:val="left"/>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应由有资质施工企业设计并建设。收集池为混凝土防渗；黑膜沼气池为素土夯实+HDPE膜</w:t>
            </w:r>
          </w:p>
        </w:tc>
        <w:tc>
          <w:tcPr>
            <w:tcW w:w="2326"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40" w:type="dxa"/>
            <w:tcMar>
              <w:left w:w="0" w:type="dxa"/>
              <w:right w:w="0"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4</w:t>
            </w:r>
          </w:p>
        </w:tc>
        <w:tc>
          <w:tcPr>
            <w:tcW w:w="1478" w:type="dxa"/>
            <w:tcMar>
              <w:left w:w="0" w:type="dxa"/>
              <w:right w:w="0"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固粪处理区</w:t>
            </w:r>
          </w:p>
        </w:tc>
        <w:tc>
          <w:tcPr>
            <w:tcW w:w="4500" w:type="dxa"/>
            <w:tcMar>
              <w:left w:w="0" w:type="dxa"/>
              <w:right w:w="0" w:type="dxa"/>
            </w:tcMar>
            <w:vAlign w:val="center"/>
          </w:tcPr>
          <w:p>
            <w:pPr>
              <w:spacing w:line="240" w:lineRule="auto"/>
              <w:ind w:left="120" w:leftChars="50" w:right="120" w:rightChars="50" w:firstLine="0" w:firstLineChars="0"/>
              <w:jc w:val="left"/>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地面混凝土进行防渗，渗透系数达到1.0×10-7cm/s，设置密闭生产车间，仅留置出入口；其上搭建顶棚</w:t>
            </w:r>
          </w:p>
        </w:tc>
        <w:tc>
          <w:tcPr>
            <w:tcW w:w="2326"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40" w:type="dxa"/>
            <w:tcMar>
              <w:left w:w="0" w:type="dxa"/>
              <w:right w:w="0"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5</w:t>
            </w:r>
          </w:p>
        </w:tc>
        <w:tc>
          <w:tcPr>
            <w:tcW w:w="1478" w:type="dxa"/>
            <w:tcMar>
              <w:left w:w="0" w:type="dxa"/>
              <w:right w:w="0"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场区雨、污管网</w:t>
            </w:r>
          </w:p>
        </w:tc>
        <w:tc>
          <w:tcPr>
            <w:tcW w:w="4500" w:type="dxa"/>
            <w:tcMar>
              <w:left w:w="0" w:type="dxa"/>
              <w:right w:w="0" w:type="dxa"/>
            </w:tcMar>
            <w:vAlign w:val="center"/>
          </w:tcPr>
          <w:p>
            <w:pPr>
              <w:spacing w:line="240" w:lineRule="auto"/>
              <w:ind w:left="120" w:leftChars="50" w:right="120" w:rightChars="50" w:firstLine="0" w:firstLineChars="0"/>
              <w:jc w:val="left"/>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雨污分流、按照畜禽养殖业污染防治技术规范要求进行建设</w:t>
            </w:r>
          </w:p>
        </w:tc>
        <w:tc>
          <w:tcPr>
            <w:tcW w:w="2326"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40" w:type="dxa"/>
            <w:tcMar>
              <w:left w:w="0" w:type="dxa"/>
              <w:right w:w="0"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6</w:t>
            </w:r>
          </w:p>
        </w:tc>
        <w:tc>
          <w:tcPr>
            <w:tcW w:w="1478" w:type="dxa"/>
            <w:tcMar>
              <w:left w:w="0" w:type="dxa"/>
              <w:right w:w="0"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场区内净道与脏道设置</w:t>
            </w:r>
          </w:p>
        </w:tc>
        <w:tc>
          <w:tcPr>
            <w:tcW w:w="4500" w:type="dxa"/>
            <w:tcMar>
              <w:left w:w="0" w:type="dxa"/>
              <w:right w:w="0" w:type="dxa"/>
            </w:tcMar>
            <w:vAlign w:val="center"/>
          </w:tcPr>
          <w:p>
            <w:pPr>
              <w:spacing w:line="240" w:lineRule="auto"/>
              <w:ind w:left="120" w:leftChars="50" w:right="120" w:rightChars="50" w:firstLine="0" w:firstLineChars="0"/>
              <w:jc w:val="left"/>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合理设置厂区内净道和脏道，脏道地区硬化防渗处理，渗透系数≤1.0×10</w:t>
            </w:r>
            <w:r>
              <w:rPr>
                <w:rFonts w:hint="default" w:ascii="Times New Roman" w:hAnsi="Times New Roman" w:cs="Times New Roman"/>
                <w:b/>
                <w:bCs/>
                <w:color w:val="auto"/>
                <w:sz w:val="21"/>
                <w:szCs w:val="21"/>
                <w:u w:val="single"/>
                <w:vertAlign w:val="superscript"/>
              </w:rPr>
              <w:t>-7</w:t>
            </w:r>
            <w:r>
              <w:rPr>
                <w:rFonts w:hint="default" w:ascii="Times New Roman" w:hAnsi="Times New Roman" w:cs="Times New Roman"/>
                <w:b/>
                <w:bCs/>
                <w:color w:val="auto"/>
                <w:sz w:val="21"/>
                <w:szCs w:val="21"/>
                <w:u w:val="single"/>
              </w:rPr>
              <w:t>cm/s。路两边设置路沿石，初期雨水收集后进入污水处理系统；人行道采用透水方砖或植草砖铺设，下面用透水材料铺垫，孔隙间种植草本植物，增加雨水下渗量，可有效减缓地面硬化对地下水涵养产生的不利影响（净道的渗透系数≤1.0×10</w:t>
            </w:r>
            <w:r>
              <w:rPr>
                <w:rFonts w:hint="default" w:ascii="Times New Roman" w:hAnsi="Times New Roman" w:cs="Times New Roman"/>
                <w:b/>
                <w:bCs/>
                <w:color w:val="auto"/>
                <w:sz w:val="21"/>
                <w:szCs w:val="21"/>
                <w:u w:val="single"/>
                <w:vertAlign w:val="superscript"/>
              </w:rPr>
              <w:t>-5</w:t>
            </w:r>
            <w:r>
              <w:rPr>
                <w:rFonts w:hint="default" w:ascii="Times New Roman" w:hAnsi="Times New Roman" w:cs="Times New Roman"/>
                <w:b/>
                <w:bCs/>
                <w:color w:val="auto"/>
                <w:sz w:val="21"/>
                <w:szCs w:val="21"/>
                <w:u w:val="single"/>
              </w:rPr>
              <w:t>cm/s）。</w:t>
            </w:r>
          </w:p>
        </w:tc>
        <w:tc>
          <w:tcPr>
            <w:tcW w:w="2326"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40" w:type="dxa"/>
            <w:tcMar>
              <w:left w:w="0" w:type="dxa"/>
              <w:right w:w="0"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7</w:t>
            </w:r>
          </w:p>
        </w:tc>
        <w:tc>
          <w:tcPr>
            <w:tcW w:w="1478" w:type="dxa"/>
            <w:tcMar>
              <w:left w:w="0" w:type="dxa"/>
              <w:right w:w="0" w:type="dxa"/>
            </w:tcMar>
            <w:vAlign w:val="center"/>
          </w:tcPr>
          <w:p>
            <w:pPr>
              <w:spacing w:line="240" w:lineRule="auto"/>
              <w:ind w:left="120" w:leftChars="50" w:right="120" w:rightChars="50" w:firstLine="0" w:firstLineChars="0"/>
              <w:jc w:val="left"/>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医疗废物暂存间</w:t>
            </w:r>
          </w:p>
        </w:tc>
        <w:tc>
          <w:tcPr>
            <w:tcW w:w="4500" w:type="dxa"/>
            <w:tcMar>
              <w:left w:w="0" w:type="dxa"/>
              <w:right w:w="0" w:type="dxa"/>
            </w:tcMar>
          </w:tcPr>
          <w:p>
            <w:pPr>
              <w:spacing w:line="240" w:lineRule="auto"/>
              <w:ind w:left="120" w:leftChars="50" w:right="120" w:rightChars="50" w:firstLine="0" w:firstLineChars="0"/>
              <w:jc w:val="left"/>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医疗废物暂存间建成具有防水、防渗、防流失的专用贮存设施贮存医疗废物。贮存医疗废物的容器材质和衬里要与医疗废物相容（不相互反应）贮存设施必须防渗，基础必须防渗，防渗层为至少1米厚粘土层(渗透系≤10</w:t>
            </w:r>
            <w:r>
              <w:rPr>
                <w:rFonts w:hint="default" w:ascii="Times New Roman" w:hAnsi="Times New Roman" w:cs="Times New Roman"/>
                <w:b/>
                <w:bCs/>
                <w:color w:val="auto"/>
                <w:sz w:val="21"/>
                <w:szCs w:val="21"/>
                <w:u w:val="single"/>
                <w:vertAlign w:val="superscript"/>
              </w:rPr>
              <w:t>-7</w:t>
            </w:r>
            <w:r>
              <w:rPr>
                <w:rFonts w:hint="default" w:ascii="Times New Roman" w:hAnsi="Times New Roman" w:cs="Times New Roman"/>
                <w:b/>
                <w:bCs/>
                <w:color w:val="auto"/>
                <w:sz w:val="21"/>
                <w:szCs w:val="21"/>
                <w:u w:val="single"/>
              </w:rPr>
              <w:t>cm/s)，或2mm厚高密度聚乙烯，或至少2mm厚的其它人工材料，渗透系数≤10</w:t>
            </w:r>
            <w:r>
              <w:rPr>
                <w:rFonts w:hint="default" w:ascii="Times New Roman" w:hAnsi="Times New Roman" w:cs="Times New Roman"/>
                <w:b/>
                <w:bCs/>
                <w:color w:val="auto"/>
                <w:sz w:val="21"/>
                <w:szCs w:val="21"/>
                <w:u w:val="single"/>
                <w:vertAlign w:val="superscript"/>
              </w:rPr>
              <w:t>-10</w:t>
            </w:r>
            <w:r>
              <w:rPr>
                <w:rFonts w:hint="default" w:ascii="Times New Roman" w:hAnsi="Times New Roman" w:cs="Times New Roman"/>
                <w:b/>
                <w:bCs/>
                <w:color w:val="auto"/>
                <w:sz w:val="21"/>
                <w:szCs w:val="21"/>
                <w:u w:val="single"/>
              </w:rPr>
              <w:t>cm/s。</w:t>
            </w:r>
          </w:p>
        </w:tc>
        <w:tc>
          <w:tcPr>
            <w:tcW w:w="2326" w:type="dxa"/>
            <w:vMerge w:val="restart"/>
            <w:tcMar>
              <w:left w:w="0" w:type="dxa"/>
              <w:right w:w="0" w:type="dxa"/>
            </w:tcMar>
            <w:vAlign w:val="center"/>
          </w:tcPr>
          <w:p>
            <w:pPr>
              <w:pStyle w:val="40"/>
              <w:spacing w:before="6" w:line="240" w:lineRule="auto"/>
              <w:ind w:left="40"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满足《危险废物贮存</w:t>
            </w:r>
          </w:p>
          <w:p>
            <w:pPr>
              <w:pStyle w:val="40"/>
              <w:spacing w:line="240" w:lineRule="auto"/>
              <w:ind w:left="52" w:firstLine="0" w:firstLineChars="0"/>
              <w:jc w:val="center"/>
              <w:rPr>
                <w:rFonts w:hint="default" w:ascii="Times New Roman" w:hAnsi="Times New Roman" w:eastAsia="Times New Roman" w:cs="Times New Roman"/>
                <w:b/>
                <w:bCs/>
                <w:color w:val="auto"/>
                <w:sz w:val="21"/>
                <w:szCs w:val="21"/>
                <w:u w:val="single"/>
              </w:rPr>
            </w:pPr>
            <w:r>
              <w:rPr>
                <w:rFonts w:hint="default" w:ascii="Times New Roman" w:hAnsi="Times New Roman" w:cs="Times New Roman"/>
                <w:b/>
                <w:bCs/>
                <w:color w:val="auto"/>
                <w:spacing w:val="-11"/>
                <w:sz w:val="21"/>
                <w:szCs w:val="21"/>
                <w:u w:val="single"/>
              </w:rPr>
              <w:t>污染控制标准》（</w:t>
            </w:r>
            <w:r>
              <w:rPr>
                <w:rFonts w:hint="default" w:ascii="Times New Roman" w:hAnsi="Times New Roman" w:eastAsia="Times New Roman" w:cs="Times New Roman"/>
                <w:b/>
                <w:bCs/>
                <w:color w:val="auto"/>
                <w:spacing w:val="-11"/>
                <w:sz w:val="21"/>
                <w:szCs w:val="21"/>
                <w:u w:val="single"/>
              </w:rPr>
              <w:t>GB</w:t>
            </w:r>
          </w:p>
          <w:p>
            <w:pPr>
              <w:pStyle w:val="40"/>
              <w:spacing w:line="240" w:lineRule="auto"/>
              <w:ind w:left="-1" w:right="-1"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eastAsia="Times New Roman" w:cs="Times New Roman"/>
                <w:b/>
                <w:bCs/>
                <w:color w:val="auto"/>
                <w:spacing w:val="-9"/>
                <w:sz w:val="21"/>
                <w:szCs w:val="21"/>
                <w:u w:val="single"/>
              </w:rPr>
              <w:t>18597-2001</w:t>
            </w:r>
            <w:r>
              <w:rPr>
                <w:rFonts w:hint="default" w:ascii="Times New Roman" w:hAnsi="Times New Roman" w:cs="Times New Roman"/>
                <w:b/>
                <w:bCs/>
                <w:color w:val="auto"/>
                <w:spacing w:val="-9"/>
                <w:sz w:val="21"/>
                <w:szCs w:val="21"/>
                <w:u w:val="single"/>
              </w:rPr>
              <w:t>）（</w:t>
            </w:r>
            <w:r>
              <w:rPr>
                <w:rFonts w:hint="default" w:ascii="Times New Roman" w:hAnsi="Times New Roman" w:eastAsia="Times New Roman" w:cs="Times New Roman"/>
                <w:b/>
                <w:bCs/>
                <w:color w:val="auto"/>
                <w:spacing w:val="-9"/>
                <w:sz w:val="21"/>
                <w:szCs w:val="21"/>
                <w:u w:val="single"/>
              </w:rPr>
              <w:t>2013</w:t>
            </w:r>
            <w:r>
              <w:rPr>
                <w:rFonts w:hint="default" w:ascii="Times New Roman" w:hAnsi="Times New Roman" w:eastAsia="Times New Roman" w:cs="Times New Roman"/>
                <w:b/>
                <w:bCs/>
                <w:color w:val="auto"/>
                <w:spacing w:val="-4"/>
                <w:sz w:val="21"/>
                <w:szCs w:val="21"/>
                <w:u w:val="single"/>
              </w:rPr>
              <w:t xml:space="preserve"> </w:t>
            </w:r>
            <w:r>
              <w:rPr>
                <w:rFonts w:hint="default" w:ascii="Times New Roman" w:hAnsi="Times New Roman" w:cs="Times New Roman"/>
                <w:b/>
                <w:bCs/>
                <w:color w:val="auto"/>
                <w:sz w:val="21"/>
                <w:szCs w:val="21"/>
                <w:u w:val="single"/>
              </w:rPr>
              <w:t>修</w:t>
            </w:r>
          </w:p>
          <w:p>
            <w:pPr>
              <w:pStyle w:val="40"/>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订版）</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40" w:type="dxa"/>
            <w:tcMar>
              <w:left w:w="0" w:type="dxa"/>
              <w:right w:w="0"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8</w:t>
            </w:r>
          </w:p>
        </w:tc>
        <w:tc>
          <w:tcPr>
            <w:tcW w:w="1478" w:type="dxa"/>
            <w:tcMar>
              <w:left w:w="0" w:type="dxa"/>
              <w:right w:w="0"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病死猪暂存间、病死猪处理间</w:t>
            </w:r>
          </w:p>
        </w:tc>
        <w:tc>
          <w:tcPr>
            <w:tcW w:w="4500" w:type="dxa"/>
            <w:tcMar>
              <w:left w:w="0" w:type="dxa"/>
              <w:right w:w="0" w:type="dxa"/>
            </w:tcMar>
            <w:vAlign w:val="center"/>
          </w:tcPr>
          <w:p>
            <w:pPr>
              <w:spacing w:line="240" w:lineRule="auto"/>
              <w:ind w:left="120" w:leftChars="50" w:right="120" w:rightChars="50" w:firstLine="0" w:firstLineChars="0"/>
              <w:jc w:val="left"/>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基础必须防渗，防渗层为至少1m厚粘土层(渗透系数≤10</w:t>
            </w:r>
            <w:r>
              <w:rPr>
                <w:rFonts w:hint="default" w:ascii="Times New Roman" w:hAnsi="Times New Roman" w:cs="Times New Roman"/>
                <w:b/>
                <w:bCs/>
                <w:color w:val="auto"/>
                <w:sz w:val="21"/>
                <w:szCs w:val="21"/>
                <w:u w:val="single"/>
                <w:vertAlign w:val="superscript"/>
              </w:rPr>
              <w:t>-7</w:t>
            </w:r>
            <w:r>
              <w:rPr>
                <w:rFonts w:hint="default" w:ascii="Times New Roman" w:hAnsi="Times New Roman" w:cs="Times New Roman"/>
                <w:b/>
                <w:bCs/>
                <w:color w:val="auto"/>
                <w:sz w:val="21"/>
                <w:szCs w:val="21"/>
                <w:u w:val="single"/>
              </w:rPr>
              <w:t>cm/s)，或2mm厚高密度聚乙烯，或至少2mm厚的其它人工材料，渗透系数≤10-10cm/s</w:t>
            </w:r>
          </w:p>
        </w:tc>
        <w:tc>
          <w:tcPr>
            <w:tcW w:w="2326" w:type="dxa"/>
            <w:vMerge w:val="continue"/>
            <w:tcMar>
              <w:left w:w="0" w:type="dxa"/>
              <w:right w:w="0" w:type="dxa"/>
            </w:tcMar>
            <w:vAlign w:val="center"/>
          </w:tcPr>
          <w:p>
            <w:pPr>
              <w:spacing w:line="240" w:lineRule="auto"/>
              <w:ind w:firstLine="0" w:firstLineChars="0"/>
              <w:jc w:val="center"/>
              <w:rPr>
                <w:rFonts w:hint="default" w:ascii="Times New Roman" w:hAnsi="Times New Roman" w:cs="Times New Roman"/>
                <w:b/>
                <w:bCs/>
                <w:color w:val="auto"/>
                <w:sz w:val="21"/>
                <w:szCs w:val="21"/>
                <w:u w:val="single"/>
              </w:rPr>
            </w:pPr>
          </w:p>
        </w:tc>
      </w:tr>
    </w:tbl>
    <w:p>
      <w:pPr>
        <w:ind w:firstLine="480"/>
        <w:rPr>
          <w:rFonts w:hint="default" w:ascii="Times New Roman" w:hAnsi="Times New Roman" w:cs="Times New Roman"/>
          <w:color w:val="auto"/>
        </w:rPr>
      </w:pPr>
      <w:r>
        <w:rPr>
          <w:rFonts w:hint="default" w:ascii="Times New Roman" w:hAnsi="Times New Roman" w:cs="Times New Roman"/>
          <w:color w:val="auto"/>
        </w:rPr>
        <w:t>综上分析，建设项目场区地下水环境在落实好防渗、防污措施后，本项目污染物能得到有效处理，对地下水水质影响较小，项目的建设不会产生其他环境地质问题，因此对地下水环境质量影响较小。</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（2）沼液消纳地地下水影响分析</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①沼液消纳地土壤</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目前本项目沼液消纳区使用化肥增加土壤肥力，化肥容易引起土壤酸度变化。过磷酸钙、硫酸铵、氯化铵等都属生物酸性肥料，即植物吸收肥料中的养分离子后,土壤中氢离子增多，易造成土壤酸化，长期大量施用化肥，尤其在连续施用单一品种化肥时，在短期内即可出现这种情况。土壤酸化后会导致有毒物质的释放，或使有毒物质毒性增强，对生物体产生不良影响，土壤酸化还能溶解土壤中的一些营养物质,在降雨和灌溉的作用下，向下渗透补给地下水，使得营养成分流失，造成土壤贫瘠化，影响作物的生长。导致土壤板结，肥力下降。化肥使用过多，大量的NH</w:t>
      </w:r>
      <w:r>
        <w:rPr>
          <w:rFonts w:hint="default" w:ascii="Times New Roman" w:hAnsi="Times New Roman" w:cs="Times New Roman"/>
          <w:b/>
          <w:bCs/>
          <w:color w:val="auto"/>
          <w:u w:val="single"/>
          <w:vertAlign w:val="subscript"/>
        </w:rPr>
        <w:t>4</w:t>
      </w:r>
      <w:r>
        <w:rPr>
          <w:rFonts w:hint="default" w:ascii="Times New Roman" w:hAnsi="Times New Roman" w:cs="Times New Roman"/>
          <w:b/>
          <w:bCs/>
          <w:color w:val="auto"/>
          <w:u w:val="single"/>
          <w:vertAlign w:val="superscript"/>
        </w:rPr>
        <w:t>+</w:t>
      </w:r>
      <w:r>
        <w:rPr>
          <w:rFonts w:hint="default" w:ascii="Times New Roman" w:hAnsi="Times New Roman" w:cs="Times New Roman"/>
          <w:b/>
          <w:bCs/>
          <w:color w:val="auto"/>
          <w:u w:val="single"/>
        </w:rPr>
        <w:t>、K</w:t>
      </w:r>
      <w:r>
        <w:rPr>
          <w:rFonts w:hint="default" w:ascii="Times New Roman" w:hAnsi="Times New Roman" w:cs="Times New Roman"/>
          <w:b/>
          <w:bCs/>
          <w:color w:val="auto"/>
          <w:u w:val="single"/>
          <w:vertAlign w:val="superscript"/>
        </w:rPr>
        <w:t>+</w:t>
      </w:r>
      <w:r>
        <w:rPr>
          <w:rFonts w:hint="default" w:ascii="Times New Roman" w:hAnsi="Times New Roman" w:cs="Times New Roman"/>
          <w:b/>
          <w:bCs/>
          <w:color w:val="auto"/>
          <w:u w:val="single"/>
        </w:rPr>
        <w:t>和土壤胶体吸附的Ca</w:t>
      </w:r>
      <w:r>
        <w:rPr>
          <w:rFonts w:hint="default" w:ascii="Times New Roman" w:hAnsi="Times New Roman" w:cs="Times New Roman"/>
          <w:b/>
          <w:bCs/>
          <w:color w:val="auto"/>
          <w:u w:val="single"/>
          <w:vertAlign w:val="superscript"/>
        </w:rPr>
        <w:t>2+</w:t>
      </w:r>
      <w:r>
        <w:rPr>
          <w:rFonts w:hint="default" w:ascii="Times New Roman" w:hAnsi="Times New Roman" w:cs="Times New Roman"/>
          <w:b/>
          <w:bCs/>
          <w:color w:val="auto"/>
          <w:u w:val="single"/>
        </w:rPr>
        <w:t>、Mg</w:t>
      </w:r>
      <w:r>
        <w:rPr>
          <w:rFonts w:hint="default" w:ascii="Times New Roman" w:hAnsi="Times New Roman" w:cs="Times New Roman"/>
          <w:b/>
          <w:bCs/>
          <w:color w:val="auto"/>
          <w:u w:val="single"/>
          <w:vertAlign w:val="superscript"/>
        </w:rPr>
        <w:t>2+</w:t>
      </w:r>
      <w:r>
        <w:rPr>
          <w:rFonts w:hint="default" w:ascii="Times New Roman" w:hAnsi="Times New Roman" w:cs="Times New Roman"/>
          <w:b/>
          <w:bCs/>
          <w:color w:val="auto"/>
          <w:u w:val="single"/>
        </w:rPr>
        <w:t>等阳离子发生交换，使土壤结构被破坏，导致土壤板结。大量施用化肥，用地不养地，造成土壤有机质下降，化肥无法补偿有机质的缺乏，进一步影响了土壤微生物的生存，不仅破坏了土壤肥力结构，而且还降低了肥效。有害物质对土壤产生污染，制造化肥的矿物原料及化工原料中，含有多种重金属放射性物质和其他有害成分，它们随施肥过入农田土壤造成污染。</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沼液是沼气发酵产生沼气后的残留物之一，沼液对于提高土壤中有机质的含量具有一定促进作用，有机质能吸附较多的阳离子，使土壤具有保肥力和缓冲性，它还能使土壤疏松和形成结构，从而改善土壤的物理性状，它也是土壤微生物必不可少的碳源和能源。本项目农作物以小麦、玉米为主，有时冬季种大蒜，这些农作物需要大量的养分，沼液能提供充足的养分。</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沼液中主要含有以下三大类物质：营养物质、矿物质和活性物质。沼液中不但含有氮、磷、钾元素，还含有丰富的多种微量原素，19种氨基酸，抗菌素、植物激素和水解酶，能很好的促进作物生长，同时含有氨态氮有较强的防治病虫害的能力。沼液中的大最有机质、腐殖质可以明显的改善土壤理化性质，提髙肥力，提高地力，可以使农业用地变成有持续发展的良性循环的金土地。沼液含有大量丰富的营养成分，是农作物的无公害长效肥料，施用后能增产增收改善土壤结构，克服了我国化肥的施用量急剧增加，导致农田土壤产生质变，有机质含最降低，导致土壤板结，肥力下降等现象。</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②沼液消纳区对地下水的影响</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沼液浇灌方式有釆用田间开沟洒施、叶面喷施和浇施三种方式，宜在各种作物的各生长关键时期之前施用。由场区</w:t>
      </w:r>
      <w:r>
        <w:rPr>
          <w:rFonts w:hint="default" w:ascii="Times New Roman" w:hAnsi="Times New Roman" w:cs="Times New Roman"/>
          <w:b/>
          <w:bCs/>
          <w:color w:val="auto"/>
          <w:u w:val="single"/>
          <w:lang w:eastAsia="zh-CN"/>
        </w:rPr>
        <w:t>沼液存储池</w:t>
      </w:r>
      <w:r>
        <w:rPr>
          <w:rFonts w:hint="default" w:ascii="Times New Roman" w:hAnsi="Times New Roman" w:cs="Times New Roman"/>
          <w:b/>
          <w:bCs/>
          <w:color w:val="auto"/>
          <w:u w:val="single"/>
        </w:rPr>
        <w:t>引至施肥农田配套管道主干管长度为1275m，支管长度为430m，主干管直径为160mm，支管直径分别为110mm和75mm。支管上设有阀门及施肥口，每两个施肥口间隔50-80m。用作基肥，当地群众只需通过软管和预留口连接，在田间采用喷灌的方式对农田进行施肥。喷灌方式相对开沟洒施和浇施来讲对地下水影响最小。</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③沼液施肥对地下水可能存在的影响</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本项目产生的沼液暂存于</w:t>
      </w:r>
      <w:r>
        <w:rPr>
          <w:rFonts w:hint="default" w:ascii="Times New Roman" w:hAnsi="Times New Roman" w:cs="Times New Roman"/>
          <w:b/>
          <w:bCs/>
          <w:color w:val="auto"/>
          <w:u w:val="single"/>
          <w:lang w:eastAsia="zh-CN"/>
        </w:rPr>
        <w:t>沼液存储池</w:t>
      </w:r>
      <w:r>
        <w:rPr>
          <w:rFonts w:hint="default" w:ascii="Times New Roman" w:hAnsi="Times New Roman" w:cs="Times New Roman"/>
          <w:b/>
          <w:bCs/>
          <w:color w:val="auto"/>
          <w:u w:val="single"/>
        </w:rPr>
        <w:t>内，在施肥季节施用于农田，沼液施用于农田可能会对地下水水质造成影响。沼液中NH</w:t>
      </w:r>
      <w:r>
        <w:rPr>
          <w:rFonts w:hint="default" w:ascii="Times New Roman" w:hAnsi="Times New Roman" w:cs="Times New Roman"/>
          <w:b/>
          <w:bCs/>
          <w:color w:val="auto"/>
          <w:u w:val="single"/>
          <w:vertAlign w:val="subscript"/>
        </w:rPr>
        <w:t>3</w:t>
      </w:r>
      <w:r>
        <w:rPr>
          <w:rFonts w:hint="default" w:ascii="Times New Roman" w:hAnsi="Times New Roman" w:cs="Times New Roman"/>
          <w:b/>
          <w:bCs/>
          <w:color w:val="auto"/>
          <w:u w:val="single"/>
        </w:rPr>
        <w:t>-N在包气带中的迁移是一个复杂的过程，主要的化学反应是硝化、反硝化作用。本项目厌氧处理后的废水水质简单，经过在耕作土中的迁移转化、吸附降解等作用，能够渗入地下水的污染物较少，进入环境的NH</w:t>
      </w:r>
      <w:r>
        <w:rPr>
          <w:rFonts w:hint="default" w:ascii="Times New Roman" w:hAnsi="Times New Roman" w:cs="Times New Roman"/>
          <w:b/>
          <w:bCs/>
          <w:color w:val="auto"/>
          <w:u w:val="single"/>
          <w:vertAlign w:val="subscript"/>
        </w:rPr>
        <w:t>3</w:t>
      </w:r>
      <w:r>
        <w:rPr>
          <w:rFonts w:hint="default" w:ascii="Times New Roman" w:hAnsi="Times New Roman" w:cs="Times New Roman"/>
          <w:b/>
          <w:bCs/>
          <w:color w:val="auto"/>
          <w:u w:val="single"/>
        </w:rPr>
        <w:t>-N被大量吸附并保存在土壤中。由于植物的根区效应，在植物的根系周围形成了许多好氧、缺氧和厌氧小区，NH</w:t>
      </w:r>
      <w:r>
        <w:rPr>
          <w:rFonts w:hint="default" w:ascii="Times New Roman" w:hAnsi="Times New Roman" w:cs="Times New Roman"/>
          <w:b/>
          <w:bCs/>
          <w:color w:val="auto"/>
          <w:u w:val="single"/>
          <w:vertAlign w:val="subscript"/>
        </w:rPr>
        <w:t>3</w:t>
      </w:r>
      <w:r>
        <w:rPr>
          <w:rFonts w:hint="default" w:ascii="Times New Roman" w:hAnsi="Times New Roman" w:cs="Times New Roman"/>
          <w:b/>
          <w:bCs/>
          <w:color w:val="auto"/>
          <w:u w:val="single"/>
        </w:rPr>
        <w:t>-N在植物根系好氧环境下经硝化作用转化为NO</w:t>
      </w:r>
      <w:r>
        <w:rPr>
          <w:rFonts w:hint="default" w:ascii="Times New Roman" w:hAnsi="Times New Roman" w:cs="Times New Roman"/>
          <w:b/>
          <w:bCs/>
          <w:color w:val="auto"/>
          <w:u w:val="single"/>
          <w:vertAlign w:val="subscript"/>
        </w:rPr>
        <w:t>3</w:t>
      </w:r>
      <w:r>
        <w:rPr>
          <w:rFonts w:hint="default" w:ascii="Times New Roman" w:hAnsi="Times New Roman" w:cs="Times New Roman"/>
          <w:b/>
          <w:bCs/>
          <w:color w:val="auto"/>
          <w:u w:val="single"/>
          <w:vertAlign w:val="superscript"/>
        </w:rPr>
        <w:t>-</w:t>
      </w:r>
      <w:r>
        <w:rPr>
          <w:rFonts w:hint="default" w:ascii="Times New Roman" w:hAnsi="Times New Roman" w:cs="Times New Roman"/>
          <w:b/>
          <w:bCs/>
          <w:color w:val="auto"/>
          <w:u w:val="single"/>
        </w:rPr>
        <w:t>，NO</w:t>
      </w:r>
      <w:r>
        <w:rPr>
          <w:rFonts w:hint="default" w:ascii="Times New Roman" w:hAnsi="Times New Roman" w:cs="Times New Roman"/>
          <w:b/>
          <w:bCs/>
          <w:color w:val="auto"/>
          <w:u w:val="single"/>
          <w:vertAlign w:val="subscript"/>
        </w:rPr>
        <w:t>3</w:t>
      </w:r>
      <w:r>
        <w:rPr>
          <w:rFonts w:hint="default" w:ascii="Times New Roman" w:hAnsi="Times New Roman" w:cs="Times New Roman"/>
          <w:b/>
          <w:bCs/>
          <w:color w:val="auto"/>
          <w:u w:val="single"/>
          <w:vertAlign w:val="superscript"/>
        </w:rPr>
        <w:t>-</w:t>
      </w:r>
      <w:r>
        <w:rPr>
          <w:rFonts w:hint="default" w:ascii="Times New Roman" w:hAnsi="Times New Roman" w:cs="Times New Roman"/>
          <w:b/>
          <w:bCs/>
          <w:color w:val="auto"/>
          <w:u w:val="single"/>
        </w:rPr>
        <w:t>扩散到缺氧区，通过微生物的反硝化作用还原为N</w:t>
      </w:r>
      <w:r>
        <w:rPr>
          <w:rFonts w:hint="default" w:ascii="Times New Roman" w:hAnsi="Times New Roman" w:cs="Times New Roman"/>
          <w:b/>
          <w:bCs/>
          <w:color w:val="auto"/>
          <w:u w:val="single"/>
          <w:vertAlign w:val="subscript"/>
        </w:rPr>
        <w:t>2</w:t>
      </w:r>
      <w:r>
        <w:rPr>
          <w:rFonts w:hint="default" w:ascii="Times New Roman" w:hAnsi="Times New Roman" w:cs="Times New Roman"/>
          <w:b/>
          <w:bCs/>
          <w:color w:val="auto"/>
          <w:u w:val="single"/>
        </w:rPr>
        <w:t>或N</w:t>
      </w:r>
      <w:r>
        <w:rPr>
          <w:rFonts w:hint="default" w:ascii="Times New Roman" w:hAnsi="Times New Roman" w:cs="Times New Roman"/>
          <w:b/>
          <w:bCs/>
          <w:color w:val="auto"/>
          <w:u w:val="single"/>
          <w:vertAlign w:val="subscript"/>
        </w:rPr>
        <w:t>2</w:t>
      </w:r>
      <w:r>
        <w:rPr>
          <w:rFonts w:hint="default" w:ascii="Times New Roman" w:hAnsi="Times New Roman" w:cs="Times New Roman"/>
          <w:b/>
          <w:bCs/>
          <w:color w:val="auto"/>
          <w:u w:val="single"/>
        </w:rPr>
        <w:t>O而去除。</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A.正常工况下污染源预测</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据文献资料《废水中氨氮在土壤处理系统中迁移转化的模拟研究》，包气带对污染物的吸附过程是线性的，即S=K</w:t>
      </w:r>
      <w:r>
        <w:rPr>
          <w:rFonts w:hint="default" w:ascii="Times New Roman" w:hAnsi="Times New Roman" w:cs="Times New Roman"/>
          <w:b/>
          <w:bCs/>
          <w:color w:val="auto"/>
          <w:u w:val="single"/>
          <w:vertAlign w:val="subscript"/>
        </w:rPr>
        <w:t>d</w:t>
      </w:r>
      <w:r>
        <w:rPr>
          <w:rFonts w:hint="default" w:ascii="Times New Roman" w:hAnsi="Times New Roman" w:cs="Times New Roman"/>
          <w:b/>
          <w:bCs/>
          <w:color w:val="auto"/>
          <w:u w:val="single"/>
        </w:rPr>
        <w:t>C，吸附系数K</w:t>
      </w:r>
      <w:r>
        <w:rPr>
          <w:rFonts w:hint="default" w:ascii="Times New Roman" w:hAnsi="Times New Roman" w:cs="Times New Roman"/>
          <w:b/>
          <w:bCs/>
          <w:color w:val="auto"/>
          <w:u w:val="single"/>
          <w:vertAlign w:val="subscript"/>
        </w:rPr>
        <w:t>d</w:t>
      </w:r>
      <w:r>
        <w:rPr>
          <w:rFonts w:hint="default" w:ascii="Times New Roman" w:hAnsi="Times New Roman" w:cs="Times New Roman"/>
          <w:b/>
          <w:bCs/>
          <w:color w:val="auto"/>
          <w:u w:val="single"/>
        </w:rPr>
        <w:t>=0.0976；降解曲线符合一级动力学方程，即C=C</w:t>
      </w:r>
      <w:r>
        <w:rPr>
          <w:rFonts w:hint="default" w:ascii="Times New Roman" w:hAnsi="Times New Roman" w:cs="Times New Roman"/>
          <w:b/>
          <w:bCs/>
          <w:color w:val="auto"/>
          <w:u w:val="single"/>
          <w:vertAlign w:val="subscript"/>
        </w:rPr>
        <w:t>0</w:t>
      </w:r>
      <w:r>
        <w:rPr>
          <w:rFonts w:hint="default" w:ascii="Times New Roman" w:hAnsi="Times New Roman" w:cs="Times New Roman"/>
          <w:b/>
          <w:bCs/>
          <w:color w:val="auto"/>
          <w:u w:val="single"/>
        </w:rPr>
        <w:t>e</w:t>
      </w:r>
      <w:r>
        <w:rPr>
          <w:rFonts w:hint="default" w:ascii="Times New Roman" w:hAnsi="Times New Roman" w:cs="Times New Roman"/>
          <w:b/>
          <w:bCs/>
          <w:color w:val="auto"/>
          <w:u w:val="single"/>
          <w:vertAlign w:val="superscript"/>
        </w:rPr>
        <w:t>-λt</w:t>
      </w:r>
      <w:r>
        <w:rPr>
          <w:rFonts w:hint="default" w:ascii="Times New Roman" w:hAnsi="Times New Roman" w:cs="Times New Roman"/>
          <w:b/>
          <w:bCs/>
          <w:color w:val="auto"/>
          <w:u w:val="single"/>
        </w:rPr>
        <w:t>，降解系数λ=0.0324d</w:t>
      </w:r>
      <w:r>
        <w:rPr>
          <w:rFonts w:hint="default" w:ascii="Times New Roman" w:hAnsi="Times New Roman" w:cs="Times New Roman"/>
          <w:b/>
          <w:bCs/>
          <w:color w:val="auto"/>
          <w:u w:val="single"/>
          <w:vertAlign w:val="superscript"/>
        </w:rPr>
        <w:t>-1</w:t>
      </w:r>
      <w:r>
        <w:rPr>
          <w:rFonts w:hint="default" w:ascii="Times New Roman" w:hAnsi="Times New Roman" w:cs="Times New Roman"/>
          <w:b/>
          <w:bCs/>
          <w:color w:val="auto"/>
          <w:u w:val="single"/>
        </w:rPr>
        <w:t>。在没有底部、侧部和顶部的防护系统的情况下大致需要6天，污染能穿透1m的包气带土层；10天能穿透2m的包气带土层；23天后污染物浓度会降为0。由此可知，NH</w:t>
      </w:r>
      <w:r>
        <w:rPr>
          <w:rFonts w:hint="default" w:ascii="Times New Roman" w:hAnsi="Times New Roman" w:cs="Times New Roman"/>
          <w:b/>
          <w:bCs/>
          <w:color w:val="auto"/>
          <w:u w:val="single"/>
          <w:vertAlign w:val="subscript"/>
        </w:rPr>
        <w:t>3</w:t>
      </w:r>
      <w:r>
        <w:rPr>
          <w:rFonts w:hint="default" w:ascii="Times New Roman" w:hAnsi="Times New Roman" w:cs="Times New Roman"/>
          <w:b/>
          <w:bCs/>
          <w:color w:val="auto"/>
          <w:u w:val="single"/>
        </w:rPr>
        <w:t>-N基本上不会到达地下水层，因此，本项目NH</w:t>
      </w:r>
      <w:r>
        <w:rPr>
          <w:rFonts w:hint="default" w:ascii="Times New Roman" w:hAnsi="Times New Roman" w:cs="Times New Roman"/>
          <w:b/>
          <w:bCs/>
          <w:color w:val="auto"/>
          <w:u w:val="single"/>
          <w:vertAlign w:val="subscript"/>
        </w:rPr>
        <w:t>3</w:t>
      </w:r>
      <w:r>
        <w:rPr>
          <w:rFonts w:hint="default" w:ascii="Times New Roman" w:hAnsi="Times New Roman" w:cs="Times New Roman"/>
          <w:b/>
          <w:bCs/>
          <w:color w:val="auto"/>
          <w:u w:val="single"/>
        </w:rPr>
        <w:t>-N排放对地下水不会产生较大影响。</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另外，牧原公司对于沼液消纳地应建立科学合理的沼液利用制度，肥水适当施用，由企业结合农业技术部门根据天气状况、当地土地消纳能力、农田施肥及灌溉规律等定时定量合理施肥，防止过度施肥而影响地下水环境。</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B.事故工况下污染源预测</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本项目事故主要考虑沼液暂存及使用单元、污水处理单元和输水管道的渗漏问题，此时污染物直接进入表土层，其浓度能在瞬间达到最大值，但是通过表土层以及包气带土层的降解左右，到达地下水埋深时其浓度很小，对地下水影响不大。考虑渗漏时间较长，包气带土层中污染物含量处于饱和状态，无法再降解，此时污染物就会出现下渗，可能会对地下水产生一定的污染。</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评价建议项目建设和运行过程中要加强地下水污染防治措施以减轻对区域地下水的影响：</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对场内</w:t>
      </w:r>
      <w:r>
        <w:rPr>
          <w:rFonts w:hint="default" w:ascii="Times New Roman" w:hAnsi="Times New Roman" w:cs="Times New Roman"/>
          <w:b/>
          <w:bCs/>
          <w:color w:val="auto"/>
          <w:u w:val="single"/>
          <w:lang w:eastAsia="zh-CN"/>
        </w:rPr>
        <w:t>沼液存储池</w:t>
      </w:r>
      <w:r>
        <w:rPr>
          <w:rFonts w:hint="default" w:ascii="Times New Roman" w:hAnsi="Times New Roman" w:cs="Times New Roman"/>
          <w:b/>
          <w:bCs/>
          <w:color w:val="auto"/>
          <w:u w:val="single"/>
        </w:rPr>
        <w:t>应严格按照规范进行设计，做好防渗、防漏工程，同时输送管道严防跑、冒、滴、漏等，防止污水渗漏对地下水造成污染。成立事故处理组织，一旦发生管线泄漏、防渗层破裂，应立即组织人力、物力、财力加紧进行维修，同时进行废水拦截、回收、转移，以防止污染地下水。</w:t>
      </w:r>
    </w:p>
    <w:p>
      <w:pPr>
        <w:ind w:firstLine="480"/>
        <w:rPr>
          <w:rFonts w:hint="default" w:ascii="Times New Roman" w:hAnsi="Times New Roman" w:cs="Times New Roman"/>
          <w:color w:val="auto"/>
        </w:rPr>
      </w:pPr>
      <w:r>
        <w:rPr>
          <w:rFonts w:hint="default" w:ascii="Times New Roman" w:hAnsi="Times New Roman" w:cs="Times New Roman"/>
          <w:color w:val="auto"/>
        </w:rPr>
        <w:t>④地下水的防治措施</w:t>
      </w:r>
    </w:p>
    <w:p>
      <w:pPr>
        <w:ind w:firstLine="480"/>
        <w:rPr>
          <w:rFonts w:hint="default" w:ascii="Times New Roman" w:hAnsi="Times New Roman" w:cs="Times New Roman"/>
          <w:color w:val="auto"/>
        </w:rPr>
      </w:pPr>
      <w:r>
        <w:rPr>
          <w:rFonts w:hint="default" w:ascii="Times New Roman" w:hAnsi="Times New Roman" w:cs="Times New Roman"/>
          <w:color w:val="auto"/>
        </w:rPr>
        <w:t>沼液对于提高作物产量与品质提升土壤肥力促进植物种子萌发防治病虫害等方面具有积极作用，但长时间大量使用对于土壤地下水存在污染风险；农户由于自身的局限性，在实际生产中往往只关注提高作物产量，一味的加大沼液用量，而忽视了此举给地下水环境带来的不可逆污染。为了解决沼液对地下水环境的影响，建立地下水预警系统，在沼液消纳区地下水上下游建两口地下水监测井。消纳地由当地农民根据需要自己种植作物，公司负责无偿将沼液输送管网铺设至田间地头，然后根据施肥需求定期派出管理和技术人员指导农户合理施用沼液。</w:t>
      </w:r>
    </w:p>
    <w:p>
      <w:pPr>
        <w:ind w:firstLine="480"/>
        <w:rPr>
          <w:rFonts w:hint="default" w:ascii="Times New Roman" w:hAnsi="Times New Roman" w:cs="Times New Roman"/>
          <w:color w:val="auto"/>
        </w:rPr>
      </w:pPr>
      <w:r>
        <w:rPr>
          <w:rFonts w:hint="default" w:ascii="Times New Roman" w:hAnsi="Times New Roman" w:cs="Times New Roman"/>
          <w:color w:val="auto"/>
        </w:rPr>
        <w:t>（3）沼液施肥对饮用水源地的影响</w:t>
      </w:r>
    </w:p>
    <w:p>
      <w:pPr>
        <w:ind w:firstLine="480"/>
        <w:rPr>
          <w:rFonts w:hint="default" w:ascii="Times New Roman" w:hAnsi="Times New Roman" w:cs="Times New Roman"/>
          <w:color w:val="auto"/>
        </w:rPr>
      </w:pPr>
      <w:r>
        <w:rPr>
          <w:rFonts w:hint="default" w:ascii="Times New Roman" w:hAnsi="Times New Roman" w:cs="Times New Roman"/>
          <w:color w:val="auto"/>
        </w:rPr>
        <w:t>经对比清丰饮用水水源地保护区划，距本项目最近的水源地保护区为清丰县韩村乡地下水井群饮用水水源地饮用水水源地一级保护区，位于本项目南侧1.7km处，不在饮用水源保护区范围内，距其有一定距离，项目建设对其影响不大。</w:t>
      </w:r>
    </w:p>
    <w:p>
      <w:pPr>
        <w:ind w:firstLine="480"/>
        <w:rPr>
          <w:rFonts w:hint="default" w:ascii="Times New Roman" w:hAnsi="Times New Roman" w:cs="Times New Roman"/>
          <w:color w:val="auto"/>
        </w:rPr>
      </w:pPr>
      <w:r>
        <w:rPr>
          <w:rFonts w:hint="default" w:ascii="Times New Roman" w:hAnsi="Times New Roman" w:cs="Times New Roman"/>
          <w:color w:val="auto"/>
        </w:rPr>
        <w:t>（4）牧原其他已运行养殖场施肥地块消纳地监测井类比分析</w:t>
      </w:r>
    </w:p>
    <w:p>
      <w:pPr>
        <w:ind w:firstLine="480"/>
        <w:rPr>
          <w:rFonts w:hint="default" w:ascii="Times New Roman" w:hAnsi="Times New Roman" w:cs="Times New Roman"/>
          <w:color w:val="auto"/>
        </w:rPr>
      </w:pPr>
      <w:r>
        <w:rPr>
          <w:rFonts w:hint="default" w:ascii="Times New Roman" w:hAnsi="Times New Roman" w:cs="Times New Roman"/>
          <w:color w:val="auto"/>
        </w:rPr>
        <w:t>南阳市卧龙牧原养殖有限公司水寨分场年出栏生猪10万头；存栏3000头后备母猪、16000头怀孕母猪、4000头哺乳母猪、16200头保育猪、34200头育肥猪。项目环境影响报告书于2011年8月经南阳市环保局批复（宛环审〔2011〕173号），于2012年8月建成运行，于2015年9月进行了环保验收，根据该场周围沼液消纳地快的地下水监测结果，见表5.2-</w:t>
      </w:r>
      <w:r>
        <w:rPr>
          <w:rFonts w:hint="eastAsia" w:cs="Times New Roman"/>
          <w:color w:val="auto"/>
          <w:lang w:val="en-US" w:eastAsia="zh-CN"/>
        </w:rPr>
        <w:t>32</w:t>
      </w:r>
      <w:r>
        <w:rPr>
          <w:rFonts w:hint="default" w:ascii="Times New Roman" w:hAnsi="Times New Roman" w:cs="Times New Roman"/>
          <w:color w:val="auto"/>
        </w:rPr>
        <w:t>。</w:t>
      </w:r>
    </w:p>
    <w:p>
      <w:pPr>
        <w:spacing w:afterLines="30"/>
        <w:ind w:left="851"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表5.2-</w:t>
      </w:r>
      <w:r>
        <w:rPr>
          <w:rFonts w:hint="eastAsia" w:cs="Times New Roman"/>
          <w:b/>
          <w:color w:val="auto"/>
          <w:szCs w:val="21"/>
          <w:lang w:val="en-US" w:eastAsia="zh-CN"/>
        </w:rPr>
        <w:t>32</w:t>
      </w:r>
      <w:r>
        <w:rPr>
          <w:rFonts w:hint="default" w:ascii="Times New Roman" w:hAnsi="Times New Roman" w:cs="Times New Roman"/>
          <w:b/>
          <w:color w:val="auto"/>
          <w:szCs w:val="21"/>
        </w:rPr>
        <w:t xml:space="preserve">                  施肥地块监测井地下水监测结果</w:t>
      </w:r>
    </w:p>
    <w:tbl>
      <w:tblPr>
        <w:tblStyle w:val="25"/>
        <w:tblW w:w="894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134"/>
        <w:gridCol w:w="584"/>
        <w:gridCol w:w="1019"/>
        <w:gridCol w:w="1019"/>
        <w:gridCol w:w="1019"/>
        <w:gridCol w:w="1019"/>
        <w:gridCol w:w="1019"/>
        <w:gridCol w:w="74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spacing w:line="240" w:lineRule="auto"/>
              <w:ind w:firstLine="0" w:firstLineChars="0"/>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监测点位</w:t>
            </w:r>
          </w:p>
        </w:tc>
        <w:tc>
          <w:tcPr>
            <w:tcW w:w="1134" w:type="dxa"/>
            <w:vAlign w:val="center"/>
          </w:tcPr>
          <w:p>
            <w:pPr>
              <w:spacing w:line="240" w:lineRule="auto"/>
              <w:ind w:firstLine="0" w:firstLineChars="0"/>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监测时间</w:t>
            </w:r>
          </w:p>
        </w:tc>
        <w:tc>
          <w:tcPr>
            <w:tcW w:w="584" w:type="dxa"/>
            <w:vAlign w:val="center"/>
          </w:tcPr>
          <w:p>
            <w:pPr>
              <w:spacing w:line="240" w:lineRule="auto"/>
              <w:ind w:firstLine="0" w:firstLineChars="0"/>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pH</w:t>
            </w:r>
          </w:p>
        </w:tc>
        <w:tc>
          <w:tcPr>
            <w:tcW w:w="1019" w:type="dxa"/>
            <w:vAlign w:val="center"/>
          </w:tcPr>
          <w:p>
            <w:pPr>
              <w:spacing w:line="240" w:lineRule="auto"/>
              <w:ind w:firstLine="0" w:firstLineChars="0"/>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总硬度（mg/L）</w:t>
            </w:r>
          </w:p>
        </w:tc>
        <w:tc>
          <w:tcPr>
            <w:tcW w:w="1019" w:type="dxa"/>
            <w:vAlign w:val="center"/>
          </w:tcPr>
          <w:p>
            <w:pPr>
              <w:spacing w:line="240" w:lineRule="auto"/>
              <w:ind w:firstLine="0" w:firstLineChars="0"/>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硝酸盐（mg/L）</w:t>
            </w:r>
          </w:p>
        </w:tc>
        <w:tc>
          <w:tcPr>
            <w:tcW w:w="1019" w:type="dxa"/>
            <w:vAlign w:val="center"/>
          </w:tcPr>
          <w:p>
            <w:pPr>
              <w:spacing w:line="240" w:lineRule="auto"/>
              <w:ind w:firstLine="0" w:firstLineChars="0"/>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高锰酸钾指数（mg/L）</w:t>
            </w:r>
          </w:p>
        </w:tc>
        <w:tc>
          <w:tcPr>
            <w:tcW w:w="1019" w:type="dxa"/>
            <w:vAlign w:val="center"/>
          </w:tcPr>
          <w:p>
            <w:pPr>
              <w:spacing w:line="240" w:lineRule="auto"/>
              <w:ind w:firstLine="0" w:firstLineChars="0"/>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氨氮（mg/L）</w:t>
            </w:r>
          </w:p>
        </w:tc>
        <w:tc>
          <w:tcPr>
            <w:tcW w:w="1019" w:type="dxa"/>
            <w:vAlign w:val="center"/>
          </w:tcPr>
          <w:p>
            <w:pPr>
              <w:spacing w:line="240" w:lineRule="auto"/>
              <w:ind w:firstLine="0" w:firstLineChars="0"/>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总大肠菌群（mg/L）</w:t>
            </w:r>
          </w:p>
        </w:tc>
        <w:tc>
          <w:tcPr>
            <w:tcW w:w="749" w:type="dxa"/>
            <w:vAlign w:val="center"/>
          </w:tcPr>
          <w:p>
            <w:pPr>
              <w:spacing w:line="240" w:lineRule="auto"/>
              <w:ind w:firstLine="0" w:firstLineChars="0"/>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井深（m）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1#井</w:t>
            </w:r>
          </w:p>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（对照井</w:t>
            </w:r>
          </w:p>
        </w:tc>
        <w:tc>
          <w:tcPr>
            <w:tcW w:w="1134"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2015.8.6</w:t>
            </w:r>
          </w:p>
        </w:tc>
        <w:tc>
          <w:tcPr>
            <w:tcW w:w="584"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7.05</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340</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0.908</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1.25</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0.055</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＜3</w:t>
            </w:r>
          </w:p>
        </w:tc>
        <w:tc>
          <w:tcPr>
            <w:tcW w:w="749" w:type="dxa"/>
            <w:vMerge w:val="restart"/>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p>
        </w:tc>
        <w:tc>
          <w:tcPr>
            <w:tcW w:w="1134"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2015.8.7</w:t>
            </w:r>
          </w:p>
        </w:tc>
        <w:tc>
          <w:tcPr>
            <w:tcW w:w="584"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7.00</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340</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0.903</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1.28</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0.049</w:t>
            </w:r>
          </w:p>
        </w:tc>
        <w:tc>
          <w:tcPr>
            <w:tcW w:w="1019" w:type="dxa"/>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＜3</w:t>
            </w:r>
          </w:p>
        </w:tc>
        <w:tc>
          <w:tcPr>
            <w:tcW w:w="749" w:type="dxa"/>
            <w:vMerge w:val="continue"/>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p>
        </w:tc>
        <w:tc>
          <w:tcPr>
            <w:tcW w:w="1134"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2015.8.8</w:t>
            </w:r>
          </w:p>
        </w:tc>
        <w:tc>
          <w:tcPr>
            <w:tcW w:w="584"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7.00</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342</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0.910</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1.21</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0.053</w:t>
            </w:r>
          </w:p>
        </w:tc>
        <w:tc>
          <w:tcPr>
            <w:tcW w:w="1019" w:type="dxa"/>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＜3</w:t>
            </w:r>
          </w:p>
        </w:tc>
        <w:tc>
          <w:tcPr>
            <w:tcW w:w="749" w:type="dxa"/>
            <w:vMerge w:val="continue"/>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2#井</w:t>
            </w:r>
          </w:p>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（控制井）</w:t>
            </w:r>
          </w:p>
        </w:tc>
        <w:tc>
          <w:tcPr>
            <w:tcW w:w="1134"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2015.8.6</w:t>
            </w:r>
          </w:p>
        </w:tc>
        <w:tc>
          <w:tcPr>
            <w:tcW w:w="584"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7.04</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340</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0.930</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1.42</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0.050</w:t>
            </w:r>
          </w:p>
        </w:tc>
        <w:tc>
          <w:tcPr>
            <w:tcW w:w="1019" w:type="dxa"/>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＜3</w:t>
            </w:r>
          </w:p>
        </w:tc>
        <w:tc>
          <w:tcPr>
            <w:tcW w:w="749" w:type="dxa"/>
            <w:vMerge w:val="restart"/>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p>
        </w:tc>
        <w:tc>
          <w:tcPr>
            <w:tcW w:w="1134"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2015.8.7</w:t>
            </w:r>
          </w:p>
        </w:tc>
        <w:tc>
          <w:tcPr>
            <w:tcW w:w="584"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7.05</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336</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0.926</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1.48</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0.055</w:t>
            </w:r>
          </w:p>
        </w:tc>
        <w:tc>
          <w:tcPr>
            <w:tcW w:w="1019" w:type="dxa"/>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＜3</w:t>
            </w:r>
          </w:p>
        </w:tc>
        <w:tc>
          <w:tcPr>
            <w:tcW w:w="749" w:type="dxa"/>
            <w:vMerge w:val="continue"/>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p>
        </w:tc>
        <w:tc>
          <w:tcPr>
            <w:tcW w:w="1134"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2015.8.8</w:t>
            </w:r>
          </w:p>
        </w:tc>
        <w:tc>
          <w:tcPr>
            <w:tcW w:w="584"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7.05</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334</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0.921</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1.36</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0.048</w:t>
            </w:r>
          </w:p>
        </w:tc>
        <w:tc>
          <w:tcPr>
            <w:tcW w:w="1019" w:type="dxa"/>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＜3</w:t>
            </w:r>
          </w:p>
        </w:tc>
        <w:tc>
          <w:tcPr>
            <w:tcW w:w="749" w:type="dxa"/>
            <w:vMerge w:val="continue"/>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3#井</w:t>
            </w:r>
          </w:p>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（控制井）</w:t>
            </w:r>
          </w:p>
        </w:tc>
        <w:tc>
          <w:tcPr>
            <w:tcW w:w="1134"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2015.8.6</w:t>
            </w:r>
          </w:p>
        </w:tc>
        <w:tc>
          <w:tcPr>
            <w:tcW w:w="584"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7.05</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336</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0.910</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1.56</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0.045</w:t>
            </w:r>
          </w:p>
        </w:tc>
        <w:tc>
          <w:tcPr>
            <w:tcW w:w="1019" w:type="dxa"/>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＜3</w:t>
            </w:r>
          </w:p>
        </w:tc>
        <w:tc>
          <w:tcPr>
            <w:tcW w:w="749" w:type="dxa"/>
            <w:vMerge w:val="restart"/>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p>
        </w:tc>
        <w:tc>
          <w:tcPr>
            <w:tcW w:w="1134"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2015.8.7</w:t>
            </w:r>
          </w:p>
        </w:tc>
        <w:tc>
          <w:tcPr>
            <w:tcW w:w="584"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7.00</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336</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0.914</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1.52</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0.050</w:t>
            </w:r>
          </w:p>
        </w:tc>
        <w:tc>
          <w:tcPr>
            <w:tcW w:w="1019" w:type="dxa"/>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＜3</w:t>
            </w:r>
          </w:p>
        </w:tc>
        <w:tc>
          <w:tcPr>
            <w:tcW w:w="749" w:type="dxa"/>
            <w:vMerge w:val="continue"/>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p>
        </w:tc>
        <w:tc>
          <w:tcPr>
            <w:tcW w:w="1134"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2015.8.8</w:t>
            </w:r>
          </w:p>
        </w:tc>
        <w:tc>
          <w:tcPr>
            <w:tcW w:w="584"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7.00</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336</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0.923</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1.53</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0.048</w:t>
            </w:r>
          </w:p>
        </w:tc>
        <w:tc>
          <w:tcPr>
            <w:tcW w:w="1019" w:type="dxa"/>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＜3</w:t>
            </w:r>
          </w:p>
        </w:tc>
        <w:tc>
          <w:tcPr>
            <w:tcW w:w="749" w:type="dxa"/>
            <w:vMerge w:val="continue"/>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restart"/>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4#井</w:t>
            </w:r>
          </w:p>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（控制井）</w:t>
            </w:r>
          </w:p>
        </w:tc>
        <w:tc>
          <w:tcPr>
            <w:tcW w:w="1134"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2015.8.6</w:t>
            </w:r>
          </w:p>
        </w:tc>
        <w:tc>
          <w:tcPr>
            <w:tcW w:w="584"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7.03</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340</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0.928</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1.72</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0.053</w:t>
            </w:r>
          </w:p>
        </w:tc>
        <w:tc>
          <w:tcPr>
            <w:tcW w:w="1019" w:type="dxa"/>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＜3</w:t>
            </w:r>
          </w:p>
        </w:tc>
        <w:tc>
          <w:tcPr>
            <w:tcW w:w="749" w:type="dxa"/>
            <w:vMerge w:val="restart"/>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27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p>
        </w:tc>
        <w:tc>
          <w:tcPr>
            <w:tcW w:w="1134"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2015.8.7</w:t>
            </w:r>
          </w:p>
        </w:tc>
        <w:tc>
          <w:tcPr>
            <w:tcW w:w="584"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7.04</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336</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0.926</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1.76</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0.054</w:t>
            </w:r>
          </w:p>
        </w:tc>
        <w:tc>
          <w:tcPr>
            <w:tcW w:w="1019" w:type="dxa"/>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＜3</w:t>
            </w:r>
          </w:p>
        </w:tc>
        <w:tc>
          <w:tcPr>
            <w:tcW w:w="749" w:type="dxa"/>
            <w:vMerge w:val="continue"/>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4" w:type="dxa"/>
            <w:vMerge w:val="continue"/>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p>
        </w:tc>
        <w:tc>
          <w:tcPr>
            <w:tcW w:w="1134"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2015.8.8</w:t>
            </w:r>
          </w:p>
        </w:tc>
        <w:tc>
          <w:tcPr>
            <w:tcW w:w="584"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7.05</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336</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0.932</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1.79</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0.048</w:t>
            </w:r>
          </w:p>
        </w:tc>
        <w:tc>
          <w:tcPr>
            <w:tcW w:w="1019" w:type="dxa"/>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＜3</w:t>
            </w:r>
          </w:p>
        </w:tc>
        <w:tc>
          <w:tcPr>
            <w:tcW w:w="749" w:type="dxa"/>
            <w:vMerge w:val="continue"/>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1384"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 xml:space="preserve">《地下水质量标准》 （GB/T14848-2017）Ⅲ类 </w:t>
            </w:r>
          </w:p>
        </w:tc>
        <w:tc>
          <w:tcPr>
            <w:tcW w:w="1134"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w:t>
            </w:r>
          </w:p>
        </w:tc>
        <w:tc>
          <w:tcPr>
            <w:tcW w:w="584"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6.5-8.5</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≤450</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≤20</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≤3.0</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≤0.2</w:t>
            </w:r>
          </w:p>
        </w:tc>
        <w:tc>
          <w:tcPr>
            <w:tcW w:w="101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≤3.0</w:t>
            </w:r>
          </w:p>
        </w:tc>
        <w:tc>
          <w:tcPr>
            <w:tcW w:w="749" w:type="dxa"/>
            <w:vAlign w:val="center"/>
          </w:tcPr>
          <w:p>
            <w:pPr>
              <w:spacing w:line="240" w:lineRule="auto"/>
              <w:ind w:firstLine="0" w:firstLineChars="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t>/</w:t>
            </w:r>
          </w:p>
        </w:tc>
      </w:tr>
    </w:tbl>
    <w:p>
      <w:pPr>
        <w:ind w:firstLine="480"/>
        <w:rPr>
          <w:rFonts w:hint="default" w:ascii="Times New Roman" w:hAnsi="Times New Roman" w:cs="Times New Roman"/>
          <w:color w:val="auto"/>
        </w:rPr>
      </w:pPr>
      <w:r>
        <w:rPr>
          <w:rFonts w:hint="default" w:ascii="Times New Roman" w:hAnsi="Times New Roman" w:cs="Times New Roman"/>
          <w:color w:val="auto"/>
        </w:rPr>
        <w:t>从监测结果可以看出，各项指标满足《地下水质量标准》（GB/T14848-2017）Ⅲ类标准要求，沼液消纳对周围地下水影响较小。</w:t>
      </w:r>
    </w:p>
    <w:p>
      <w:pPr>
        <w:ind w:firstLine="480"/>
        <w:rPr>
          <w:rFonts w:hint="default" w:ascii="Times New Roman" w:hAnsi="Times New Roman" w:cs="Times New Roman"/>
          <w:color w:val="auto"/>
        </w:rPr>
      </w:pPr>
      <w:r>
        <w:rPr>
          <w:rFonts w:hint="default" w:ascii="Times New Roman" w:hAnsi="Times New Roman" w:cs="Times New Roman"/>
          <w:color w:val="auto"/>
        </w:rPr>
        <w:t>（5）预防地下水污染物的要求及环境管理建议</w:t>
      </w:r>
    </w:p>
    <w:p>
      <w:pPr>
        <w:ind w:firstLine="480"/>
        <w:rPr>
          <w:rFonts w:hint="default" w:ascii="Times New Roman" w:hAnsi="Times New Roman" w:cs="Times New Roman"/>
          <w:color w:val="auto"/>
        </w:rPr>
      </w:pPr>
      <w:r>
        <w:rPr>
          <w:rFonts w:hint="default" w:ascii="Times New Roman" w:hAnsi="Times New Roman" w:cs="Times New Roman"/>
          <w:color w:val="auto"/>
        </w:rPr>
        <w:t>项目在施工和运营阶段，应充分做好排污管道的防渗处理，杜绝污水渗漏，确保污水收集处理系统衔接良好，严格用水管理，防止污水“跑、冒、滴、漏”现象的发生，这样可以保证项目区内产生的全部废水汇集到污水处理站集中处理。营运期环境管理建议严格按照以下要求进行管理：</w:t>
      </w:r>
    </w:p>
    <w:p>
      <w:pPr>
        <w:ind w:firstLine="480"/>
        <w:rPr>
          <w:rFonts w:hint="default" w:ascii="Times New Roman" w:hAnsi="Times New Roman" w:cs="Times New Roman"/>
          <w:color w:val="auto"/>
        </w:rPr>
      </w:pPr>
      <w:r>
        <w:rPr>
          <w:rFonts w:hint="default" w:ascii="Times New Roman" w:hAnsi="Times New Roman" w:cs="Times New Roman"/>
          <w:color w:val="auto"/>
        </w:rPr>
        <w:t>①《畜禽养殖业污染防治技术规范》（HJ/T81－2001）规定，养殖场的排水系统应实施雨水和污水收集输送系统分离，在场区内设置的污水收集输送系统，不得采用明沟布设。排水沟应采取水泥硬化防渗措施或采用水泥排水管进行输送，防止随处溢流和下渗污染。</w:t>
      </w:r>
    </w:p>
    <w:p>
      <w:pPr>
        <w:ind w:firstLine="480"/>
        <w:rPr>
          <w:rFonts w:hint="default" w:ascii="Times New Roman" w:hAnsi="Times New Roman" w:cs="Times New Roman"/>
          <w:color w:val="auto"/>
        </w:rPr>
      </w:pPr>
      <w:r>
        <w:rPr>
          <w:rFonts w:hint="default" w:ascii="Times New Roman" w:hAnsi="Times New Roman" w:cs="Times New Roman"/>
          <w:color w:val="auto"/>
        </w:rPr>
        <w:t>②猪粪贮存设施应采取有效的防渗处理工艺，防止粪便淋滤液污染地下水。</w:t>
      </w:r>
    </w:p>
    <w:p>
      <w:pPr>
        <w:ind w:firstLine="480"/>
        <w:rPr>
          <w:rFonts w:hint="default" w:ascii="Times New Roman" w:hAnsi="Times New Roman" w:cs="Times New Roman"/>
          <w:color w:val="auto"/>
        </w:rPr>
      </w:pPr>
      <w:r>
        <w:rPr>
          <w:rFonts w:hint="default" w:ascii="Times New Roman" w:hAnsi="Times New Roman" w:cs="Times New Roman"/>
          <w:color w:val="auto"/>
        </w:rPr>
        <w:t>③做好收集池、排水沟、</w:t>
      </w:r>
      <w:r>
        <w:rPr>
          <w:rFonts w:hint="default" w:ascii="Times New Roman" w:hAnsi="Times New Roman" w:cs="Times New Roman"/>
          <w:color w:val="auto"/>
          <w:lang w:eastAsia="zh-CN"/>
        </w:rPr>
        <w:t>沼液存储池</w:t>
      </w:r>
      <w:r>
        <w:rPr>
          <w:rFonts w:hint="default" w:ascii="Times New Roman" w:hAnsi="Times New Roman" w:cs="Times New Roman"/>
          <w:color w:val="auto"/>
        </w:rPr>
        <w:t>等的防渗工作，应充分考虑农作期间影响和雨季影响，能够保证有足够的容量以容纳养殖场产生的废水。养殖场废水收集池应按期清淤，各池建设时应高出地面至少20cm以上（本项目各池高出地面在50cm左右），以保证大雨时雨水不进入、污水不外溢。</w:t>
      </w:r>
    </w:p>
    <w:p>
      <w:pPr>
        <w:ind w:firstLine="480"/>
        <w:rPr>
          <w:rFonts w:hint="default" w:ascii="Times New Roman" w:hAnsi="Times New Roman" w:cs="Times New Roman"/>
          <w:color w:val="auto"/>
        </w:rPr>
      </w:pPr>
      <w:r>
        <w:rPr>
          <w:rFonts w:hint="default" w:ascii="Times New Roman" w:hAnsi="Times New Roman" w:cs="Times New Roman"/>
          <w:color w:val="auto"/>
        </w:rPr>
        <w:t>④在沼液消纳区地下水的上下游已有的两口地下水监测井，同时派出管理和技术人员指导农户合理施用沼液。</w:t>
      </w:r>
    </w:p>
    <w:p>
      <w:pPr>
        <w:ind w:firstLine="480"/>
        <w:rPr>
          <w:rFonts w:hint="default" w:ascii="Times New Roman" w:hAnsi="Times New Roman" w:cs="Times New Roman"/>
          <w:color w:val="auto"/>
        </w:rPr>
      </w:pPr>
      <w:r>
        <w:rPr>
          <w:rFonts w:hint="default" w:ascii="Times New Roman" w:hAnsi="Times New Roman" w:cs="Times New Roman"/>
          <w:color w:val="auto"/>
        </w:rPr>
        <w:t>综上分析，建设项目场区地下水环境在落实好防渗、防污措施后，本项目污染物能得到有效处理，对地下水水质影响较小，项目的建设不会产生其他环境地质问题，因此对地下水环境质量影响较小。</w:t>
      </w:r>
    </w:p>
    <w:p>
      <w:pPr>
        <w:pStyle w:val="5"/>
        <w:pBdr>
          <w:right w:val="single" w:color="auto" w:sz="4" w:space="4"/>
        </w:pBdr>
        <w:rPr>
          <w:rFonts w:hint="default" w:ascii="Times New Roman" w:hAnsi="Times New Roman" w:cs="Times New Roman"/>
          <w:color w:val="auto"/>
          <w:kern w:val="44"/>
        </w:rPr>
      </w:pPr>
      <w:bookmarkStart w:id="550" w:name="_Toc477357251"/>
      <w:bookmarkStart w:id="551" w:name="_Toc477187436"/>
      <w:bookmarkStart w:id="552" w:name="_Toc366760264"/>
      <w:bookmarkStart w:id="553" w:name="_Toc354421687"/>
      <w:bookmarkStart w:id="554" w:name="_Toc476923288"/>
      <w:bookmarkStart w:id="555" w:name="_Toc476921970"/>
      <w:r>
        <w:rPr>
          <w:rFonts w:hint="default" w:ascii="Times New Roman" w:hAnsi="Times New Roman" w:cs="Times New Roman"/>
          <w:color w:val="auto"/>
          <w:kern w:val="44"/>
        </w:rPr>
        <w:t>5.2.4声环境质量影响预测与评价</w:t>
      </w:r>
      <w:bookmarkEnd w:id="550"/>
      <w:bookmarkEnd w:id="551"/>
      <w:bookmarkEnd w:id="552"/>
      <w:bookmarkEnd w:id="553"/>
      <w:bookmarkEnd w:id="554"/>
      <w:bookmarkEnd w:id="555"/>
    </w:p>
    <w:p>
      <w:pPr>
        <w:ind w:firstLine="480"/>
        <w:outlineLvl w:val="3"/>
        <w:rPr>
          <w:rFonts w:hint="default" w:ascii="Times New Roman" w:hAnsi="Times New Roman" w:cs="Times New Roman"/>
          <w:color w:val="auto"/>
        </w:rPr>
      </w:pPr>
      <w:r>
        <w:rPr>
          <w:rFonts w:hint="default" w:ascii="Times New Roman" w:hAnsi="Times New Roman" w:cs="Times New Roman"/>
          <w:color w:val="auto"/>
        </w:rPr>
        <w:t>5.2.4.1预测范围及噪声预测点</w:t>
      </w:r>
    </w:p>
    <w:p>
      <w:pPr>
        <w:ind w:firstLine="480"/>
        <w:rPr>
          <w:rFonts w:hint="default" w:ascii="Times New Roman" w:hAnsi="Times New Roman" w:cs="Times New Roman"/>
          <w:bCs/>
          <w:color w:val="auto"/>
        </w:rPr>
      </w:pPr>
      <w:r>
        <w:rPr>
          <w:rFonts w:hint="default" w:ascii="Times New Roman" w:hAnsi="Times New Roman" w:cs="Times New Roman"/>
          <w:bCs/>
          <w:color w:val="auto"/>
        </w:rPr>
        <w:t>由于本项目200m范围内无声环境敏感点，因此，本次评价声环境影响预测范围确定为各厂界。</w:t>
      </w:r>
    </w:p>
    <w:p>
      <w:pPr>
        <w:ind w:firstLine="480"/>
        <w:outlineLvl w:val="3"/>
        <w:rPr>
          <w:rFonts w:hint="default" w:ascii="Times New Roman" w:hAnsi="Times New Roman" w:cs="Times New Roman"/>
          <w:color w:val="auto"/>
        </w:rPr>
      </w:pPr>
      <w:r>
        <w:rPr>
          <w:rFonts w:hint="default" w:ascii="Times New Roman" w:hAnsi="Times New Roman" w:cs="Times New Roman"/>
          <w:color w:val="auto"/>
        </w:rPr>
        <w:t>5.2.4.2噪声源强及声源分布</w:t>
      </w:r>
    </w:p>
    <w:p>
      <w:pPr>
        <w:ind w:firstLine="472" w:firstLineChars="197"/>
        <w:rPr>
          <w:rFonts w:hint="default" w:ascii="Times New Roman" w:hAnsi="Times New Roman" w:cs="Times New Roman"/>
          <w:color w:val="auto"/>
          <w:kern w:val="0"/>
        </w:rPr>
      </w:pPr>
      <w:r>
        <w:rPr>
          <w:rFonts w:hint="default" w:ascii="Times New Roman" w:hAnsi="Times New Roman" w:cs="Times New Roman"/>
          <w:bCs/>
          <w:color w:val="auto"/>
        </w:rPr>
        <w:t>本项目噪声主要为猪叫声、猪舍降温配套负压风机、粪污处理设施等设备运行时产生的噪声，根据类比调查，其源强为70～95dB(A)。本项目噪声源强见表5.2-</w:t>
      </w:r>
      <w:r>
        <w:rPr>
          <w:rFonts w:hint="eastAsia" w:cs="Times New Roman"/>
          <w:bCs/>
          <w:color w:val="auto"/>
          <w:lang w:val="en-US" w:eastAsia="zh-CN"/>
        </w:rPr>
        <w:t>33</w:t>
      </w:r>
      <w:r>
        <w:rPr>
          <w:rFonts w:hint="default" w:ascii="Times New Roman" w:hAnsi="Times New Roman" w:cs="Times New Roman"/>
          <w:bCs/>
          <w:color w:val="auto"/>
        </w:rPr>
        <w:t>。</w:t>
      </w:r>
    </w:p>
    <w:p>
      <w:pPr>
        <w:ind w:firstLine="482"/>
        <w:rPr>
          <w:rFonts w:hint="default" w:ascii="Times New Roman" w:hAnsi="Times New Roman" w:cs="Times New Roman"/>
          <w:b/>
          <w:bCs/>
          <w:color w:val="auto"/>
        </w:rPr>
      </w:pPr>
      <w:r>
        <w:rPr>
          <w:rFonts w:hint="default" w:ascii="Times New Roman" w:hAnsi="Times New Roman" w:cs="Times New Roman"/>
          <w:b/>
          <w:bCs/>
          <w:color w:val="auto"/>
        </w:rPr>
        <w:t>表5.2-</w:t>
      </w:r>
      <w:r>
        <w:rPr>
          <w:rFonts w:hint="eastAsia" w:cs="Times New Roman"/>
          <w:b/>
          <w:bCs/>
          <w:color w:val="auto"/>
          <w:lang w:val="en-US" w:eastAsia="zh-CN"/>
        </w:rPr>
        <w:t>33</w:t>
      </w:r>
      <w:r>
        <w:rPr>
          <w:rFonts w:hint="default" w:ascii="Times New Roman" w:hAnsi="Times New Roman" w:cs="Times New Roman"/>
          <w:b/>
          <w:bCs/>
          <w:color w:val="auto"/>
        </w:rPr>
        <w:t xml:space="preserve">          本项目噪声源强估算表                单位：dB(A)</w:t>
      </w:r>
    </w:p>
    <w:tbl>
      <w:tblPr>
        <w:tblStyle w:val="25"/>
        <w:tblW w:w="8958" w:type="dxa"/>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1586"/>
        <w:gridCol w:w="1338"/>
        <w:gridCol w:w="1353"/>
        <w:gridCol w:w="645"/>
        <w:gridCol w:w="2800"/>
        <w:gridCol w:w="1236"/>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blHeader/>
          <w:jc w:val="center"/>
        </w:trPr>
        <w:tc>
          <w:tcPr>
            <w:tcW w:w="1586"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污染物来源</w:t>
            </w:r>
          </w:p>
        </w:tc>
        <w:tc>
          <w:tcPr>
            <w:tcW w:w="1338"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种 类</w:t>
            </w:r>
          </w:p>
        </w:tc>
        <w:tc>
          <w:tcPr>
            <w:tcW w:w="1353"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产生方式</w:t>
            </w:r>
          </w:p>
        </w:tc>
        <w:tc>
          <w:tcPr>
            <w:tcW w:w="645"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源强</w:t>
            </w:r>
          </w:p>
        </w:tc>
        <w:tc>
          <w:tcPr>
            <w:tcW w:w="2800"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控制要求</w:t>
            </w:r>
          </w:p>
        </w:tc>
        <w:tc>
          <w:tcPr>
            <w:tcW w:w="1236"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排放源强</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blHeader/>
          <w:jc w:val="center"/>
        </w:trPr>
        <w:tc>
          <w:tcPr>
            <w:tcW w:w="1586" w:type="dxa"/>
            <w:vMerge w:val="restart"/>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猪舍</w:t>
            </w:r>
          </w:p>
        </w:tc>
        <w:tc>
          <w:tcPr>
            <w:tcW w:w="1338"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猪叫</w:t>
            </w:r>
          </w:p>
        </w:tc>
        <w:tc>
          <w:tcPr>
            <w:tcW w:w="1353"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间断</w:t>
            </w:r>
          </w:p>
        </w:tc>
        <w:tc>
          <w:tcPr>
            <w:tcW w:w="645"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70</w:t>
            </w:r>
          </w:p>
        </w:tc>
        <w:tc>
          <w:tcPr>
            <w:tcW w:w="2800"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厂房隔声</w:t>
            </w:r>
          </w:p>
        </w:tc>
        <w:tc>
          <w:tcPr>
            <w:tcW w:w="1236"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55</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blHeader/>
          <w:jc w:val="center"/>
        </w:trPr>
        <w:tc>
          <w:tcPr>
            <w:tcW w:w="1586"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338"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风机</w:t>
            </w:r>
          </w:p>
        </w:tc>
        <w:tc>
          <w:tcPr>
            <w:tcW w:w="1353"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连续</w:t>
            </w:r>
          </w:p>
        </w:tc>
        <w:tc>
          <w:tcPr>
            <w:tcW w:w="645"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80</w:t>
            </w:r>
          </w:p>
        </w:tc>
        <w:tc>
          <w:tcPr>
            <w:tcW w:w="2800"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厂房隔声</w:t>
            </w:r>
          </w:p>
        </w:tc>
        <w:tc>
          <w:tcPr>
            <w:tcW w:w="1236"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blHeader/>
          <w:jc w:val="center"/>
        </w:trPr>
        <w:tc>
          <w:tcPr>
            <w:tcW w:w="1586"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粪污处理区</w:t>
            </w:r>
          </w:p>
        </w:tc>
        <w:tc>
          <w:tcPr>
            <w:tcW w:w="1338"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水泵</w:t>
            </w:r>
          </w:p>
        </w:tc>
        <w:tc>
          <w:tcPr>
            <w:tcW w:w="1353"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连续</w:t>
            </w:r>
          </w:p>
        </w:tc>
        <w:tc>
          <w:tcPr>
            <w:tcW w:w="645"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85</w:t>
            </w:r>
          </w:p>
        </w:tc>
        <w:tc>
          <w:tcPr>
            <w:tcW w:w="2800"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选低噪声设备、隔声、减振</w:t>
            </w:r>
          </w:p>
        </w:tc>
        <w:tc>
          <w:tcPr>
            <w:tcW w:w="1236"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65</w:t>
            </w:r>
          </w:p>
        </w:tc>
      </w:tr>
    </w:tbl>
    <w:p>
      <w:pPr>
        <w:spacing w:line="500" w:lineRule="exact"/>
        <w:ind w:firstLine="480"/>
        <w:outlineLvl w:val="3"/>
        <w:rPr>
          <w:rFonts w:hint="default" w:ascii="Times New Roman" w:hAnsi="Times New Roman" w:cs="Times New Roman"/>
          <w:color w:val="auto"/>
        </w:rPr>
      </w:pPr>
      <w:r>
        <w:rPr>
          <w:rFonts w:hint="default" w:ascii="Times New Roman" w:hAnsi="Times New Roman" w:cs="Times New Roman"/>
          <w:color w:val="auto"/>
        </w:rPr>
        <w:t>5.2.4.3评价标准</w:t>
      </w:r>
    </w:p>
    <w:p>
      <w:pPr>
        <w:ind w:firstLine="480"/>
        <w:rPr>
          <w:rFonts w:hint="default" w:ascii="Times New Roman" w:hAnsi="Times New Roman" w:cs="Times New Roman"/>
          <w:color w:val="auto"/>
        </w:rPr>
      </w:pPr>
      <w:r>
        <w:rPr>
          <w:rFonts w:hint="default" w:ascii="Times New Roman" w:hAnsi="Times New Roman" w:cs="Times New Roman"/>
          <w:color w:val="auto"/>
        </w:rPr>
        <w:t>本次声环境影响预测评价标准厂界标准执行《工业企业厂界环境噪声排放标准》（GB12348-2008）2类标准，评价标准详见表5.2-</w:t>
      </w:r>
      <w:r>
        <w:rPr>
          <w:rFonts w:hint="eastAsia" w:cs="Times New Roman"/>
          <w:color w:val="auto"/>
          <w:lang w:val="en-US" w:eastAsia="zh-CN"/>
        </w:rPr>
        <w:t>34</w:t>
      </w:r>
      <w:r>
        <w:rPr>
          <w:rFonts w:hint="default" w:ascii="Times New Roman" w:hAnsi="Times New Roman" w:cs="Times New Roman"/>
          <w:color w:val="auto"/>
        </w:rPr>
        <w:t>。</w:t>
      </w:r>
    </w:p>
    <w:p>
      <w:pPr>
        <w:ind w:firstLine="482"/>
        <w:jc w:val="center"/>
        <w:rPr>
          <w:rFonts w:hint="default" w:ascii="Times New Roman" w:hAnsi="Times New Roman" w:cs="Times New Roman"/>
          <w:b/>
          <w:bCs/>
          <w:color w:val="auto"/>
        </w:rPr>
      </w:pPr>
      <w:r>
        <w:rPr>
          <w:rFonts w:hint="default" w:ascii="Times New Roman" w:hAnsi="Times New Roman" w:cs="Times New Roman"/>
          <w:b/>
          <w:bCs/>
          <w:color w:val="auto"/>
        </w:rPr>
        <w:t>表5.2-</w:t>
      </w:r>
      <w:r>
        <w:rPr>
          <w:rFonts w:hint="eastAsia" w:cs="Times New Roman"/>
          <w:b/>
          <w:bCs/>
          <w:color w:val="auto"/>
          <w:lang w:val="en-US" w:eastAsia="zh-CN"/>
        </w:rPr>
        <w:t>34</w:t>
      </w:r>
      <w:r>
        <w:rPr>
          <w:rFonts w:hint="default" w:ascii="Times New Roman" w:hAnsi="Times New Roman" w:cs="Times New Roman"/>
          <w:b/>
          <w:bCs/>
          <w:color w:val="auto"/>
        </w:rPr>
        <w:t xml:space="preserve">               评价标准（dB（A））</w:t>
      </w:r>
    </w:p>
    <w:tbl>
      <w:tblPr>
        <w:tblStyle w:val="25"/>
        <w:tblW w:w="8958" w:type="dxa"/>
        <w:tblInd w:w="0"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57" w:type="dxa"/>
          <w:left w:w="57" w:type="dxa"/>
          <w:bottom w:w="28" w:type="dxa"/>
          <w:right w:w="57" w:type="dxa"/>
        </w:tblCellMar>
      </w:tblPr>
      <w:tblGrid>
        <w:gridCol w:w="2239"/>
        <w:gridCol w:w="2239"/>
        <w:gridCol w:w="2240"/>
        <w:gridCol w:w="2240"/>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57" w:type="dxa"/>
            <w:left w:w="57" w:type="dxa"/>
            <w:bottom w:w="28" w:type="dxa"/>
            <w:right w:w="57" w:type="dxa"/>
          </w:tblCellMar>
        </w:tblPrEx>
        <w:trPr>
          <w:trHeight w:val="227" w:hRule="atLeast"/>
        </w:trPr>
        <w:tc>
          <w:tcPr>
            <w:tcW w:w="2239"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场 界</w:t>
            </w:r>
          </w:p>
        </w:tc>
        <w:tc>
          <w:tcPr>
            <w:tcW w:w="2239"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评价标准</w:t>
            </w:r>
          </w:p>
        </w:tc>
        <w:tc>
          <w:tcPr>
            <w:tcW w:w="2240"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昼 间</w:t>
            </w:r>
          </w:p>
        </w:tc>
        <w:tc>
          <w:tcPr>
            <w:tcW w:w="2240"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夜 间</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57" w:type="dxa"/>
            <w:left w:w="57" w:type="dxa"/>
            <w:bottom w:w="28" w:type="dxa"/>
            <w:right w:w="57" w:type="dxa"/>
          </w:tblCellMar>
        </w:tblPrEx>
        <w:trPr>
          <w:trHeight w:val="227" w:hRule="atLeast"/>
        </w:trPr>
        <w:tc>
          <w:tcPr>
            <w:tcW w:w="2239"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东、西、南、北场界</w:t>
            </w:r>
          </w:p>
        </w:tc>
        <w:tc>
          <w:tcPr>
            <w:tcW w:w="2239"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2类</w:t>
            </w:r>
          </w:p>
        </w:tc>
        <w:tc>
          <w:tcPr>
            <w:tcW w:w="2240"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60</w:t>
            </w:r>
          </w:p>
        </w:tc>
        <w:tc>
          <w:tcPr>
            <w:tcW w:w="2240"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50</w:t>
            </w:r>
          </w:p>
        </w:tc>
      </w:tr>
    </w:tbl>
    <w:p>
      <w:pPr>
        <w:ind w:firstLine="480"/>
        <w:outlineLvl w:val="3"/>
        <w:rPr>
          <w:rFonts w:hint="default" w:ascii="Times New Roman" w:hAnsi="Times New Roman" w:cs="Times New Roman"/>
          <w:color w:val="auto"/>
        </w:rPr>
      </w:pPr>
      <w:r>
        <w:rPr>
          <w:rFonts w:hint="default" w:ascii="Times New Roman" w:hAnsi="Times New Roman" w:cs="Times New Roman"/>
          <w:color w:val="auto"/>
        </w:rPr>
        <w:t>5.2.4.4预测模式</w:t>
      </w:r>
    </w:p>
    <w:p>
      <w:pPr>
        <w:ind w:firstLine="600" w:firstLineChars="250"/>
        <w:rPr>
          <w:rFonts w:hint="default" w:ascii="Times New Roman" w:hAnsi="Times New Roman" w:cs="Times New Roman"/>
          <w:bCs/>
          <w:color w:val="auto"/>
        </w:rPr>
      </w:pPr>
      <w:r>
        <w:rPr>
          <w:rFonts w:hint="default" w:ascii="Times New Roman" w:hAnsi="Times New Roman" w:cs="Times New Roman"/>
          <w:bCs/>
          <w:color w:val="auto"/>
        </w:rPr>
        <w:t>①无指向性点声源的几何发散衰减公式：</w:t>
      </w:r>
    </w:p>
    <w:p>
      <w:pPr>
        <w:ind w:firstLine="560"/>
        <w:rPr>
          <w:rFonts w:hint="default" w:ascii="Times New Roman" w:hAnsi="Times New Roman" w:cs="Times New Roman"/>
          <w:bCs/>
          <w:color w:val="auto"/>
          <w:sz w:val="28"/>
        </w:rPr>
      </w:pPr>
      <w:r>
        <w:rPr>
          <w:rFonts w:hint="default" w:ascii="Times New Roman" w:hAnsi="Times New Roman" w:cs="Times New Roman"/>
          <w:bCs/>
          <w:color w:val="auto"/>
          <w:sz w:val="28"/>
        </w:rPr>
        <w:pict>
          <v:shape id="_x0000_s2397" o:spid="_x0000_s2397" o:spt="75" type="#_x0000_t75" style="position:absolute;left:0pt;margin-top:6.25pt;height:20.25pt;width:150pt;mso-position-horizontal:center;z-index:-251539456;mso-width-relative:page;mso-height-relative:page;" o:ole="t" filled="f" o:preferrelative="t" stroked="f" coordsize="21600,21600">
            <v:path/>
            <v:fill on="f" focussize="0,0"/>
            <v:stroke on="f" joinstyle="miter"/>
            <v:imagedata r:id="rId59" o:title=""/>
            <o:lock v:ext="edit" aspectratio="t"/>
          </v:shape>
          <o:OLEObject Type="Embed" ProgID="Equations" ShapeID="_x0000_s2397" DrawAspect="Content" ObjectID="_1468075727" r:id="rId58">
            <o:LockedField>false</o:LockedField>
          </o:OLEObject>
        </w:pict>
      </w:r>
    </w:p>
    <w:p>
      <w:pPr>
        <w:ind w:firstLine="480"/>
        <w:rPr>
          <w:rFonts w:hint="default" w:ascii="Times New Roman" w:hAnsi="Times New Roman" w:cs="Times New Roman"/>
          <w:bCs/>
          <w:color w:val="auto"/>
        </w:rPr>
      </w:pPr>
      <w:r>
        <w:rPr>
          <w:rFonts w:hint="default" w:ascii="Times New Roman" w:hAnsi="Times New Roman" w:cs="Times New Roman"/>
          <w:bCs/>
          <w:color w:val="auto"/>
        </w:rPr>
        <w:t>式中：</w:t>
      </w:r>
      <w:r>
        <w:rPr>
          <w:rFonts w:hint="default" w:ascii="Times New Roman" w:hAnsi="Times New Roman" w:cs="Times New Roman"/>
          <w:bCs/>
          <w:i/>
          <w:color w:val="auto"/>
        </w:rPr>
        <w:t>L</w:t>
      </w:r>
      <w:r>
        <w:rPr>
          <w:rFonts w:hint="default" w:ascii="Times New Roman" w:hAnsi="Times New Roman" w:cs="Times New Roman"/>
          <w:bCs/>
          <w:i/>
          <w:color w:val="auto"/>
          <w:vertAlign w:val="subscript"/>
        </w:rPr>
        <w:t>P</w:t>
      </w:r>
      <w:r>
        <w:rPr>
          <w:rFonts w:hint="default" w:ascii="Times New Roman" w:hAnsi="Times New Roman" w:cs="Times New Roman"/>
          <w:bCs/>
          <w:i/>
          <w:color w:val="auto"/>
        </w:rPr>
        <w:t>(r)</w:t>
      </w:r>
      <w:r>
        <w:rPr>
          <w:rFonts w:hint="default" w:ascii="Times New Roman" w:hAnsi="Times New Roman" w:cs="Times New Roman"/>
          <w:bCs/>
          <w:color w:val="auto"/>
        </w:rPr>
        <w:t>——距离噪声源r处的等效A声级值，dB(A)；</w:t>
      </w:r>
    </w:p>
    <w:p>
      <w:pPr>
        <w:ind w:firstLine="1200" w:firstLineChars="500"/>
        <w:rPr>
          <w:rFonts w:hint="default" w:ascii="Times New Roman" w:hAnsi="Times New Roman" w:cs="Times New Roman"/>
          <w:bCs/>
          <w:color w:val="auto"/>
        </w:rPr>
      </w:pPr>
      <w:r>
        <w:rPr>
          <w:rFonts w:hint="default" w:ascii="Times New Roman" w:hAnsi="Times New Roman" w:cs="Times New Roman"/>
          <w:bCs/>
          <w:i/>
          <w:color w:val="auto"/>
        </w:rPr>
        <w:t>L</w:t>
      </w:r>
      <w:r>
        <w:rPr>
          <w:rFonts w:hint="default" w:ascii="Times New Roman" w:hAnsi="Times New Roman" w:cs="Times New Roman"/>
          <w:bCs/>
          <w:i/>
          <w:color w:val="auto"/>
          <w:vertAlign w:val="subscript"/>
        </w:rPr>
        <w:t>P</w:t>
      </w:r>
      <w:r>
        <w:rPr>
          <w:rFonts w:hint="default" w:ascii="Times New Roman" w:hAnsi="Times New Roman" w:cs="Times New Roman"/>
          <w:bCs/>
          <w:i/>
          <w:color w:val="auto"/>
        </w:rPr>
        <w:t>(r</w:t>
      </w:r>
      <w:r>
        <w:rPr>
          <w:rFonts w:hint="default" w:ascii="Times New Roman" w:hAnsi="Times New Roman" w:cs="Times New Roman"/>
          <w:bCs/>
          <w:i/>
          <w:color w:val="auto"/>
          <w:vertAlign w:val="subscript"/>
        </w:rPr>
        <w:t>0</w:t>
      </w:r>
      <w:r>
        <w:rPr>
          <w:rFonts w:hint="default" w:ascii="Times New Roman" w:hAnsi="Times New Roman" w:cs="Times New Roman"/>
          <w:bCs/>
          <w:i/>
          <w:color w:val="auto"/>
        </w:rPr>
        <w:t>)</w:t>
      </w:r>
      <w:r>
        <w:rPr>
          <w:rFonts w:hint="default" w:ascii="Times New Roman" w:hAnsi="Times New Roman" w:cs="Times New Roman"/>
          <w:bCs/>
          <w:color w:val="auto"/>
        </w:rPr>
        <w:t>——距离噪声源r</w:t>
      </w:r>
      <w:r>
        <w:rPr>
          <w:rFonts w:hint="default" w:ascii="Times New Roman" w:hAnsi="Times New Roman" w:cs="Times New Roman"/>
          <w:bCs/>
          <w:color w:val="auto"/>
          <w:vertAlign w:val="subscript"/>
        </w:rPr>
        <w:t>0</w:t>
      </w:r>
      <w:r>
        <w:rPr>
          <w:rFonts w:hint="default" w:ascii="Times New Roman" w:hAnsi="Times New Roman" w:cs="Times New Roman"/>
          <w:bCs/>
          <w:color w:val="auto"/>
        </w:rPr>
        <w:t>处的等效A声级值，dB(A)；</w:t>
      </w:r>
    </w:p>
    <w:p>
      <w:pPr>
        <w:tabs>
          <w:tab w:val="left" w:pos="0"/>
        </w:tabs>
        <w:ind w:firstLine="1260" w:firstLineChars="525"/>
        <w:rPr>
          <w:rFonts w:hint="default" w:ascii="Times New Roman" w:hAnsi="Times New Roman" w:cs="Times New Roman"/>
          <w:bCs/>
          <w:color w:val="auto"/>
        </w:rPr>
      </w:pPr>
      <w:r>
        <w:rPr>
          <w:rFonts w:hint="default" w:ascii="Times New Roman" w:hAnsi="Times New Roman" w:cs="Times New Roman"/>
          <w:bCs/>
          <w:i/>
          <w:color w:val="auto"/>
        </w:rPr>
        <w:t>r</w:t>
      </w:r>
      <w:r>
        <w:rPr>
          <w:rFonts w:hint="default" w:ascii="Times New Roman" w:hAnsi="Times New Roman" w:cs="Times New Roman"/>
          <w:bCs/>
          <w:color w:val="auto"/>
        </w:rPr>
        <w:t xml:space="preserve"> ——预测点距噪声源距离，（m）；</w:t>
      </w:r>
    </w:p>
    <w:p>
      <w:pPr>
        <w:tabs>
          <w:tab w:val="left" w:pos="0"/>
        </w:tabs>
        <w:ind w:firstLine="1260" w:firstLineChars="525"/>
        <w:rPr>
          <w:rFonts w:hint="default" w:ascii="Times New Roman" w:hAnsi="Times New Roman" w:cs="Times New Roman"/>
          <w:bCs/>
          <w:color w:val="auto"/>
        </w:rPr>
      </w:pPr>
      <w:r>
        <w:rPr>
          <w:rFonts w:hint="default" w:ascii="Times New Roman" w:hAnsi="Times New Roman" w:cs="Times New Roman"/>
          <w:bCs/>
          <w:i/>
          <w:color w:val="auto"/>
        </w:rPr>
        <w:t>r</w:t>
      </w:r>
      <w:r>
        <w:rPr>
          <w:rFonts w:hint="default" w:ascii="Times New Roman" w:hAnsi="Times New Roman" w:cs="Times New Roman"/>
          <w:bCs/>
          <w:i/>
          <w:color w:val="auto"/>
          <w:vertAlign w:val="subscript"/>
        </w:rPr>
        <w:t>0</w:t>
      </w:r>
      <w:r>
        <w:rPr>
          <w:rFonts w:hint="default" w:ascii="Times New Roman" w:hAnsi="Times New Roman" w:cs="Times New Roman"/>
          <w:bCs/>
          <w:color w:val="auto"/>
        </w:rPr>
        <w:t>——源强外1m处。</w:t>
      </w:r>
    </w:p>
    <w:p>
      <w:pPr>
        <w:ind w:firstLine="600" w:firstLineChars="250"/>
        <w:rPr>
          <w:rFonts w:hint="default" w:ascii="Times New Roman" w:hAnsi="Times New Roman" w:cs="Times New Roman"/>
          <w:bCs/>
          <w:color w:val="auto"/>
        </w:rPr>
      </w:pPr>
      <w:r>
        <w:rPr>
          <w:rFonts w:hint="default" w:ascii="Times New Roman" w:hAnsi="Times New Roman" w:cs="Times New Roman"/>
          <w:bCs/>
          <w:color w:val="auto"/>
        </w:rPr>
        <w:t>②建设项目声源在预测点产生的等效声级贡献值（</w:t>
      </w:r>
      <w:r>
        <w:rPr>
          <w:rFonts w:hint="default" w:ascii="Times New Roman" w:hAnsi="Times New Roman" w:cs="Times New Roman"/>
          <w:bCs/>
          <w:i/>
          <w:color w:val="auto"/>
        </w:rPr>
        <w:t>L</w:t>
      </w:r>
      <w:r>
        <w:rPr>
          <w:rFonts w:hint="default" w:ascii="Times New Roman" w:hAnsi="Times New Roman" w:cs="Times New Roman"/>
          <w:bCs/>
          <w:i/>
          <w:color w:val="auto"/>
          <w:vertAlign w:val="subscript"/>
        </w:rPr>
        <w:t>eqg</w:t>
      </w:r>
      <w:r>
        <w:rPr>
          <w:rFonts w:hint="default" w:ascii="Times New Roman" w:hAnsi="Times New Roman" w:cs="Times New Roman"/>
          <w:bCs/>
          <w:color w:val="auto"/>
        </w:rPr>
        <w:t>）计算公式：</w:t>
      </w:r>
    </w:p>
    <w:p>
      <w:pPr>
        <w:ind w:firstLine="560"/>
        <w:rPr>
          <w:rFonts w:hint="default" w:ascii="Times New Roman" w:hAnsi="Times New Roman" w:cs="Times New Roman"/>
          <w:bCs/>
          <w:color w:val="auto"/>
          <w:sz w:val="28"/>
        </w:rPr>
      </w:pPr>
      <w:r>
        <w:rPr>
          <w:rFonts w:hint="default" w:ascii="Times New Roman" w:hAnsi="Times New Roman" w:cs="Times New Roman"/>
          <w:bCs/>
          <w:color w:val="auto"/>
          <w:sz w:val="28"/>
        </w:rPr>
        <w:pict>
          <v:shape id="_x0000_s2398" o:spid="_x0000_s2398" o:spt="75" type="#_x0000_t75" style="position:absolute;left:0pt;margin-top:-3.4pt;height:38.25pt;width:150.75pt;mso-position-horizontal:center;z-index:-251540480;mso-width-relative:page;mso-height-relative:page;" o:ole="t" filled="f" o:preferrelative="t" stroked="f" coordsize="21600,21600">
            <v:path/>
            <v:fill on="f" focussize="0,0"/>
            <v:stroke on="f" joinstyle="miter"/>
            <v:imagedata r:id="rId61" o:title=""/>
            <o:lock v:ext="edit" aspectratio="t"/>
          </v:shape>
          <o:OLEObject Type="Embed" ProgID="Equations" ShapeID="_x0000_s2398" DrawAspect="Content" ObjectID="_1468075728" r:id="rId60">
            <o:LockedField>false</o:LockedField>
          </o:OLEObject>
        </w:pict>
      </w:r>
    </w:p>
    <w:p>
      <w:pPr>
        <w:ind w:firstLine="480"/>
        <w:rPr>
          <w:rFonts w:hint="default" w:ascii="Times New Roman" w:hAnsi="Times New Roman" w:cs="Times New Roman"/>
          <w:bCs/>
          <w:color w:val="auto"/>
        </w:rPr>
      </w:pPr>
      <w:r>
        <w:rPr>
          <w:rFonts w:hint="default" w:ascii="Times New Roman" w:hAnsi="Times New Roman" w:cs="Times New Roman"/>
          <w:bCs/>
          <w:color w:val="auto"/>
        </w:rPr>
        <w:t>式中：</w:t>
      </w:r>
      <w:r>
        <w:rPr>
          <w:rFonts w:hint="default" w:ascii="Times New Roman" w:hAnsi="Times New Roman" w:cs="Times New Roman"/>
          <w:bCs/>
          <w:i/>
          <w:color w:val="auto"/>
        </w:rPr>
        <w:t>L</w:t>
      </w:r>
      <w:r>
        <w:rPr>
          <w:rFonts w:hint="default" w:ascii="Times New Roman" w:hAnsi="Times New Roman" w:cs="Times New Roman"/>
          <w:bCs/>
          <w:i/>
          <w:color w:val="auto"/>
          <w:vertAlign w:val="subscript"/>
        </w:rPr>
        <w:t>eqg</w:t>
      </w:r>
      <w:r>
        <w:rPr>
          <w:rFonts w:hint="default" w:ascii="Times New Roman" w:hAnsi="Times New Roman" w:cs="Times New Roman"/>
          <w:bCs/>
          <w:color w:val="auto"/>
        </w:rPr>
        <w:t>——建设项目声源在预测点的等效声级贡献值，dB(A)；</w:t>
      </w:r>
    </w:p>
    <w:p>
      <w:pPr>
        <w:ind w:firstLine="1200" w:firstLineChars="500"/>
        <w:rPr>
          <w:rFonts w:hint="default" w:ascii="Times New Roman" w:hAnsi="Times New Roman" w:cs="Times New Roman"/>
          <w:bCs/>
          <w:color w:val="auto"/>
        </w:rPr>
      </w:pPr>
      <w:r>
        <w:rPr>
          <w:rFonts w:hint="default" w:ascii="Times New Roman" w:hAnsi="Times New Roman" w:cs="Times New Roman"/>
          <w:bCs/>
          <w:i/>
          <w:color w:val="auto"/>
        </w:rPr>
        <w:t>L</w:t>
      </w:r>
      <w:r>
        <w:rPr>
          <w:rFonts w:hint="default" w:ascii="Times New Roman" w:hAnsi="Times New Roman" w:cs="Times New Roman"/>
          <w:bCs/>
          <w:i/>
          <w:color w:val="auto"/>
          <w:vertAlign w:val="subscript"/>
        </w:rPr>
        <w:t>Ai</w:t>
      </w:r>
      <w:r>
        <w:rPr>
          <w:rFonts w:hint="default" w:ascii="Times New Roman" w:hAnsi="Times New Roman" w:cs="Times New Roman"/>
          <w:bCs/>
          <w:color w:val="auto"/>
        </w:rPr>
        <w:t>——</w:t>
      </w:r>
      <w:r>
        <w:rPr>
          <w:rFonts w:hint="default" w:ascii="Times New Roman" w:hAnsi="Times New Roman" w:cs="Times New Roman"/>
          <w:bCs/>
          <w:i/>
          <w:color w:val="auto"/>
        </w:rPr>
        <w:t>i</w:t>
      </w:r>
      <w:r>
        <w:rPr>
          <w:rFonts w:hint="default" w:ascii="Times New Roman" w:hAnsi="Times New Roman" w:cs="Times New Roman"/>
          <w:bCs/>
          <w:color w:val="auto"/>
        </w:rPr>
        <w:t>声源在预测点产生的A声级，dB(A)；</w:t>
      </w:r>
    </w:p>
    <w:p>
      <w:pPr>
        <w:tabs>
          <w:tab w:val="left" w:pos="0"/>
        </w:tabs>
        <w:ind w:firstLine="1200" w:firstLineChars="500"/>
        <w:rPr>
          <w:rFonts w:hint="default" w:ascii="Times New Roman" w:hAnsi="Times New Roman" w:cs="Times New Roman"/>
          <w:bCs/>
          <w:color w:val="auto"/>
        </w:rPr>
      </w:pPr>
      <w:r>
        <w:rPr>
          <w:rFonts w:hint="default" w:ascii="Times New Roman" w:hAnsi="Times New Roman" w:cs="Times New Roman"/>
          <w:bCs/>
          <w:i/>
          <w:color w:val="auto"/>
        </w:rPr>
        <w:t>T</w:t>
      </w:r>
      <w:r>
        <w:rPr>
          <w:rFonts w:hint="default" w:ascii="Times New Roman" w:hAnsi="Times New Roman" w:cs="Times New Roman"/>
          <w:bCs/>
          <w:color w:val="auto"/>
        </w:rPr>
        <w:t xml:space="preserve"> ——预测计算的时间段，s；</w:t>
      </w:r>
    </w:p>
    <w:p>
      <w:pPr>
        <w:tabs>
          <w:tab w:val="left" w:pos="0"/>
        </w:tabs>
        <w:ind w:firstLine="1200" w:firstLineChars="500"/>
        <w:rPr>
          <w:rFonts w:hint="default" w:ascii="Times New Roman" w:hAnsi="Times New Roman" w:cs="Times New Roman"/>
          <w:bCs/>
          <w:i/>
          <w:color w:val="auto"/>
        </w:rPr>
      </w:pPr>
      <w:r>
        <w:rPr>
          <w:rFonts w:hint="default" w:ascii="Times New Roman" w:hAnsi="Times New Roman" w:cs="Times New Roman"/>
          <w:bCs/>
          <w:i/>
          <w:color w:val="auto"/>
        </w:rPr>
        <w:t>t</w:t>
      </w:r>
      <w:r>
        <w:rPr>
          <w:rFonts w:hint="default" w:ascii="Times New Roman" w:hAnsi="Times New Roman" w:cs="Times New Roman"/>
          <w:bCs/>
          <w:i/>
          <w:color w:val="auto"/>
          <w:vertAlign w:val="subscript"/>
        </w:rPr>
        <w:t>i</w:t>
      </w:r>
      <w:r>
        <w:rPr>
          <w:rFonts w:hint="default" w:ascii="Times New Roman" w:hAnsi="Times New Roman" w:cs="Times New Roman"/>
          <w:bCs/>
          <w:color w:val="auto"/>
        </w:rPr>
        <w:t>——</w:t>
      </w:r>
      <w:r>
        <w:rPr>
          <w:rFonts w:hint="default" w:ascii="Times New Roman" w:hAnsi="Times New Roman" w:cs="Times New Roman"/>
          <w:bCs/>
          <w:i/>
          <w:color w:val="auto"/>
        </w:rPr>
        <w:t>i</w:t>
      </w:r>
      <w:r>
        <w:rPr>
          <w:rFonts w:hint="default" w:ascii="Times New Roman" w:hAnsi="Times New Roman" w:cs="Times New Roman"/>
          <w:bCs/>
          <w:color w:val="auto"/>
        </w:rPr>
        <w:t>声源在</w:t>
      </w:r>
      <w:r>
        <w:rPr>
          <w:rFonts w:hint="default" w:ascii="Times New Roman" w:hAnsi="Times New Roman" w:cs="Times New Roman"/>
          <w:bCs/>
          <w:i/>
          <w:color w:val="auto"/>
        </w:rPr>
        <w:t>T</w:t>
      </w:r>
      <w:r>
        <w:rPr>
          <w:rFonts w:hint="default" w:ascii="Times New Roman" w:hAnsi="Times New Roman" w:cs="Times New Roman"/>
          <w:bCs/>
          <w:color w:val="auto"/>
        </w:rPr>
        <w:t>时段内的运行时间，s。</w:t>
      </w:r>
    </w:p>
    <w:p>
      <w:pPr>
        <w:ind w:firstLine="840" w:firstLineChars="350"/>
        <w:rPr>
          <w:rFonts w:hint="default" w:ascii="Times New Roman" w:hAnsi="Times New Roman" w:cs="Times New Roman"/>
          <w:bCs/>
          <w:color w:val="auto"/>
        </w:rPr>
      </w:pPr>
      <w:r>
        <w:rPr>
          <w:rFonts w:hint="default" w:ascii="Times New Roman" w:hAnsi="Times New Roman" w:cs="Times New Roman"/>
          <w:bCs/>
          <w:color w:val="auto"/>
        </w:rPr>
        <w:t>③预测点的预测等效声级（</w:t>
      </w:r>
      <w:r>
        <w:rPr>
          <w:rFonts w:hint="default" w:ascii="Times New Roman" w:hAnsi="Times New Roman" w:cs="Times New Roman"/>
          <w:bCs/>
          <w:i/>
          <w:color w:val="auto"/>
        </w:rPr>
        <w:t>L</w:t>
      </w:r>
      <w:r>
        <w:rPr>
          <w:rFonts w:hint="default" w:ascii="Times New Roman" w:hAnsi="Times New Roman" w:cs="Times New Roman"/>
          <w:bCs/>
          <w:i/>
          <w:color w:val="auto"/>
          <w:vertAlign w:val="subscript"/>
        </w:rPr>
        <w:t>eq</w:t>
      </w:r>
      <w:r>
        <w:rPr>
          <w:rFonts w:hint="default" w:ascii="Times New Roman" w:hAnsi="Times New Roman" w:cs="Times New Roman"/>
          <w:bCs/>
          <w:color w:val="auto"/>
        </w:rPr>
        <w:t>）计算公式：</w:t>
      </w:r>
    </w:p>
    <w:p>
      <w:pPr>
        <w:ind w:firstLine="1038" w:firstLineChars="371"/>
        <w:rPr>
          <w:rFonts w:hint="default" w:ascii="Times New Roman" w:hAnsi="Times New Roman" w:cs="Times New Roman"/>
          <w:bCs/>
          <w:color w:val="auto"/>
          <w:sz w:val="28"/>
        </w:rPr>
      </w:pPr>
      <w:r>
        <w:rPr>
          <w:rFonts w:hint="default" w:ascii="Times New Roman" w:hAnsi="Times New Roman" w:cs="Times New Roman"/>
          <w:bCs/>
          <w:color w:val="auto"/>
          <w:sz w:val="28"/>
        </w:rPr>
        <w:pict>
          <v:shape id="_x0000_s2399" o:spid="_x0000_s2399" o:spt="75" type="#_x0000_t75" style="position:absolute;left:0pt;margin-top:2.55pt;height:24.75pt;width:168pt;mso-position-horizontal:center;z-index:-251538432;mso-width-relative:page;mso-height-relative:page;" o:ole="t" filled="f" o:preferrelative="t" stroked="f" coordsize="21600,21600">
            <v:path/>
            <v:fill on="f" focussize="0,0"/>
            <v:stroke on="f" joinstyle="miter"/>
            <v:imagedata r:id="rId63" o:title=""/>
            <o:lock v:ext="edit" aspectratio="t"/>
          </v:shape>
          <o:OLEObject Type="Embed" ProgID="Equations" ShapeID="_x0000_s2399" DrawAspect="Content" ObjectID="_1468075729" r:id="rId62">
            <o:LockedField>false</o:LockedField>
          </o:OLEObject>
        </w:pict>
      </w:r>
    </w:p>
    <w:p>
      <w:pPr>
        <w:ind w:firstLine="480"/>
        <w:rPr>
          <w:rFonts w:hint="default" w:ascii="Times New Roman" w:hAnsi="Times New Roman" w:cs="Times New Roman"/>
          <w:bCs/>
          <w:color w:val="auto"/>
        </w:rPr>
      </w:pPr>
      <w:r>
        <w:rPr>
          <w:rFonts w:hint="default" w:ascii="Times New Roman" w:hAnsi="Times New Roman" w:cs="Times New Roman"/>
          <w:bCs/>
          <w:color w:val="auto"/>
        </w:rPr>
        <w:t>式中：</w:t>
      </w:r>
      <w:r>
        <w:rPr>
          <w:rFonts w:hint="default" w:ascii="Times New Roman" w:hAnsi="Times New Roman" w:cs="Times New Roman"/>
          <w:bCs/>
          <w:i/>
          <w:color w:val="auto"/>
        </w:rPr>
        <w:t>L</w:t>
      </w:r>
      <w:r>
        <w:rPr>
          <w:rFonts w:hint="default" w:ascii="Times New Roman" w:hAnsi="Times New Roman" w:cs="Times New Roman"/>
          <w:bCs/>
          <w:i/>
          <w:color w:val="auto"/>
          <w:vertAlign w:val="subscript"/>
        </w:rPr>
        <w:t>eqg</w:t>
      </w:r>
      <w:r>
        <w:rPr>
          <w:rFonts w:hint="default" w:ascii="Times New Roman" w:hAnsi="Times New Roman" w:cs="Times New Roman"/>
          <w:bCs/>
          <w:color w:val="auto"/>
        </w:rPr>
        <w:t>——建设项目声源在预测点的等效声级贡献值，dB(A)；</w:t>
      </w:r>
    </w:p>
    <w:p>
      <w:pPr>
        <w:tabs>
          <w:tab w:val="left" w:pos="0"/>
        </w:tabs>
        <w:ind w:firstLine="1200" w:firstLineChars="500"/>
        <w:rPr>
          <w:rFonts w:hint="default" w:ascii="Times New Roman" w:hAnsi="Times New Roman" w:cs="Times New Roman"/>
          <w:bCs/>
          <w:color w:val="auto"/>
        </w:rPr>
      </w:pPr>
      <w:r>
        <w:rPr>
          <w:rFonts w:hint="default" w:ascii="Times New Roman" w:hAnsi="Times New Roman" w:cs="Times New Roman"/>
          <w:bCs/>
          <w:i/>
          <w:color w:val="auto"/>
        </w:rPr>
        <w:t>L</w:t>
      </w:r>
      <w:r>
        <w:rPr>
          <w:rFonts w:hint="default" w:ascii="Times New Roman" w:hAnsi="Times New Roman" w:cs="Times New Roman"/>
          <w:bCs/>
          <w:i/>
          <w:color w:val="auto"/>
          <w:vertAlign w:val="subscript"/>
        </w:rPr>
        <w:t>eqb</w:t>
      </w:r>
      <w:r>
        <w:rPr>
          <w:rFonts w:hint="default" w:ascii="Times New Roman" w:hAnsi="Times New Roman" w:cs="Times New Roman"/>
          <w:bCs/>
          <w:color w:val="auto"/>
        </w:rPr>
        <w:t>——预测点的背景值，dB(A)。</w:t>
      </w:r>
    </w:p>
    <w:p>
      <w:pPr>
        <w:ind w:firstLine="480"/>
        <w:outlineLvl w:val="3"/>
        <w:rPr>
          <w:rFonts w:hint="default" w:ascii="Times New Roman" w:hAnsi="Times New Roman" w:cs="Times New Roman"/>
          <w:color w:val="auto"/>
        </w:rPr>
      </w:pPr>
      <w:r>
        <w:rPr>
          <w:rFonts w:hint="default" w:ascii="Times New Roman" w:hAnsi="Times New Roman" w:cs="Times New Roman"/>
          <w:color w:val="auto"/>
        </w:rPr>
        <w:t>5.2.4.5预测结果</w:t>
      </w:r>
    </w:p>
    <w:p>
      <w:pPr>
        <w:ind w:firstLine="480"/>
        <w:outlineLvl w:val="3"/>
        <w:rPr>
          <w:rFonts w:hint="default" w:ascii="Times New Roman" w:hAnsi="Times New Roman" w:cs="Times New Roman"/>
          <w:color w:val="auto"/>
        </w:rPr>
      </w:pPr>
      <w:r>
        <w:rPr>
          <w:rFonts w:hint="default" w:ascii="Times New Roman" w:hAnsi="Times New Roman" w:cs="Times New Roman"/>
          <w:color w:val="auto"/>
        </w:rPr>
        <w:t>本项目实施后，噪声对各场界贡献值预测结果见表5.2-</w:t>
      </w:r>
      <w:r>
        <w:rPr>
          <w:rFonts w:hint="eastAsia" w:cs="Times New Roman"/>
          <w:color w:val="auto"/>
          <w:lang w:val="en-US" w:eastAsia="zh-CN"/>
        </w:rPr>
        <w:t>35</w:t>
      </w:r>
      <w:r>
        <w:rPr>
          <w:rFonts w:hint="default" w:ascii="Times New Roman" w:hAnsi="Times New Roman" w:cs="Times New Roman"/>
          <w:color w:val="auto"/>
        </w:rPr>
        <w:t>。</w:t>
      </w:r>
    </w:p>
    <w:p>
      <w:pPr>
        <w:spacing w:afterLines="30" w:line="500" w:lineRule="exact"/>
        <w:ind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表5.2-</w:t>
      </w:r>
      <w:r>
        <w:rPr>
          <w:rFonts w:hint="eastAsia" w:cs="Times New Roman"/>
          <w:b/>
          <w:color w:val="auto"/>
          <w:szCs w:val="21"/>
          <w:lang w:val="en-US" w:eastAsia="zh-CN"/>
        </w:rPr>
        <w:t>35</w:t>
      </w:r>
      <w:r>
        <w:rPr>
          <w:rFonts w:hint="default" w:ascii="Times New Roman" w:hAnsi="Times New Roman" w:cs="Times New Roman"/>
          <w:b/>
          <w:color w:val="auto"/>
          <w:szCs w:val="21"/>
        </w:rPr>
        <w:t xml:space="preserve">                  噪声预测结果一览表             单位：dB（A）</w:t>
      </w:r>
    </w:p>
    <w:tbl>
      <w:tblPr>
        <w:tblStyle w:val="25"/>
        <w:tblW w:w="906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4"/>
        <w:gridCol w:w="954"/>
        <w:gridCol w:w="2687"/>
        <w:gridCol w:w="1749"/>
        <w:gridCol w:w="1650"/>
        <w:gridCol w:w="121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804"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序号</w:t>
            </w:r>
          </w:p>
        </w:tc>
        <w:tc>
          <w:tcPr>
            <w:tcW w:w="954"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预测点</w:t>
            </w:r>
          </w:p>
        </w:tc>
        <w:tc>
          <w:tcPr>
            <w:tcW w:w="268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噪声源</w:t>
            </w:r>
          </w:p>
        </w:tc>
        <w:tc>
          <w:tcPr>
            <w:tcW w:w="1749"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距厂界最近距离（m）</w:t>
            </w:r>
          </w:p>
        </w:tc>
        <w:tc>
          <w:tcPr>
            <w:tcW w:w="1650"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对预测点噪声贡献值dB(A)</w:t>
            </w:r>
          </w:p>
        </w:tc>
        <w:tc>
          <w:tcPr>
            <w:tcW w:w="1216"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04" w:type="dxa"/>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954" w:type="dxa"/>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东场界</w:t>
            </w:r>
          </w:p>
        </w:tc>
        <w:tc>
          <w:tcPr>
            <w:tcW w:w="268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猪叫声、猪舍风机、水泵等</w:t>
            </w:r>
          </w:p>
        </w:tc>
        <w:tc>
          <w:tcPr>
            <w:tcW w:w="1749"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12</w:t>
            </w:r>
          </w:p>
        </w:tc>
        <w:tc>
          <w:tcPr>
            <w:tcW w:w="1650"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54.2</w:t>
            </w:r>
          </w:p>
        </w:tc>
        <w:tc>
          <w:tcPr>
            <w:tcW w:w="1216"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04" w:type="dxa"/>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w:t>
            </w:r>
          </w:p>
        </w:tc>
        <w:tc>
          <w:tcPr>
            <w:tcW w:w="954" w:type="dxa"/>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南场界</w:t>
            </w:r>
          </w:p>
        </w:tc>
        <w:tc>
          <w:tcPr>
            <w:tcW w:w="268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猪叫声、猪舍风机、水泵等</w:t>
            </w:r>
          </w:p>
        </w:tc>
        <w:tc>
          <w:tcPr>
            <w:tcW w:w="1749"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w:t>
            </w:r>
          </w:p>
        </w:tc>
        <w:tc>
          <w:tcPr>
            <w:tcW w:w="1650"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55</w:t>
            </w:r>
          </w:p>
        </w:tc>
        <w:tc>
          <w:tcPr>
            <w:tcW w:w="1216"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04" w:type="dxa"/>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w:t>
            </w:r>
          </w:p>
        </w:tc>
        <w:tc>
          <w:tcPr>
            <w:tcW w:w="954" w:type="dxa"/>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西场界</w:t>
            </w:r>
          </w:p>
        </w:tc>
        <w:tc>
          <w:tcPr>
            <w:tcW w:w="268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猪叫声、猪舍风机、水泵等</w:t>
            </w:r>
          </w:p>
        </w:tc>
        <w:tc>
          <w:tcPr>
            <w:tcW w:w="1749"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w:t>
            </w:r>
          </w:p>
        </w:tc>
        <w:tc>
          <w:tcPr>
            <w:tcW w:w="1650"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55</w:t>
            </w:r>
          </w:p>
        </w:tc>
        <w:tc>
          <w:tcPr>
            <w:tcW w:w="1216"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04" w:type="dxa"/>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4</w:t>
            </w:r>
          </w:p>
        </w:tc>
        <w:tc>
          <w:tcPr>
            <w:tcW w:w="954" w:type="dxa"/>
            <w:vAlign w:val="center"/>
          </w:tcPr>
          <w:p>
            <w:pPr>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北场界</w:t>
            </w:r>
          </w:p>
        </w:tc>
        <w:tc>
          <w:tcPr>
            <w:tcW w:w="2687"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猪叫声、猪舍风机、水泵等</w:t>
            </w:r>
          </w:p>
        </w:tc>
        <w:tc>
          <w:tcPr>
            <w:tcW w:w="1749"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w:t>
            </w:r>
          </w:p>
        </w:tc>
        <w:tc>
          <w:tcPr>
            <w:tcW w:w="1650"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55</w:t>
            </w:r>
          </w:p>
        </w:tc>
        <w:tc>
          <w:tcPr>
            <w:tcW w:w="1216" w:type="dxa"/>
            <w:vAlign w:val="center"/>
          </w:tcPr>
          <w:p>
            <w:pPr>
              <w:widowControl/>
              <w:spacing w:line="240" w:lineRule="auto"/>
              <w:ind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达标</w:t>
            </w:r>
          </w:p>
        </w:tc>
      </w:tr>
    </w:tbl>
    <w:p>
      <w:pPr>
        <w:ind w:firstLine="480"/>
        <w:rPr>
          <w:rFonts w:hint="default" w:ascii="Times New Roman" w:hAnsi="Times New Roman" w:cs="Times New Roman"/>
          <w:color w:val="auto"/>
        </w:rPr>
      </w:pPr>
      <w:r>
        <w:rPr>
          <w:rFonts w:hint="default" w:ascii="Times New Roman" w:hAnsi="Times New Roman" w:cs="Times New Roman"/>
          <w:color w:val="auto"/>
        </w:rPr>
        <w:t>从表5.2-</w:t>
      </w:r>
      <w:r>
        <w:rPr>
          <w:rFonts w:hint="eastAsia" w:cs="Times New Roman"/>
          <w:color w:val="auto"/>
          <w:lang w:val="en-US" w:eastAsia="zh-CN"/>
        </w:rPr>
        <w:t>35</w:t>
      </w:r>
      <w:r>
        <w:rPr>
          <w:rFonts w:hint="default" w:ascii="Times New Roman" w:hAnsi="Times New Roman" w:cs="Times New Roman"/>
          <w:color w:val="auto"/>
        </w:rPr>
        <w:t>可以看出，本</w:t>
      </w:r>
      <w:r>
        <w:rPr>
          <w:rFonts w:hint="default" w:ascii="Times New Roman" w:hAnsi="Times New Roman" w:cs="Times New Roman"/>
          <w:snapToGrid w:val="0"/>
          <w:color w:val="auto"/>
          <w:kern w:val="0"/>
        </w:rPr>
        <w:t>项目</w:t>
      </w:r>
      <w:r>
        <w:rPr>
          <w:rFonts w:hint="default" w:ascii="Times New Roman" w:hAnsi="Times New Roman" w:cs="Times New Roman"/>
          <w:color w:val="auto"/>
        </w:rPr>
        <w:t>完成后四周厂界噪声预测值均满足GB12348-2008《工业企业厂界环境噪声排放标准》2类标准：昼间60dB(A)，夜间50dB(A)可知，本</w:t>
      </w:r>
      <w:r>
        <w:rPr>
          <w:rFonts w:hint="default" w:ascii="Times New Roman" w:hAnsi="Times New Roman" w:cs="Times New Roman"/>
          <w:snapToGrid w:val="0"/>
          <w:color w:val="auto"/>
          <w:kern w:val="0"/>
        </w:rPr>
        <w:t>项目</w:t>
      </w:r>
      <w:r>
        <w:rPr>
          <w:rFonts w:hint="default" w:ascii="Times New Roman" w:hAnsi="Times New Roman" w:cs="Times New Roman"/>
          <w:color w:val="auto"/>
        </w:rPr>
        <w:t>厂界昼/夜间噪声预测值均可以满足评价标准的要求。</w:t>
      </w:r>
    </w:p>
    <w:p>
      <w:pPr>
        <w:spacing w:before="104" w:line="386" w:lineRule="auto"/>
        <w:ind w:firstLine="482"/>
        <w:jc w:val="left"/>
        <w:rPr>
          <w:rFonts w:hint="default" w:ascii="Times New Roman" w:hAnsi="Times New Roman" w:cs="Times New Roman"/>
          <w:b/>
          <w:bCs/>
          <w:color w:val="auto"/>
          <w:w w:val="99"/>
        </w:rPr>
      </w:pPr>
      <w:bookmarkStart w:id="556" w:name="_Toc476921971"/>
      <w:bookmarkStart w:id="557" w:name="_Toc354421688"/>
      <w:bookmarkStart w:id="558" w:name="_Toc488933419"/>
      <w:bookmarkStart w:id="559" w:name="_Toc485580299"/>
      <w:bookmarkStart w:id="560" w:name="_Toc477357252"/>
      <w:bookmarkStart w:id="561" w:name="_Toc476923289"/>
      <w:bookmarkStart w:id="562" w:name="_Toc477187437"/>
      <w:bookmarkStart w:id="563" w:name="_Toc366760265"/>
      <w:r>
        <w:rPr>
          <w:rFonts w:hint="default" w:ascii="Times New Roman" w:hAnsi="Times New Roman" w:eastAsia="Times New Roman" w:cs="Times New Roman"/>
          <w:b/>
          <w:bCs/>
          <w:color w:val="auto"/>
        </w:rPr>
        <w:t>5.</w:t>
      </w:r>
      <w:r>
        <w:rPr>
          <w:rFonts w:hint="default" w:ascii="Times New Roman" w:hAnsi="Times New Roman" w:cs="Times New Roman"/>
          <w:b/>
          <w:bCs/>
          <w:color w:val="auto"/>
        </w:rPr>
        <w:t>2</w:t>
      </w:r>
      <w:r>
        <w:rPr>
          <w:rFonts w:hint="default" w:ascii="Times New Roman" w:hAnsi="Times New Roman" w:eastAsia="Times New Roman" w:cs="Times New Roman"/>
          <w:b/>
          <w:bCs/>
          <w:color w:val="auto"/>
        </w:rPr>
        <w:t>.5</w:t>
      </w:r>
      <w:r>
        <w:rPr>
          <w:rFonts w:hint="default" w:ascii="Times New Roman" w:hAnsi="Times New Roman" w:cs="Times New Roman"/>
          <w:b/>
          <w:bCs/>
          <w:color w:val="auto"/>
        </w:rPr>
        <w:t>固体废物对环境的影响分析</w:t>
      </w:r>
      <w:r>
        <w:rPr>
          <w:rFonts w:hint="default" w:ascii="Times New Roman" w:hAnsi="Times New Roman" w:cs="Times New Roman"/>
          <w:b/>
          <w:bCs/>
          <w:color w:val="auto"/>
          <w:w w:val="99"/>
        </w:rPr>
        <w:t xml:space="preserve"> </w:t>
      </w:r>
    </w:p>
    <w:p>
      <w:pPr>
        <w:spacing w:before="104"/>
        <w:ind w:firstLine="480"/>
        <w:jc w:val="left"/>
        <w:rPr>
          <w:rFonts w:hint="default" w:ascii="Times New Roman" w:hAnsi="Times New Roman" w:cs="Times New Roman"/>
          <w:color w:val="auto"/>
        </w:rPr>
      </w:pPr>
      <w:r>
        <w:rPr>
          <w:rFonts w:hint="default" w:ascii="Times New Roman" w:hAnsi="Times New Roman" w:cs="Times New Roman"/>
          <w:color w:val="auto"/>
        </w:rPr>
        <w:t>根据工程分析可知，本项目产生的固体废物主要包括危险废物、一般废物、生活垃圾等。本项目营运期固体废物产排情况及处置措施见表</w:t>
      </w:r>
      <w:r>
        <w:rPr>
          <w:rFonts w:hint="default" w:ascii="Times New Roman" w:hAnsi="Times New Roman" w:eastAsia="Times New Roman" w:cs="Times New Roman"/>
          <w:color w:val="auto"/>
        </w:rPr>
        <w:t>5.</w:t>
      </w:r>
      <w:r>
        <w:rPr>
          <w:rFonts w:hint="default" w:ascii="Times New Roman" w:hAnsi="Times New Roman" w:cs="Times New Roman"/>
          <w:color w:val="auto"/>
        </w:rPr>
        <w:t>2-</w:t>
      </w:r>
      <w:r>
        <w:rPr>
          <w:rFonts w:hint="eastAsia" w:cs="Times New Roman"/>
          <w:color w:val="auto"/>
          <w:lang w:val="en-US" w:eastAsia="zh-CN"/>
        </w:rPr>
        <w:t>36</w:t>
      </w:r>
      <w:r>
        <w:rPr>
          <w:rFonts w:hint="default" w:ascii="Times New Roman" w:hAnsi="Times New Roman" w:cs="Times New Roman"/>
          <w:color w:val="auto"/>
        </w:rPr>
        <w:t>。</w:t>
      </w:r>
    </w:p>
    <w:p>
      <w:pPr>
        <w:ind w:firstLine="0" w:firstLineChars="0"/>
        <w:jc w:val="center"/>
        <w:rPr>
          <w:rFonts w:hint="default" w:ascii="Times New Roman" w:hAnsi="Times New Roman" w:cs="Times New Roman"/>
          <w:b/>
          <w:bCs/>
          <w:color w:val="auto"/>
          <w:sz w:val="10"/>
          <w:szCs w:val="10"/>
        </w:rPr>
      </w:pPr>
      <w:r>
        <w:rPr>
          <w:rFonts w:hint="default" w:ascii="Times New Roman" w:hAnsi="Times New Roman" w:cs="Times New Roman"/>
          <w:b/>
          <w:bCs/>
          <w:color w:val="auto"/>
        </w:rPr>
        <w:t>表 5.2-</w:t>
      </w:r>
      <w:r>
        <w:rPr>
          <w:rFonts w:hint="eastAsia" w:cs="Times New Roman"/>
          <w:b/>
          <w:bCs/>
          <w:color w:val="auto"/>
          <w:lang w:val="en-US" w:eastAsia="zh-CN"/>
        </w:rPr>
        <w:t>36</w:t>
      </w:r>
      <w:r>
        <w:rPr>
          <w:rFonts w:hint="default" w:ascii="Times New Roman" w:hAnsi="Times New Roman" w:cs="Times New Roman"/>
          <w:b/>
          <w:bCs/>
          <w:color w:val="auto"/>
        </w:rPr>
        <w:tab/>
      </w:r>
      <w:r>
        <w:rPr>
          <w:rFonts w:hint="default" w:ascii="Times New Roman" w:hAnsi="Times New Roman" w:cs="Times New Roman"/>
          <w:b/>
          <w:bCs/>
          <w:color w:val="auto"/>
        </w:rPr>
        <w:t>本项目运营期固体废物产排情况及处置措施</w:t>
      </w:r>
    </w:p>
    <w:tbl>
      <w:tblPr>
        <w:tblStyle w:val="25"/>
        <w:tblW w:w="8946" w:type="dxa"/>
        <w:tblInd w:w="137" w:type="dxa"/>
        <w:tblLayout w:type="fixed"/>
        <w:tblCellMar>
          <w:top w:w="0" w:type="dxa"/>
          <w:left w:w="0" w:type="dxa"/>
          <w:bottom w:w="0" w:type="dxa"/>
          <w:right w:w="0" w:type="dxa"/>
        </w:tblCellMar>
      </w:tblPr>
      <w:tblGrid>
        <w:gridCol w:w="701"/>
        <w:gridCol w:w="1533"/>
        <w:gridCol w:w="1419"/>
        <w:gridCol w:w="1196"/>
        <w:gridCol w:w="930"/>
        <w:gridCol w:w="2213"/>
        <w:gridCol w:w="954"/>
      </w:tblGrid>
      <w:tr>
        <w:tblPrEx>
          <w:tblCellMar>
            <w:top w:w="0" w:type="dxa"/>
            <w:left w:w="0" w:type="dxa"/>
            <w:bottom w:w="0" w:type="dxa"/>
            <w:right w:w="0" w:type="dxa"/>
          </w:tblCellMar>
        </w:tblPrEx>
        <w:trPr>
          <w:trHeight w:val="634" w:hRule="exact"/>
        </w:trPr>
        <w:tc>
          <w:tcPr>
            <w:tcW w:w="701" w:type="dxa"/>
            <w:tcBorders>
              <w:top w:val="single" w:color="000000" w:sz="2" w:space="0"/>
              <w:left w:val="nil"/>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序号</w:t>
            </w:r>
          </w:p>
        </w:tc>
        <w:tc>
          <w:tcPr>
            <w:tcW w:w="1533" w:type="dxa"/>
            <w:tcBorders>
              <w:top w:val="single" w:color="000000" w:sz="2" w:space="0"/>
              <w:left w:val="single" w:color="000000" w:sz="6" w:space="0"/>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产生环节</w:t>
            </w:r>
          </w:p>
        </w:tc>
        <w:tc>
          <w:tcPr>
            <w:tcW w:w="1419" w:type="dxa"/>
            <w:tcBorders>
              <w:top w:val="single" w:color="000000" w:sz="2" w:space="0"/>
              <w:left w:val="single" w:color="000000" w:sz="6" w:space="0"/>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名称</w:t>
            </w:r>
          </w:p>
        </w:tc>
        <w:tc>
          <w:tcPr>
            <w:tcW w:w="1196" w:type="dxa"/>
            <w:tcBorders>
              <w:top w:val="single" w:color="000000" w:sz="2" w:space="0"/>
              <w:left w:val="single" w:color="000000" w:sz="6" w:space="0"/>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固废性质</w:t>
            </w:r>
          </w:p>
        </w:tc>
        <w:tc>
          <w:tcPr>
            <w:tcW w:w="930" w:type="dxa"/>
            <w:tcBorders>
              <w:top w:val="single" w:color="000000" w:sz="2" w:space="0"/>
              <w:left w:val="single" w:color="000000" w:sz="6" w:space="0"/>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产生量</w:t>
            </w:r>
            <w:r>
              <w:rPr>
                <w:rFonts w:hint="default" w:ascii="Times New Roman" w:hAnsi="Times New Roman" w:cs="Times New Roman"/>
                <w:color w:val="auto"/>
                <w:sz w:val="21"/>
                <w:szCs w:val="21"/>
              </w:rPr>
              <w:t>t/a</w:t>
            </w:r>
          </w:p>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w:t>
            </w:r>
            <w:r>
              <w:rPr>
                <w:rFonts w:hint="default" w:ascii="Times New Roman" w:hAnsi="Times New Roman" w:eastAsia="Times New Roman" w:cs="Times New Roman"/>
                <w:b/>
                <w:bCs/>
                <w:color w:val="auto"/>
                <w:sz w:val="21"/>
                <w:szCs w:val="21"/>
              </w:rPr>
              <w:t>t/a</w:t>
            </w:r>
            <w:r>
              <w:rPr>
                <w:rFonts w:hint="default" w:ascii="Times New Roman" w:hAnsi="Times New Roman" w:cs="Times New Roman"/>
                <w:b/>
                <w:bCs/>
                <w:color w:val="auto"/>
                <w:sz w:val="21"/>
                <w:szCs w:val="21"/>
              </w:rPr>
              <w:t>）</w:t>
            </w:r>
          </w:p>
        </w:tc>
        <w:tc>
          <w:tcPr>
            <w:tcW w:w="2213" w:type="dxa"/>
            <w:tcBorders>
              <w:top w:val="single" w:color="000000" w:sz="2" w:space="0"/>
              <w:left w:val="single" w:color="000000" w:sz="6" w:space="0"/>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处置措施</w:t>
            </w:r>
          </w:p>
        </w:tc>
        <w:tc>
          <w:tcPr>
            <w:tcW w:w="954" w:type="dxa"/>
            <w:tcBorders>
              <w:top w:val="single" w:color="000000" w:sz="2" w:space="0"/>
              <w:left w:val="single" w:color="000000" w:sz="6" w:space="0"/>
              <w:bottom w:val="single" w:color="000000" w:sz="6" w:space="0"/>
              <w:right w:val="nil"/>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排放量</w:t>
            </w:r>
            <w:r>
              <w:rPr>
                <w:rFonts w:hint="default" w:ascii="Times New Roman" w:hAnsi="Times New Roman" w:cs="Times New Roman"/>
                <w:color w:val="auto"/>
                <w:sz w:val="21"/>
                <w:szCs w:val="21"/>
              </w:rPr>
              <w:t>t/a</w:t>
            </w:r>
          </w:p>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w:t>
            </w:r>
            <w:r>
              <w:rPr>
                <w:rFonts w:hint="default" w:ascii="Times New Roman" w:hAnsi="Times New Roman" w:eastAsia="Times New Roman" w:cs="Times New Roman"/>
                <w:b/>
                <w:bCs/>
                <w:color w:val="auto"/>
                <w:sz w:val="21"/>
                <w:szCs w:val="21"/>
              </w:rPr>
              <w:t>t/a</w:t>
            </w:r>
            <w:r>
              <w:rPr>
                <w:rFonts w:hint="default" w:ascii="Times New Roman" w:hAnsi="Times New Roman" w:cs="Times New Roman"/>
                <w:b/>
                <w:bCs/>
                <w:color w:val="auto"/>
                <w:sz w:val="21"/>
                <w:szCs w:val="21"/>
              </w:rPr>
              <w:t>）</w:t>
            </w:r>
          </w:p>
        </w:tc>
      </w:tr>
      <w:tr>
        <w:tblPrEx>
          <w:tblCellMar>
            <w:top w:w="0" w:type="dxa"/>
            <w:left w:w="0" w:type="dxa"/>
            <w:bottom w:w="0" w:type="dxa"/>
            <w:right w:w="0" w:type="dxa"/>
          </w:tblCellMar>
        </w:tblPrEx>
        <w:trPr>
          <w:trHeight w:val="639" w:hRule="exact"/>
        </w:trPr>
        <w:tc>
          <w:tcPr>
            <w:tcW w:w="701"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53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防疫</w:t>
            </w:r>
          </w:p>
        </w:tc>
        <w:tc>
          <w:tcPr>
            <w:tcW w:w="1419"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医疗固废</w:t>
            </w:r>
          </w:p>
        </w:tc>
        <w:tc>
          <w:tcPr>
            <w:tcW w:w="1196"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（HW01）</w:t>
            </w:r>
          </w:p>
        </w:tc>
        <w:tc>
          <w:tcPr>
            <w:tcW w:w="93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0.045</w:t>
            </w:r>
          </w:p>
        </w:tc>
        <w:tc>
          <w:tcPr>
            <w:tcW w:w="221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定期交由有资质单位</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处理</w:t>
            </w: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CellMar>
            <w:top w:w="0" w:type="dxa"/>
            <w:left w:w="0" w:type="dxa"/>
            <w:bottom w:w="0" w:type="dxa"/>
            <w:right w:w="0" w:type="dxa"/>
          </w:tblCellMar>
        </w:tblPrEx>
        <w:trPr>
          <w:trHeight w:val="1246" w:hRule="exact"/>
        </w:trPr>
        <w:tc>
          <w:tcPr>
            <w:tcW w:w="701"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53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养殖</w:t>
            </w:r>
          </w:p>
        </w:tc>
        <w:tc>
          <w:tcPr>
            <w:tcW w:w="1419"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病死猪</w:t>
            </w:r>
          </w:p>
        </w:tc>
        <w:tc>
          <w:tcPr>
            <w:tcW w:w="1196"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（HW01）</w:t>
            </w:r>
          </w:p>
        </w:tc>
        <w:tc>
          <w:tcPr>
            <w:tcW w:w="93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21.36</w:t>
            </w:r>
          </w:p>
        </w:tc>
        <w:tc>
          <w:tcPr>
            <w:tcW w:w="221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在厂区内无害化处理后，残渣作为有机肥</w:t>
            </w:r>
            <w:r>
              <w:rPr>
                <w:rFonts w:hint="default" w:ascii="Times New Roman" w:hAnsi="Times New Roman" w:cs="Times New Roman"/>
                <w:color w:val="auto"/>
                <w:sz w:val="21"/>
                <w:szCs w:val="21"/>
                <w:lang w:eastAsia="zh-CN"/>
              </w:rPr>
              <w:t>基料</w:t>
            </w:r>
            <w:r>
              <w:rPr>
                <w:rFonts w:hint="default" w:ascii="Times New Roman" w:hAnsi="Times New Roman" w:cs="Times New Roman"/>
                <w:color w:val="auto"/>
                <w:sz w:val="21"/>
                <w:szCs w:val="21"/>
              </w:rPr>
              <w:t>外售</w:t>
            </w: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CellMar>
            <w:top w:w="0" w:type="dxa"/>
            <w:left w:w="0" w:type="dxa"/>
            <w:bottom w:w="0" w:type="dxa"/>
            <w:right w:w="0" w:type="dxa"/>
          </w:tblCellMar>
        </w:tblPrEx>
        <w:trPr>
          <w:trHeight w:val="639" w:hRule="exact"/>
        </w:trPr>
        <w:tc>
          <w:tcPr>
            <w:tcW w:w="701" w:type="dxa"/>
            <w:tcBorders>
              <w:top w:val="single" w:color="000000" w:sz="6" w:space="0"/>
              <w:left w:val="nil"/>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53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固液分离</w:t>
            </w:r>
          </w:p>
        </w:tc>
        <w:tc>
          <w:tcPr>
            <w:tcW w:w="1419"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猪粪</w:t>
            </w:r>
          </w:p>
        </w:tc>
        <w:tc>
          <w:tcPr>
            <w:tcW w:w="1196"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w:t>
            </w:r>
          </w:p>
        </w:tc>
        <w:tc>
          <w:tcPr>
            <w:tcW w:w="93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1353.86</w:t>
            </w:r>
          </w:p>
        </w:tc>
        <w:tc>
          <w:tcPr>
            <w:tcW w:w="221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经发酵后作为制有机</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肥</w:t>
            </w:r>
            <w:r>
              <w:rPr>
                <w:rFonts w:hint="default" w:ascii="Times New Roman" w:hAnsi="Times New Roman" w:cs="Times New Roman"/>
                <w:color w:val="auto"/>
                <w:sz w:val="21"/>
                <w:szCs w:val="21"/>
                <w:lang w:eastAsia="zh-CN"/>
              </w:rPr>
              <w:t>基料</w:t>
            </w:r>
            <w:r>
              <w:rPr>
                <w:rFonts w:hint="default" w:ascii="Times New Roman" w:hAnsi="Times New Roman" w:cs="Times New Roman"/>
                <w:color w:val="auto"/>
                <w:sz w:val="21"/>
                <w:szCs w:val="21"/>
              </w:rPr>
              <w:t>外售</w:t>
            </w: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CellMar>
            <w:top w:w="0" w:type="dxa"/>
            <w:left w:w="0" w:type="dxa"/>
            <w:bottom w:w="0" w:type="dxa"/>
            <w:right w:w="0" w:type="dxa"/>
          </w:tblCellMar>
        </w:tblPrEx>
        <w:trPr>
          <w:trHeight w:val="355" w:hRule="exact"/>
        </w:trPr>
        <w:tc>
          <w:tcPr>
            <w:tcW w:w="701"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53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沼气脱硫装置</w:t>
            </w:r>
          </w:p>
        </w:tc>
        <w:tc>
          <w:tcPr>
            <w:tcW w:w="1419"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废脱硫剂</w:t>
            </w:r>
          </w:p>
        </w:tc>
        <w:tc>
          <w:tcPr>
            <w:tcW w:w="1196"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w:t>
            </w:r>
          </w:p>
        </w:tc>
        <w:tc>
          <w:tcPr>
            <w:tcW w:w="93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0.16</w:t>
            </w:r>
          </w:p>
        </w:tc>
        <w:tc>
          <w:tcPr>
            <w:tcW w:w="221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生产厂家统一回收处置</w:t>
            </w: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CellMar>
            <w:top w:w="0" w:type="dxa"/>
            <w:left w:w="0" w:type="dxa"/>
            <w:bottom w:w="0" w:type="dxa"/>
            <w:right w:w="0" w:type="dxa"/>
          </w:tblCellMar>
        </w:tblPrEx>
        <w:trPr>
          <w:trHeight w:val="355" w:hRule="exact"/>
        </w:trPr>
        <w:tc>
          <w:tcPr>
            <w:tcW w:w="701"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53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职工生活</w:t>
            </w:r>
          </w:p>
        </w:tc>
        <w:tc>
          <w:tcPr>
            <w:tcW w:w="1419"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1196"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w:t>
            </w:r>
          </w:p>
        </w:tc>
        <w:tc>
          <w:tcPr>
            <w:tcW w:w="93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5.475</w:t>
            </w:r>
          </w:p>
        </w:tc>
        <w:tc>
          <w:tcPr>
            <w:tcW w:w="221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送交环卫部门处理</w:t>
            </w: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CellMar>
            <w:top w:w="0" w:type="dxa"/>
            <w:left w:w="0" w:type="dxa"/>
            <w:bottom w:w="0" w:type="dxa"/>
            <w:right w:w="0" w:type="dxa"/>
          </w:tblCellMar>
        </w:tblPrEx>
        <w:trPr>
          <w:trHeight w:val="625" w:hRule="exact"/>
        </w:trPr>
        <w:tc>
          <w:tcPr>
            <w:tcW w:w="701" w:type="dxa"/>
            <w:tcBorders>
              <w:top w:val="single" w:color="000000" w:sz="6" w:space="0"/>
              <w:left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w:t>
            </w:r>
          </w:p>
        </w:tc>
        <w:tc>
          <w:tcPr>
            <w:tcW w:w="1533"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无害化处理</w:t>
            </w:r>
          </w:p>
        </w:tc>
        <w:tc>
          <w:tcPr>
            <w:tcW w:w="1419"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废导热油</w:t>
            </w:r>
          </w:p>
        </w:tc>
        <w:tc>
          <w:tcPr>
            <w:tcW w:w="1196"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w:t>
            </w:r>
          </w:p>
          <w:p>
            <w:pPr>
              <w:keepNext w:val="0"/>
              <w:keepLines w:val="0"/>
              <w:widowControl/>
              <w:suppressLineNumbers w:val="0"/>
              <w:ind w:left="0" w:leftChars="0" w:firstLine="0" w:firstLineChars="0"/>
              <w:jc w:val="center"/>
              <w:rPr>
                <w:rFonts w:hint="default" w:ascii="Times New Roman" w:hAnsi="Times New Roman" w:cs="Times New Roman"/>
                <w:color w:val="auto"/>
              </w:rPr>
            </w:pPr>
            <w:r>
              <w:rPr>
                <w:rFonts w:hint="default" w:ascii="Times New Roman" w:hAnsi="Times New Roman" w:eastAsia="宋体" w:cs="Times New Roman"/>
                <w:color w:val="auto"/>
                <w:kern w:val="0"/>
                <w:sz w:val="20"/>
                <w:szCs w:val="20"/>
                <w:lang w:val="en-US" w:eastAsia="zh-CN" w:bidi="ar"/>
              </w:rPr>
              <w:t>（</w:t>
            </w:r>
            <w:r>
              <w:rPr>
                <w:rFonts w:hint="default" w:ascii="Times New Roman" w:hAnsi="Times New Roman" w:eastAsia="TimesNewRomanPSMT" w:cs="Times New Roman"/>
                <w:color w:val="auto"/>
                <w:kern w:val="0"/>
                <w:sz w:val="20"/>
                <w:szCs w:val="20"/>
                <w:lang w:val="en-US" w:eastAsia="zh-CN" w:bidi="ar"/>
              </w:rPr>
              <w:t>HW08</w:t>
            </w:r>
            <w:r>
              <w:rPr>
                <w:rFonts w:hint="default" w:ascii="Times New Roman" w:hAnsi="Times New Roman" w:eastAsia="宋体" w:cs="Times New Roman"/>
                <w:color w:val="auto"/>
                <w:kern w:val="0"/>
                <w:sz w:val="20"/>
                <w:szCs w:val="20"/>
                <w:lang w:val="en-US" w:eastAsia="zh-CN" w:bidi="ar"/>
              </w:rPr>
              <w:t>）</w:t>
            </w:r>
          </w:p>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rPr>
            </w:pPr>
          </w:p>
        </w:tc>
        <w:tc>
          <w:tcPr>
            <w:tcW w:w="930"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0.125</w:t>
            </w:r>
          </w:p>
        </w:tc>
        <w:tc>
          <w:tcPr>
            <w:tcW w:w="2213"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定期交由有资质单位</w:t>
            </w:r>
          </w:p>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处理</w:t>
            </w:r>
          </w:p>
        </w:tc>
        <w:tc>
          <w:tcPr>
            <w:tcW w:w="954" w:type="dxa"/>
            <w:tcBorders>
              <w:top w:val="single" w:color="000000" w:sz="6" w:space="0"/>
              <w:left w:val="single" w:color="000000" w:sz="6" w:space="0"/>
              <w:bottom w:val="single" w:color="000000" w:sz="6" w:space="0"/>
              <w:right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w:t>
            </w:r>
          </w:p>
        </w:tc>
      </w:tr>
      <w:tr>
        <w:tblPrEx>
          <w:tblCellMar>
            <w:top w:w="0" w:type="dxa"/>
            <w:left w:w="0" w:type="dxa"/>
            <w:bottom w:w="0" w:type="dxa"/>
            <w:right w:w="0" w:type="dxa"/>
          </w:tblCellMar>
        </w:tblPrEx>
        <w:trPr>
          <w:trHeight w:val="625" w:hRule="exact"/>
        </w:trPr>
        <w:tc>
          <w:tcPr>
            <w:tcW w:w="701" w:type="dxa"/>
            <w:tcBorders>
              <w:top w:val="single" w:color="000000" w:sz="6" w:space="0"/>
              <w:left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153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无害化处理</w:t>
            </w:r>
          </w:p>
        </w:tc>
        <w:tc>
          <w:tcPr>
            <w:tcW w:w="1419"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废</w:t>
            </w:r>
            <w:r>
              <w:rPr>
                <w:rFonts w:hint="default" w:ascii="Times New Roman" w:hAnsi="Times New Roman" w:cs="Times New Roman"/>
                <w:color w:val="auto"/>
                <w:sz w:val="21"/>
                <w:szCs w:val="21"/>
                <w:lang w:val="en-US" w:eastAsia="zh-CN"/>
              </w:rPr>
              <w:t>UV灯管</w:t>
            </w:r>
          </w:p>
        </w:tc>
        <w:tc>
          <w:tcPr>
            <w:tcW w:w="1196"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w:t>
            </w:r>
          </w:p>
          <w:p>
            <w:pPr>
              <w:widowControl/>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0"/>
                <w:szCs w:val="20"/>
                <w:lang w:bidi="ar"/>
              </w:rPr>
              <w:t>（</w:t>
            </w:r>
            <w:r>
              <w:rPr>
                <w:rFonts w:hint="default" w:ascii="Times New Roman" w:hAnsi="Times New Roman" w:eastAsia="TimesNewRomanPSMT" w:cs="Times New Roman"/>
                <w:color w:val="auto"/>
                <w:kern w:val="0"/>
                <w:sz w:val="20"/>
                <w:szCs w:val="20"/>
                <w:lang w:bidi="ar"/>
              </w:rPr>
              <w:t>HW</w:t>
            </w:r>
            <w:r>
              <w:rPr>
                <w:rFonts w:hint="default" w:ascii="Times New Roman" w:hAnsi="Times New Roman" w:cs="Times New Roman"/>
                <w:color w:val="auto"/>
                <w:kern w:val="0"/>
                <w:sz w:val="20"/>
                <w:szCs w:val="20"/>
                <w:lang w:val="en-US" w:eastAsia="zh-CN" w:bidi="ar"/>
              </w:rPr>
              <w:t>29</w:t>
            </w:r>
            <w:r>
              <w:rPr>
                <w:rFonts w:hint="default" w:ascii="Times New Roman" w:hAnsi="Times New Roman" w:cs="Times New Roman"/>
                <w:color w:val="auto"/>
                <w:kern w:val="0"/>
                <w:sz w:val="20"/>
                <w:szCs w:val="20"/>
                <w:lang w:bidi="ar"/>
              </w:rPr>
              <w:t>）</w:t>
            </w:r>
          </w:p>
        </w:tc>
        <w:tc>
          <w:tcPr>
            <w:tcW w:w="93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0.01</w:t>
            </w:r>
          </w:p>
        </w:tc>
        <w:tc>
          <w:tcPr>
            <w:tcW w:w="221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定期交由有资质单位</w:t>
            </w:r>
          </w:p>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处理</w:t>
            </w: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bl>
    <w:p>
      <w:pPr>
        <w:pStyle w:val="11"/>
        <w:spacing w:line="398" w:lineRule="auto"/>
        <w:ind w:left="217" w:right="212" w:firstLine="468"/>
        <w:jc w:val="left"/>
        <w:rPr>
          <w:rFonts w:hint="default" w:ascii="Times New Roman" w:hAnsi="Times New Roman" w:cs="Times New Roman"/>
          <w:color w:val="auto"/>
        </w:rPr>
      </w:pPr>
      <w:r>
        <w:rPr>
          <w:rFonts w:hint="default" w:ascii="Times New Roman" w:hAnsi="Times New Roman" w:cs="Times New Roman"/>
          <w:color w:val="auto"/>
          <w:spacing w:val="-3"/>
        </w:rPr>
        <w:t>综上所述，本项目固体废物按照废物的性质分别进行合理的处置，固废处置</w:t>
      </w:r>
      <w:r>
        <w:rPr>
          <w:rFonts w:hint="default" w:ascii="Times New Roman" w:hAnsi="Times New Roman" w:cs="Times New Roman"/>
          <w:color w:val="auto"/>
        </w:rPr>
        <w:t>率</w:t>
      </w:r>
      <w:r>
        <w:rPr>
          <w:rFonts w:hint="default" w:ascii="Times New Roman" w:hAnsi="Times New Roman" w:eastAsia="Times New Roman" w:cs="Times New Roman"/>
          <w:color w:val="auto"/>
        </w:rPr>
        <w:t>100%</w:t>
      </w:r>
      <w:r>
        <w:rPr>
          <w:rFonts w:hint="default" w:ascii="Times New Roman" w:hAnsi="Times New Roman" w:cs="Times New Roman"/>
          <w:color w:val="auto"/>
        </w:rPr>
        <w:t>，对周围环境影响不大。</w:t>
      </w:r>
    </w:p>
    <w:p>
      <w:pPr>
        <w:pStyle w:val="5"/>
        <w:rPr>
          <w:rFonts w:hint="default" w:ascii="Times New Roman" w:hAnsi="Times New Roman" w:cs="Times New Roman"/>
          <w:color w:val="auto"/>
        </w:rPr>
      </w:pPr>
      <w:r>
        <w:rPr>
          <w:rFonts w:hint="default" w:ascii="Times New Roman" w:hAnsi="Times New Roman" w:cs="Times New Roman"/>
          <w:color w:val="auto"/>
        </w:rPr>
        <w:t>5.2</w:t>
      </w:r>
      <w:r>
        <w:rPr>
          <w:rFonts w:hint="default" w:ascii="Times New Roman" w:hAnsi="Times New Roman" w:cs="Times New Roman"/>
          <w:color w:val="auto"/>
          <w:lang w:val="en-US"/>
        </w:rPr>
        <w:t>.6</w:t>
      </w:r>
      <w:r>
        <w:rPr>
          <w:rFonts w:hint="default" w:ascii="Times New Roman" w:hAnsi="Times New Roman" w:cs="Times New Roman"/>
          <w:color w:val="auto"/>
        </w:rPr>
        <w:t xml:space="preserve"> 土壤环境影响分析</w:t>
      </w:r>
    </w:p>
    <w:p>
      <w:pPr>
        <w:pStyle w:val="11"/>
        <w:spacing w:before="0" w:line="360" w:lineRule="auto"/>
        <w:ind w:left="0" w:right="0"/>
        <w:jc w:val="both"/>
        <w:rPr>
          <w:rFonts w:hint="default" w:ascii="Times New Roman" w:hAnsi="Times New Roman" w:cs="Times New Roman"/>
          <w:color w:val="auto"/>
        </w:rPr>
      </w:pPr>
      <w:r>
        <w:rPr>
          <w:rFonts w:hint="default" w:ascii="Times New Roman" w:hAnsi="Times New Roman" w:cs="Times New Roman"/>
          <w:color w:val="auto"/>
          <w:lang w:val="en-US" w:eastAsia="zh-CN"/>
        </w:rPr>
        <w:t>5.2.6.1</w:t>
      </w:r>
      <w:r>
        <w:rPr>
          <w:rFonts w:hint="default" w:ascii="Times New Roman" w:hAnsi="Times New Roman" w:eastAsia="Times New Roman" w:cs="Times New Roman"/>
          <w:color w:val="auto"/>
        </w:rPr>
        <w:t xml:space="preserve"> </w:t>
      </w:r>
      <w:r>
        <w:rPr>
          <w:rFonts w:hint="default" w:ascii="Times New Roman" w:hAnsi="Times New Roman" w:cs="Times New Roman"/>
          <w:color w:val="auto"/>
        </w:rPr>
        <w:t>评价等级与评价范围</w:t>
      </w:r>
    </w:p>
    <w:p>
      <w:pPr>
        <w:pStyle w:val="11"/>
        <w:spacing w:line="360" w:lineRule="auto"/>
        <w:ind w:left="0" w:right="0" w:firstLine="480"/>
        <w:jc w:val="both"/>
        <w:rPr>
          <w:rFonts w:hint="default" w:ascii="Times New Roman" w:hAnsi="Times New Roman" w:cs="Times New Roman"/>
          <w:color w:val="auto"/>
        </w:rPr>
      </w:pPr>
      <w:r>
        <w:rPr>
          <w:rFonts w:hint="default" w:ascii="Times New Roman" w:hAnsi="Times New Roman" w:cs="Times New Roman"/>
          <w:color w:val="auto"/>
        </w:rPr>
        <w:t>根据《环境影响评价技术导则 土壤环境（试行）》（</w:t>
      </w:r>
      <w:r>
        <w:rPr>
          <w:rFonts w:hint="default" w:ascii="Times New Roman" w:hAnsi="Times New Roman" w:eastAsia="Times New Roman" w:cs="Times New Roman"/>
          <w:color w:val="auto"/>
        </w:rPr>
        <w:t>HJ 964-2018</w:t>
      </w:r>
      <w:r>
        <w:rPr>
          <w:rFonts w:hint="default" w:ascii="Times New Roman" w:hAnsi="Times New Roman" w:cs="Times New Roman"/>
          <w:color w:val="auto"/>
        </w:rPr>
        <w:t>）附录</w:t>
      </w:r>
      <w:r>
        <w:rPr>
          <w:rFonts w:hint="default" w:ascii="Times New Roman" w:hAnsi="Times New Roman" w:eastAsia="Times New Roman" w:cs="Times New Roman"/>
          <w:color w:val="auto"/>
        </w:rPr>
        <w:t>A</w:t>
      </w:r>
      <w:r>
        <w:rPr>
          <w:rFonts w:hint="default" w:ascii="Times New Roman" w:hAnsi="Times New Roman" w:cs="Times New Roman"/>
          <w:color w:val="auto"/>
        </w:rPr>
        <w:t>表</w:t>
      </w:r>
      <w:r>
        <w:rPr>
          <w:rFonts w:hint="default" w:ascii="Times New Roman" w:hAnsi="Times New Roman" w:eastAsia="Times New Roman" w:cs="Times New Roman"/>
          <w:color w:val="auto"/>
        </w:rPr>
        <w:t>A.1</w:t>
      </w:r>
      <w:r>
        <w:rPr>
          <w:rFonts w:hint="default" w:ascii="Times New Roman" w:hAnsi="Times New Roman" w:cs="Times New Roman"/>
          <w:color w:val="auto"/>
        </w:rPr>
        <w:t>，本项目属于农林牧渔业年出栏生猪</w:t>
      </w:r>
      <w:r>
        <w:rPr>
          <w:rFonts w:hint="default" w:ascii="Times New Roman" w:hAnsi="Times New Roman" w:eastAsia="Times New Roman" w:cs="Times New Roman"/>
          <w:color w:val="auto"/>
        </w:rPr>
        <w:t>5000</w:t>
      </w:r>
      <w:r>
        <w:rPr>
          <w:rFonts w:hint="default" w:ascii="Times New Roman" w:hAnsi="Times New Roman" w:cs="Times New Roman"/>
          <w:color w:val="auto"/>
        </w:rPr>
        <w:t>头（其他畜禽种类折合猪的养殖规模）及以上的畜禽养殖场或养殖小区，因此本项目属于Ⅲ类项目。</w:t>
      </w:r>
    </w:p>
    <w:p>
      <w:pPr>
        <w:pStyle w:val="11"/>
        <w:spacing w:before="0" w:line="360" w:lineRule="auto"/>
        <w:ind w:left="0" w:right="0" w:firstLine="480"/>
        <w:jc w:val="both"/>
        <w:rPr>
          <w:rFonts w:hint="default" w:ascii="Times New Roman" w:hAnsi="Times New Roman" w:cs="Times New Roman"/>
          <w:color w:val="auto"/>
        </w:rPr>
      </w:pPr>
      <w:r>
        <w:rPr>
          <w:rFonts w:hint="default" w:ascii="Times New Roman" w:hAnsi="Times New Roman" w:cs="Times New Roman"/>
          <w:color w:val="auto"/>
        </w:rPr>
        <w:t>本项目占地面积占地</w:t>
      </w:r>
      <w:r>
        <w:rPr>
          <w:rFonts w:hint="default" w:ascii="Times New Roman" w:hAnsi="Times New Roman" w:cs="Times New Roman"/>
          <w:color w:val="auto"/>
          <w:spacing w:val="-83"/>
        </w:rPr>
        <w:t xml:space="preserve"> </w:t>
      </w:r>
      <w:r>
        <w:rPr>
          <w:rFonts w:hint="default" w:ascii="Times New Roman" w:hAnsi="Times New Roman" w:eastAsia="宋体" w:cs="Times New Roman"/>
          <w:color w:val="auto"/>
          <w:lang w:val="en-US" w:eastAsia="zh-CN"/>
        </w:rPr>
        <w:t>111333.89</w:t>
      </w:r>
      <w:r>
        <w:rPr>
          <w:rFonts w:hint="default" w:ascii="Times New Roman" w:hAnsi="Times New Roman" w:eastAsia="Times New Roman" w:cs="Times New Roman"/>
          <w:color w:val="auto"/>
        </w:rPr>
        <w:t>m</w:t>
      </w:r>
      <w:r>
        <w:rPr>
          <w:rFonts w:hint="default" w:ascii="Times New Roman" w:hAnsi="Times New Roman" w:eastAsia="Times New Roman" w:cs="Times New Roman"/>
          <w:color w:val="auto"/>
          <w:position w:val="11"/>
          <w:sz w:val="16"/>
          <w:szCs w:val="16"/>
        </w:rPr>
        <w:t>2</w:t>
      </w:r>
      <w:r>
        <w:rPr>
          <w:rFonts w:hint="default" w:ascii="Times New Roman" w:hAnsi="Times New Roman" w:cs="Times New Roman"/>
          <w:color w:val="auto"/>
        </w:rPr>
        <w:t>（</w:t>
      </w:r>
      <w:r>
        <w:rPr>
          <w:rFonts w:hint="default" w:ascii="Times New Roman" w:hAnsi="Times New Roman" w:cs="Times New Roman"/>
          <w:color w:val="auto"/>
          <w:lang w:val="en-US" w:eastAsia="zh-CN"/>
        </w:rPr>
        <w:t>11.133389</w:t>
      </w:r>
      <w:r>
        <w:rPr>
          <w:rFonts w:hint="default" w:ascii="Times New Roman" w:hAnsi="Times New Roman" w:eastAsia="Times New Roman" w:cs="Times New Roman"/>
          <w:color w:val="auto"/>
        </w:rPr>
        <w:t>hm</w:t>
      </w:r>
      <w:r>
        <w:rPr>
          <w:rFonts w:hint="default" w:ascii="Times New Roman" w:hAnsi="Times New Roman" w:eastAsia="Times New Roman" w:cs="Times New Roman"/>
          <w:color w:val="auto"/>
          <w:position w:val="11"/>
          <w:sz w:val="16"/>
          <w:szCs w:val="16"/>
        </w:rPr>
        <w:t>2</w:t>
      </w:r>
      <w:r>
        <w:rPr>
          <w:rFonts w:hint="default" w:ascii="Times New Roman" w:hAnsi="Times New Roman" w:cs="Times New Roman"/>
          <w:color w:val="auto"/>
        </w:rPr>
        <w:t>），因此本项目属于中型项目。本项目土壤环境影响途径不涉及地面漫流和大气沉降。</w:t>
      </w:r>
      <w:r>
        <w:rPr>
          <w:rFonts w:hint="default" w:ascii="Times New Roman" w:hAnsi="Times New Roman" w:cs="Times New Roman"/>
          <w:color w:val="auto"/>
          <w:spacing w:val="2"/>
        </w:rPr>
        <w:t>本项目各面源污染物最大落地浓度范围内存在耕地，因此本建设</w:t>
      </w:r>
      <w:r>
        <w:rPr>
          <w:rFonts w:hint="default" w:ascii="Times New Roman" w:hAnsi="Times New Roman" w:cs="Times New Roman"/>
          <w:color w:val="auto"/>
        </w:rPr>
        <w:t>项目所在周边的土壤环境敏感程度为敏感。详见表</w:t>
      </w:r>
      <w:r>
        <w:rPr>
          <w:rFonts w:hint="default" w:ascii="Times New Roman" w:hAnsi="Times New Roman" w:cs="Times New Roman"/>
          <w:color w:val="auto"/>
          <w:lang w:val="en-US" w:eastAsia="zh-CN"/>
        </w:rPr>
        <w:t>5.2-</w:t>
      </w:r>
      <w:r>
        <w:rPr>
          <w:rFonts w:hint="eastAsia" w:cs="Times New Roman"/>
          <w:color w:val="auto"/>
          <w:lang w:val="en-US" w:eastAsia="zh-CN"/>
        </w:rPr>
        <w:t>37</w:t>
      </w:r>
      <w:r>
        <w:rPr>
          <w:rFonts w:hint="default" w:ascii="Times New Roman" w:hAnsi="Times New Roman" w:cs="Times New Roman"/>
          <w:color w:val="auto"/>
        </w:rPr>
        <w:t>。</w:t>
      </w:r>
    </w:p>
    <w:p>
      <w:pPr>
        <w:pStyle w:val="11"/>
        <w:tabs>
          <w:tab w:val="left" w:pos="3663"/>
        </w:tabs>
        <w:spacing w:before="0" w:line="360" w:lineRule="auto"/>
        <w:ind w:firstLine="723" w:firstLineChars="300"/>
        <w:rPr>
          <w:rFonts w:hint="default" w:ascii="Times New Roman" w:hAnsi="Times New Roman" w:cs="Times New Roman"/>
          <w:b/>
          <w:bCs/>
          <w:color w:val="auto"/>
        </w:rPr>
      </w:pPr>
    </w:p>
    <w:p>
      <w:pPr>
        <w:pStyle w:val="11"/>
        <w:tabs>
          <w:tab w:val="left" w:pos="3663"/>
        </w:tabs>
        <w:spacing w:before="0" w:line="360" w:lineRule="auto"/>
        <w:ind w:firstLine="723" w:firstLineChars="300"/>
        <w:rPr>
          <w:rFonts w:hint="default" w:ascii="Times New Roman" w:hAnsi="Times New Roman" w:cs="Times New Roman"/>
          <w:b/>
          <w:bCs/>
          <w:color w:val="auto"/>
        </w:rPr>
      </w:pPr>
    </w:p>
    <w:p>
      <w:pPr>
        <w:pStyle w:val="11"/>
        <w:tabs>
          <w:tab w:val="left" w:pos="3663"/>
        </w:tabs>
        <w:spacing w:before="0" w:line="360" w:lineRule="auto"/>
        <w:ind w:firstLine="723" w:firstLineChars="300"/>
        <w:rPr>
          <w:rFonts w:hint="default" w:ascii="Times New Roman" w:hAnsi="Times New Roman" w:eastAsia="宋体" w:cs="Times New Roman"/>
          <w:b/>
          <w:bCs/>
          <w:color w:val="auto"/>
          <w:sz w:val="4"/>
          <w:szCs w:val="4"/>
        </w:rPr>
      </w:pPr>
      <w:r>
        <w:rPr>
          <w:rFonts w:hint="default" w:ascii="Times New Roman" w:hAnsi="Times New Roman" w:cs="Times New Roman"/>
          <w:b/>
          <w:bCs/>
          <w:color w:val="auto"/>
        </w:rPr>
        <w:t>表</w:t>
      </w:r>
      <w:r>
        <w:rPr>
          <w:rFonts w:hint="default" w:ascii="Times New Roman" w:hAnsi="Times New Roman" w:cs="Times New Roman"/>
          <w:b/>
          <w:bCs/>
          <w:color w:val="auto"/>
          <w:lang w:val="en-US" w:eastAsia="zh-CN"/>
        </w:rPr>
        <w:t>5.2-</w:t>
      </w:r>
      <w:r>
        <w:rPr>
          <w:rFonts w:hint="eastAsia" w:cs="Times New Roman"/>
          <w:b/>
          <w:bCs/>
          <w:color w:val="auto"/>
          <w:lang w:val="en-US" w:eastAsia="zh-CN"/>
        </w:rPr>
        <w:t>37</w:t>
      </w:r>
      <w:r>
        <w:rPr>
          <w:rFonts w:hint="default" w:ascii="Times New Roman" w:hAnsi="Times New Roman" w:eastAsia="Times New Roman" w:cs="Times New Roman"/>
          <w:b/>
          <w:bCs/>
          <w:color w:val="auto"/>
        </w:rPr>
        <w:tab/>
      </w:r>
      <w:r>
        <w:rPr>
          <w:rFonts w:hint="default" w:ascii="Times New Roman" w:hAnsi="Times New Roman" w:cs="Times New Roman"/>
          <w:b/>
          <w:bCs/>
          <w:color w:val="auto"/>
        </w:rPr>
        <w:t>污染影响型敏感程度分级表</w:t>
      </w:r>
    </w:p>
    <w:tbl>
      <w:tblPr>
        <w:tblStyle w:val="25"/>
        <w:tblW w:w="8728"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487"/>
        <w:gridCol w:w="7241"/>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0" w:hRule="exact"/>
          <w:jc w:val="center"/>
        </w:trPr>
        <w:tc>
          <w:tcPr>
            <w:tcW w:w="1487" w:type="dxa"/>
            <w:tcBorders>
              <w:tl2br w:val="nil"/>
              <w:tr2bl w:val="nil"/>
            </w:tcBorders>
            <w:vAlign w:val="center"/>
          </w:tcPr>
          <w:p>
            <w:pPr>
              <w:pStyle w:val="40"/>
              <w:adjustRightInd/>
              <w:spacing w:before="74" w:line="240" w:lineRule="auto"/>
              <w:ind w:left="338"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敏感程度</w:t>
            </w:r>
          </w:p>
        </w:tc>
        <w:tc>
          <w:tcPr>
            <w:tcW w:w="7241" w:type="dxa"/>
            <w:tcBorders>
              <w:tl2br w:val="nil"/>
              <w:tr2bl w:val="nil"/>
            </w:tcBorders>
            <w:vAlign w:val="center"/>
          </w:tcPr>
          <w:p>
            <w:pPr>
              <w:pStyle w:val="40"/>
              <w:adjustRightInd/>
              <w:spacing w:before="74" w:line="240" w:lineRule="auto"/>
              <w:ind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判断依据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09" w:hRule="exact"/>
          <w:jc w:val="center"/>
        </w:trPr>
        <w:tc>
          <w:tcPr>
            <w:tcW w:w="1487" w:type="dxa"/>
            <w:tcBorders>
              <w:tl2br w:val="nil"/>
              <w:tr2bl w:val="nil"/>
            </w:tcBorders>
            <w:vAlign w:val="center"/>
          </w:tcPr>
          <w:p>
            <w:pPr>
              <w:pStyle w:val="40"/>
              <w:adjustRightInd/>
              <w:spacing w:line="240" w:lineRule="auto"/>
              <w:ind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w:t>
            </w:r>
          </w:p>
        </w:tc>
        <w:tc>
          <w:tcPr>
            <w:tcW w:w="7241" w:type="dxa"/>
            <w:tcBorders>
              <w:tl2br w:val="nil"/>
              <w:tr2bl w:val="nil"/>
            </w:tcBorders>
            <w:vAlign w:val="center"/>
          </w:tcPr>
          <w:p>
            <w:pPr>
              <w:pStyle w:val="40"/>
              <w:adjustRightInd/>
              <w:spacing w:before="74" w:line="240" w:lineRule="auto"/>
              <w:ind w:left="10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建设项目周边存在耕地、园地、牧草地、饮用水水源地或居民区、学校、疗养</w:t>
            </w:r>
          </w:p>
          <w:p>
            <w:pPr>
              <w:pStyle w:val="40"/>
              <w:adjustRightInd/>
              <w:spacing w:before="126" w:line="240" w:lineRule="auto"/>
              <w:ind w:left="10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院、养老院等土壤环境敏感目标的</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7" w:hRule="exact"/>
          <w:jc w:val="center"/>
        </w:trPr>
        <w:tc>
          <w:tcPr>
            <w:tcW w:w="1487" w:type="dxa"/>
            <w:tcBorders>
              <w:tl2br w:val="nil"/>
              <w:tr2bl w:val="nil"/>
            </w:tcBorders>
            <w:vAlign w:val="center"/>
          </w:tcPr>
          <w:p>
            <w:pPr>
              <w:pStyle w:val="40"/>
              <w:adjustRightInd/>
              <w:spacing w:before="76" w:line="240" w:lineRule="auto"/>
              <w:ind w:left="441"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较敏感</w:t>
            </w:r>
          </w:p>
        </w:tc>
        <w:tc>
          <w:tcPr>
            <w:tcW w:w="7241" w:type="dxa"/>
            <w:tcBorders>
              <w:tl2br w:val="nil"/>
              <w:tr2bl w:val="nil"/>
            </w:tcBorders>
            <w:vAlign w:val="center"/>
          </w:tcPr>
          <w:p>
            <w:pPr>
              <w:pStyle w:val="40"/>
              <w:adjustRightInd/>
              <w:spacing w:before="76" w:line="240" w:lineRule="auto"/>
              <w:ind w:left="10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建设项目周边存在其他土壤环境敏感目标的</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0" w:hRule="exact"/>
          <w:jc w:val="center"/>
        </w:trPr>
        <w:tc>
          <w:tcPr>
            <w:tcW w:w="1487" w:type="dxa"/>
            <w:tcBorders>
              <w:tl2br w:val="nil"/>
              <w:tr2bl w:val="nil"/>
            </w:tcBorders>
            <w:vAlign w:val="center"/>
          </w:tcPr>
          <w:p>
            <w:pPr>
              <w:pStyle w:val="40"/>
              <w:adjustRightInd/>
              <w:spacing w:before="74" w:line="240" w:lineRule="auto"/>
              <w:ind w:left="441"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不敏感</w:t>
            </w:r>
          </w:p>
        </w:tc>
        <w:tc>
          <w:tcPr>
            <w:tcW w:w="7241" w:type="dxa"/>
            <w:tcBorders>
              <w:tl2br w:val="nil"/>
              <w:tr2bl w:val="nil"/>
            </w:tcBorders>
            <w:vAlign w:val="center"/>
          </w:tcPr>
          <w:p>
            <w:pPr>
              <w:pStyle w:val="40"/>
              <w:adjustRightInd/>
              <w:spacing w:before="74" w:line="240" w:lineRule="auto"/>
              <w:ind w:left="10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其他情况</w:t>
            </w:r>
          </w:p>
        </w:tc>
      </w:tr>
    </w:tbl>
    <w:p>
      <w:pPr>
        <w:spacing w:before="4" w:line="240" w:lineRule="auto"/>
        <w:rPr>
          <w:rFonts w:hint="default" w:ascii="Times New Roman" w:hAnsi="Times New Roman" w:eastAsia="宋体" w:cs="Times New Roman"/>
          <w:color w:val="auto"/>
          <w:sz w:val="8"/>
          <w:szCs w:val="8"/>
        </w:rPr>
      </w:pPr>
    </w:p>
    <w:p>
      <w:pPr>
        <w:pStyle w:val="11"/>
        <w:spacing w:before="26" w:line="376" w:lineRule="auto"/>
        <w:ind w:left="248" w:right="0" w:firstLine="480"/>
        <w:jc w:val="left"/>
        <w:rPr>
          <w:rFonts w:hint="default" w:ascii="Times New Roman" w:hAnsi="Times New Roman" w:cs="Times New Roman"/>
          <w:color w:val="auto"/>
        </w:rPr>
      </w:pPr>
      <w:r>
        <w:rPr>
          <w:rFonts w:hint="default" w:ascii="Times New Roman" w:hAnsi="Times New Roman" w:cs="Times New Roman"/>
          <w:color w:val="auto"/>
        </w:rPr>
        <w:t xml:space="preserve">根据《环境影响评价技术导则 </w:t>
      </w:r>
      <w:r>
        <w:rPr>
          <w:rFonts w:hint="default" w:ascii="Times New Roman" w:hAnsi="Times New Roman" w:cs="Times New Roman"/>
          <w:color w:val="auto"/>
          <w:spacing w:val="-4"/>
        </w:rPr>
        <w:t>土壤环境（试行）》（</w:t>
      </w:r>
      <w:r>
        <w:rPr>
          <w:rFonts w:hint="default" w:ascii="Times New Roman" w:hAnsi="Times New Roman" w:eastAsia="Times New Roman" w:cs="Times New Roman"/>
          <w:color w:val="auto"/>
          <w:spacing w:val="-4"/>
        </w:rPr>
        <w:t>HJ</w:t>
      </w:r>
      <w:r>
        <w:rPr>
          <w:rFonts w:hint="default" w:ascii="Times New Roman" w:hAnsi="Times New Roman" w:eastAsia="Times New Roman" w:cs="Times New Roman"/>
          <w:color w:val="auto"/>
          <w:spacing w:val="-29"/>
        </w:rPr>
        <w:t xml:space="preserve"> </w:t>
      </w:r>
      <w:r>
        <w:rPr>
          <w:rFonts w:hint="default" w:ascii="Times New Roman" w:hAnsi="Times New Roman" w:eastAsia="Times New Roman" w:cs="Times New Roman"/>
          <w:color w:val="auto"/>
        </w:rPr>
        <w:t>964-2018</w:t>
      </w:r>
      <w:r>
        <w:rPr>
          <w:rFonts w:hint="default" w:ascii="Times New Roman" w:hAnsi="Times New Roman" w:cs="Times New Roman"/>
          <w:color w:val="auto"/>
        </w:rPr>
        <w:t>），本项目评 价等级为三级，详见表</w:t>
      </w:r>
      <w:r>
        <w:rPr>
          <w:rFonts w:hint="default" w:ascii="Times New Roman" w:hAnsi="Times New Roman" w:cs="Times New Roman"/>
          <w:color w:val="auto"/>
          <w:lang w:val="en-US" w:eastAsia="zh-CN"/>
        </w:rPr>
        <w:t>5.2-</w:t>
      </w:r>
      <w:r>
        <w:rPr>
          <w:rFonts w:hint="eastAsia" w:cs="Times New Roman"/>
          <w:color w:val="auto"/>
          <w:lang w:val="en-US" w:eastAsia="zh-CN"/>
        </w:rPr>
        <w:t>38</w:t>
      </w:r>
      <w:r>
        <w:rPr>
          <w:rFonts w:hint="default" w:ascii="Times New Roman" w:hAnsi="Times New Roman" w:cs="Times New Roman"/>
          <w:color w:val="auto"/>
        </w:rPr>
        <w:t>。</w:t>
      </w:r>
    </w:p>
    <w:p>
      <w:pPr>
        <w:pStyle w:val="11"/>
        <w:tabs>
          <w:tab w:val="left" w:pos="3543"/>
        </w:tabs>
        <w:spacing w:before="37" w:line="240" w:lineRule="auto"/>
        <w:ind w:left="2564" w:right="0"/>
        <w:jc w:val="left"/>
        <w:rPr>
          <w:rFonts w:hint="default" w:ascii="Times New Roman" w:hAnsi="Times New Roman" w:cs="Times New Roman"/>
          <w:b/>
          <w:bCs/>
          <w:color w:val="auto"/>
        </w:rPr>
      </w:pPr>
      <w:r>
        <w:rPr>
          <w:rFonts w:hint="default" w:ascii="Times New Roman" w:hAnsi="Times New Roman" w:cs="Times New Roman"/>
          <w:b/>
          <w:bCs/>
          <w:color w:val="auto"/>
        </w:rPr>
        <mc:AlternateContent>
          <mc:Choice Requires="wpg">
            <w:drawing>
              <wp:anchor distT="0" distB="0" distL="114300" distR="114300" simplePos="0" relativeHeight="502844416" behindDoc="1" locked="0" layoutInCell="1" allowOverlap="1">
                <wp:simplePos x="0" y="0"/>
                <wp:positionH relativeFrom="page">
                  <wp:posOffset>923290</wp:posOffset>
                </wp:positionH>
                <wp:positionV relativeFrom="paragraph">
                  <wp:posOffset>277495</wp:posOffset>
                </wp:positionV>
                <wp:extent cx="1623695" cy="771525"/>
                <wp:effectExtent l="0" t="0" r="0" b="10795"/>
                <wp:wrapNone/>
                <wp:docPr id="16" name="组合 4"/>
                <wp:cNvGraphicFramePr/>
                <a:graphic xmlns:a="http://schemas.openxmlformats.org/drawingml/2006/main">
                  <a:graphicData uri="http://schemas.microsoft.com/office/word/2010/wordprocessingGroup">
                    <wpg:wgp>
                      <wpg:cNvGrpSpPr/>
                      <wpg:grpSpPr>
                        <a:xfrm>
                          <a:off x="0" y="0"/>
                          <a:ext cx="1623695" cy="771525"/>
                          <a:chOff x="1454" y="438"/>
                          <a:chExt cx="2557" cy="1215"/>
                        </a:xfrm>
                      </wpg:grpSpPr>
                      <wpg:grpSp>
                        <wpg:cNvPr id="12" name="组合 5"/>
                        <wpg:cNvGrpSpPr/>
                        <wpg:grpSpPr>
                          <a:xfrm>
                            <a:off x="2760" y="445"/>
                            <a:ext cx="1244" cy="1200"/>
                            <a:chOff x="2760" y="445"/>
                            <a:chExt cx="1244" cy="1200"/>
                          </a:xfrm>
                        </wpg:grpSpPr>
                        <wps:wsp>
                          <wps:cNvPr id="11" name="任意多边形 6"/>
                          <wps:cNvSpPr/>
                          <wps:spPr>
                            <a:xfrm>
                              <a:off x="2760" y="445"/>
                              <a:ext cx="1244" cy="1200"/>
                            </a:xfrm>
                            <a:custGeom>
                              <a:avLst/>
                              <a:gdLst/>
                              <a:ahLst/>
                              <a:cxnLst/>
                              <a:pathLst>
                                <a:path w="1244" h="1200">
                                  <a:moveTo>
                                    <a:pt x="1244" y="1200"/>
                                  </a:moveTo>
                                  <a:lnTo>
                                    <a:pt x="0" y="0"/>
                                  </a:lnTo>
                                </a:path>
                              </a:pathLst>
                            </a:custGeom>
                            <a:noFill/>
                            <a:ln w="9525" cap="flat" cmpd="sng">
                              <a:solidFill>
                                <a:srgbClr val="000000"/>
                              </a:solidFill>
                              <a:prstDash val="solid"/>
                              <a:headEnd type="none" w="med" len="med"/>
                              <a:tailEnd type="none" w="med" len="med"/>
                            </a:ln>
                          </wps:spPr>
                          <wps:bodyPr upright="1"/>
                        </wps:wsp>
                      </wpg:grpSp>
                      <wpg:grpSp>
                        <wpg:cNvPr id="15" name="组合 7"/>
                        <wpg:cNvGrpSpPr/>
                        <wpg:grpSpPr>
                          <a:xfrm>
                            <a:off x="1462" y="1121"/>
                            <a:ext cx="2542" cy="524"/>
                            <a:chOff x="1462" y="1121"/>
                            <a:chExt cx="2542" cy="524"/>
                          </a:xfrm>
                        </wpg:grpSpPr>
                        <wps:wsp>
                          <wps:cNvPr id="13" name="任意多边形 8"/>
                          <wps:cNvSpPr/>
                          <wps:spPr>
                            <a:xfrm>
                              <a:off x="1462" y="1121"/>
                              <a:ext cx="2542" cy="524"/>
                            </a:xfrm>
                            <a:custGeom>
                              <a:avLst/>
                              <a:gdLst/>
                              <a:ahLst/>
                              <a:cxnLst/>
                              <a:pathLst>
                                <a:path w="2542" h="524">
                                  <a:moveTo>
                                    <a:pt x="2542" y="524"/>
                                  </a:moveTo>
                                  <a:lnTo>
                                    <a:pt x="0" y="0"/>
                                  </a:lnTo>
                                </a:path>
                              </a:pathLst>
                            </a:custGeom>
                            <a:noFill/>
                            <a:ln w="9525" cap="flat" cmpd="sng">
                              <a:solidFill>
                                <a:srgbClr val="000000"/>
                              </a:solidFill>
                              <a:prstDash val="solid"/>
                              <a:headEnd type="none" w="med" len="med"/>
                              <a:tailEnd type="none" w="med" len="med"/>
                            </a:ln>
                          </wps:spPr>
                          <wps:bodyPr upright="1"/>
                        </wps:wsp>
                      </wpg:grpSp>
                    </wpg:wgp>
                  </a:graphicData>
                </a:graphic>
              </wp:anchor>
            </w:drawing>
          </mc:Choice>
          <mc:Fallback>
            <w:pict>
              <v:group id="组合 4" o:spid="_x0000_s1026" o:spt="203" style="position:absolute;left:0pt;margin-left:72.7pt;margin-top:21.85pt;height:60.75pt;width:127.85pt;mso-position-horizontal-relative:page;z-index:-472064;mso-width-relative:page;mso-height-relative:page;" coordorigin="1454,438" coordsize="2557,1215" o:gfxdata="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Dr84uq2QAAAAoBAAAPAAAAAAAAAAEAIAAA&#10;ACIAAABkcnMvZG93bnJldi54bWxQSwECFAAUAAAACACHTuJAvRZLTigDAACSCgAADgAAAAAAAAAB&#10;ACAAAAAoAQAAZHJzL2Uyb0RvYy54bWxQSwUGAAAAAAYABgBZAQAAwgYAAAAA&#10;">
                <o:lock v:ext="edit" aspectratio="f"/>
                <v:group id="组合 5" o:spid="_x0000_s1026" o:spt="203" style="position:absolute;left:2760;top:445;height:1200;width:1244;" coordorigin="2760,445" coordsize="1244,1200"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任意多边形 6" o:spid="_x0000_s1026" o:spt="100" style="position:absolute;left:2760;top:445;height:1200;width:1244;" filled="f" stroked="t" coordsize="1244,1200" o:gfxdata="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GOX7LgAAADbAAAA&#10;DwAAAAAAAAABACAAAAAiAAAAZHJzL2Rvd25yZXYueG1sUEsBAhQAFAAAAAgAh07iQDMvBZ47AAAA&#10;OQAAABAAAAAAAAAAAQAgAAAABwEAAGRycy9zaGFwZXhtbC54bWxQSwUGAAAAAAYABgBbAQAAsQMA&#10;AAAA&#10;" path="m1244,1200l0,0e">
                    <v:fill on="f" focussize="0,0"/>
                    <v:stroke color="#000000" joinstyle="round"/>
                    <v:imagedata o:title=""/>
                    <o:lock v:ext="edit" aspectratio="f"/>
                  </v:shape>
                </v:group>
                <v:group id="组合 7" o:spid="_x0000_s1026" o:spt="203" style="position:absolute;left:1462;top:1121;height:524;width:2542;" coordorigin="1462,1121" coordsize="2542,524"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任意多边形 8" o:spid="_x0000_s1026" o:spt="100" style="position:absolute;left:1462;top:1121;height:524;width:2542;" filled="f" stroked="t" coordsize="2542,524" o:gfxdata="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CrCFugAAANsA&#10;AAAPAAAAAAAAAAEAIAAAACIAAABkcnMvZG93bnJldi54bWxQSwECFAAUAAAACACHTuJAMy8FnjsA&#10;AAA5AAAAEAAAAAAAAAABACAAAAAJAQAAZHJzL3NoYXBleG1sLnhtbFBLBQYAAAAABgAGAFsBAACz&#10;AwAAAAA=&#10;" path="m2542,524l0,0e">
                    <v:fill on="f" focussize="0,0"/>
                    <v:stroke color="#000000" joinstyle="round"/>
                    <v:imagedata o:title=""/>
                    <o:lock v:ext="edit" aspectratio="f"/>
                  </v:shape>
                </v:group>
              </v:group>
            </w:pict>
          </mc:Fallback>
        </mc:AlternateContent>
      </w:r>
      <w:r>
        <w:rPr>
          <w:rFonts w:hint="default" w:ascii="Times New Roman" w:hAnsi="Times New Roman" w:cs="Times New Roman"/>
          <w:b/>
          <w:bCs/>
          <w:color w:val="auto"/>
        </w:rPr>
        <w:t>表</w:t>
      </w:r>
      <w:r>
        <w:rPr>
          <w:rFonts w:hint="default" w:ascii="Times New Roman" w:hAnsi="Times New Roman" w:cs="Times New Roman"/>
          <w:b/>
          <w:bCs/>
          <w:color w:val="auto"/>
          <w:lang w:val="en-US" w:eastAsia="zh-CN"/>
        </w:rPr>
        <w:t>5.2-</w:t>
      </w:r>
      <w:r>
        <w:rPr>
          <w:rFonts w:hint="eastAsia" w:cs="Times New Roman"/>
          <w:b/>
          <w:bCs/>
          <w:color w:val="auto"/>
          <w:lang w:val="en-US" w:eastAsia="zh-CN"/>
        </w:rPr>
        <w:t>38</w:t>
      </w:r>
      <w:r>
        <w:rPr>
          <w:rFonts w:hint="default" w:ascii="Times New Roman" w:hAnsi="Times New Roman" w:eastAsia="Times New Roman" w:cs="Times New Roman"/>
          <w:b/>
          <w:bCs/>
          <w:color w:val="auto"/>
        </w:rPr>
        <w:tab/>
      </w:r>
      <w:r>
        <w:rPr>
          <w:rFonts w:hint="default" w:ascii="Times New Roman" w:hAnsi="Times New Roman" w:cs="Times New Roman"/>
          <w:b/>
          <w:bCs/>
          <w:color w:val="auto"/>
        </w:rPr>
        <w:t>污染影响型评价工作等级划分</w:t>
      </w:r>
    </w:p>
    <w:p>
      <w:pPr>
        <w:spacing w:before="12" w:line="240" w:lineRule="auto"/>
        <w:rPr>
          <w:rFonts w:hint="default" w:ascii="Times New Roman" w:hAnsi="Times New Roman" w:eastAsia="宋体" w:cs="Times New Roman"/>
          <w:color w:val="auto"/>
          <w:sz w:val="3"/>
          <w:szCs w:val="3"/>
        </w:rPr>
      </w:pPr>
    </w:p>
    <w:tbl>
      <w:tblPr>
        <w:tblStyle w:val="25"/>
        <w:tblW w:w="8946"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518"/>
        <w:gridCol w:w="710"/>
        <w:gridCol w:w="708"/>
        <w:gridCol w:w="708"/>
        <w:gridCol w:w="708"/>
        <w:gridCol w:w="710"/>
        <w:gridCol w:w="708"/>
        <w:gridCol w:w="708"/>
        <w:gridCol w:w="710"/>
        <w:gridCol w:w="758"/>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82" w:hRule="exact"/>
          <w:jc w:val="center"/>
        </w:trPr>
        <w:tc>
          <w:tcPr>
            <w:tcW w:w="2518" w:type="dxa"/>
            <w:vMerge w:val="restart"/>
            <w:tcBorders>
              <w:tl2br w:val="nil"/>
              <w:tr2bl w:val="nil"/>
            </w:tcBorders>
          </w:tcPr>
          <w:p>
            <w:pPr>
              <w:pStyle w:val="40"/>
              <w:spacing w:before="74" w:line="240" w:lineRule="auto"/>
              <w:ind w:left="623" w:right="146"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占地规模</w:t>
            </w:r>
            <w:r>
              <w:rPr>
                <w:rFonts w:hint="default" w:ascii="Times New Roman" w:hAnsi="Times New Roman" w:eastAsia="宋体" w:cs="Times New Roman"/>
                <w:color w:val="auto"/>
                <w:w w:val="100"/>
                <w:sz w:val="21"/>
                <w:szCs w:val="21"/>
              </w:rPr>
              <w:t xml:space="preserve"> </w:t>
            </w:r>
            <w:r>
              <w:rPr>
                <w:rFonts w:hint="default" w:ascii="Times New Roman" w:hAnsi="Times New Roman" w:eastAsia="宋体" w:cs="Times New Roman"/>
                <w:color w:val="auto"/>
                <w:sz w:val="21"/>
                <w:szCs w:val="21"/>
              </w:rPr>
              <w:t>评价工作等级</w:t>
            </w:r>
          </w:p>
          <w:p>
            <w:pPr>
              <w:pStyle w:val="40"/>
              <w:spacing w:before="29" w:line="240" w:lineRule="auto"/>
              <w:ind w:left="103"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敏感程度</w:t>
            </w:r>
          </w:p>
        </w:tc>
        <w:tc>
          <w:tcPr>
            <w:tcW w:w="2126" w:type="dxa"/>
            <w:gridSpan w:val="3"/>
            <w:tcBorders>
              <w:tl2br w:val="nil"/>
              <w:tr2bl w:val="nil"/>
            </w:tcBorders>
          </w:tcPr>
          <w:p>
            <w:pPr>
              <w:pStyle w:val="40"/>
              <w:spacing w:before="13" w:line="240" w:lineRule="auto"/>
              <w:ind w:right="0" w:firstLine="0" w:firstLineChars="0"/>
              <w:jc w:val="center"/>
              <w:rPr>
                <w:rFonts w:hint="default" w:ascii="Times New Roman" w:hAnsi="Times New Roman" w:eastAsia="宋体" w:cs="Times New Roman"/>
                <w:color w:val="auto"/>
                <w:sz w:val="19"/>
                <w:szCs w:val="19"/>
              </w:rPr>
            </w:pPr>
          </w:p>
          <w:p>
            <w:pPr>
              <w:pStyle w:val="40"/>
              <w:spacing w:line="240" w:lineRule="auto"/>
              <w:ind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Ⅰ类</w:t>
            </w:r>
          </w:p>
        </w:tc>
        <w:tc>
          <w:tcPr>
            <w:tcW w:w="2126" w:type="dxa"/>
            <w:gridSpan w:val="3"/>
            <w:tcBorders>
              <w:tl2br w:val="nil"/>
              <w:tr2bl w:val="nil"/>
            </w:tcBorders>
          </w:tcPr>
          <w:p>
            <w:pPr>
              <w:pStyle w:val="40"/>
              <w:spacing w:before="13" w:line="240" w:lineRule="auto"/>
              <w:ind w:right="0" w:firstLine="0" w:firstLineChars="0"/>
              <w:jc w:val="center"/>
              <w:rPr>
                <w:rFonts w:hint="default" w:ascii="Times New Roman" w:hAnsi="Times New Roman" w:eastAsia="宋体" w:cs="Times New Roman"/>
                <w:color w:val="auto"/>
                <w:sz w:val="19"/>
                <w:szCs w:val="19"/>
              </w:rPr>
            </w:pPr>
          </w:p>
          <w:p>
            <w:pPr>
              <w:pStyle w:val="40"/>
              <w:spacing w:line="240" w:lineRule="auto"/>
              <w:ind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Ⅱ类</w:t>
            </w:r>
          </w:p>
        </w:tc>
        <w:tc>
          <w:tcPr>
            <w:tcW w:w="2176" w:type="dxa"/>
            <w:gridSpan w:val="3"/>
            <w:tcBorders>
              <w:tl2br w:val="nil"/>
              <w:tr2bl w:val="nil"/>
            </w:tcBorders>
          </w:tcPr>
          <w:p>
            <w:pPr>
              <w:pStyle w:val="40"/>
              <w:spacing w:before="13" w:line="240" w:lineRule="auto"/>
              <w:ind w:right="0" w:firstLine="0" w:firstLineChars="0"/>
              <w:jc w:val="center"/>
              <w:rPr>
                <w:rFonts w:hint="default" w:ascii="Times New Roman" w:hAnsi="Times New Roman" w:eastAsia="宋体" w:cs="Times New Roman"/>
                <w:color w:val="auto"/>
                <w:sz w:val="19"/>
                <w:szCs w:val="19"/>
              </w:rPr>
            </w:pPr>
          </w:p>
          <w:p>
            <w:pPr>
              <w:pStyle w:val="40"/>
              <w:spacing w:line="240" w:lineRule="auto"/>
              <w:ind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Ⅲ类</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7" w:hRule="exact"/>
          <w:jc w:val="center"/>
        </w:trPr>
        <w:tc>
          <w:tcPr>
            <w:tcW w:w="2518" w:type="dxa"/>
            <w:vMerge w:val="continue"/>
            <w:tcBorders>
              <w:tl2br w:val="nil"/>
              <w:tr2bl w:val="nil"/>
            </w:tcBorders>
          </w:tcPr>
          <w:p>
            <w:pPr>
              <w:spacing w:line="240" w:lineRule="auto"/>
              <w:ind w:firstLine="0" w:firstLineChars="0"/>
              <w:jc w:val="center"/>
              <w:rPr>
                <w:rFonts w:hint="default" w:ascii="Times New Roman" w:hAnsi="Times New Roman" w:cs="Times New Roman"/>
                <w:color w:val="auto"/>
              </w:rPr>
            </w:pPr>
          </w:p>
        </w:tc>
        <w:tc>
          <w:tcPr>
            <w:tcW w:w="710" w:type="dxa"/>
            <w:tcBorders>
              <w:tl2br w:val="nil"/>
              <w:tr2bl w:val="nil"/>
            </w:tcBorders>
          </w:tcPr>
          <w:p>
            <w:pPr>
              <w:pStyle w:val="40"/>
              <w:spacing w:before="83" w:line="240" w:lineRule="auto"/>
              <w:ind w:right="2"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大</w:t>
            </w:r>
          </w:p>
        </w:tc>
        <w:tc>
          <w:tcPr>
            <w:tcW w:w="708" w:type="dxa"/>
            <w:tcBorders>
              <w:tl2br w:val="nil"/>
              <w:tr2bl w:val="nil"/>
            </w:tcBorders>
          </w:tcPr>
          <w:p>
            <w:pPr>
              <w:pStyle w:val="40"/>
              <w:spacing w:before="83" w:line="240" w:lineRule="auto"/>
              <w:ind w:right="5"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中</w:t>
            </w:r>
          </w:p>
        </w:tc>
        <w:tc>
          <w:tcPr>
            <w:tcW w:w="708" w:type="dxa"/>
            <w:tcBorders>
              <w:tl2br w:val="nil"/>
              <w:tr2bl w:val="nil"/>
            </w:tcBorders>
          </w:tcPr>
          <w:p>
            <w:pPr>
              <w:pStyle w:val="40"/>
              <w:spacing w:before="83" w:line="240" w:lineRule="auto"/>
              <w:ind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小</w:t>
            </w:r>
          </w:p>
        </w:tc>
        <w:tc>
          <w:tcPr>
            <w:tcW w:w="708" w:type="dxa"/>
            <w:tcBorders>
              <w:tl2br w:val="nil"/>
              <w:tr2bl w:val="nil"/>
            </w:tcBorders>
          </w:tcPr>
          <w:p>
            <w:pPr>
              <w:pStyle w:val="40"/>
              <w:spacing w:before="83" w:line="240" w:lineRule="auto"/>
              <w:ind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大</w:t>
            </w:r>
          </w:p>
        </w:tc>
        <w:tc>
          <w:tcPr>
            <w:tcW w:w="710" w:type="dxa"/>
            <w:tcBorders>
              <w:tl2br w:val="nil"/>
              <w:tr2bl w:val="nil"/>
            </w:tcBorders>
          </w:tcPr>
          <w:p>
            <w:pPr>
              <w:pStyle w:val="40"/>
              <w:spacing w:before="83" w:line="240" w:lineRule="auto"/>
              <w:ind w:right="4"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中</w:t>
            </w:r>
          </w:p>
        </w:tc>
        <w:tc>
          <w:tcPr>
            <w:tcW w:w="708" w:type="dxa"/>
            <w:tcBorders>
              <w:tl2br w:val="nil"/>
              <w:tr2bl w:val="nil"/>
            </w:tcBorders>
          </w:tcPr>
          <w:p>
            <w:pPr>
              <w:pStyle w:val="40"/>
              <w:spacing w:before="83" w:line="240" w:lineRule="auto"/>
              <w:ind w:right="5"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小</w:t>
            </w:r>
          </w:p>
        </w:tc>
        <w:tc>
          <w:tcPr>
            <w:tcW w:w="708" w:type="dxa"/>
            <w:tcBorders>
              <w:tl2br w:val="nil"/>
              <w:tr2bl w:val="nil"/>
            </w:tcBorders>
          </w:tcPr>
          <w:p>
            <w:pPr>
              <w:pStyle w:val="40"/>
              <w:spacing w:before="83" w:line="240" w:lineRule="auto"/>
              <w:ind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大</w:t>
            </w:r>
          </w:p>
        </w:tc>
        <w:tc>
          <w:tcPr>
            <w:tcW w:w="710" w:type="dxa"/>
            <w:tcBorders>
              <w:tl2br w:val="nil"/>
              <w:tr2bl w:val="nil"/>
            </w:tcBorders>
          </w:tcPr>
          <w:p>
            <w:pPr>
              <w:pStyle w:val="40"/>
              <w:spacing w:before="83" w:line="240" w:lineRule="auto"/>
              <w:ind w:right="3"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中</w:t>
            </w:r>
          </w:p>
        </w:tc>
        <w:tc>
          <w:tcPr>
            <w:tcW w:w="758" w:type="dxa"/>
            <w:tcBorders>
              <w:tl2br w:val="nil"/>
              <w:tr2bl w:val="nil"/>
            </w:tcBorders>
          </w:tcPr>
          <w:p>
            <w:pPr>
              <w:pStyle w:val="40"/>
              <w:spacing w:before="83" w:line="240" w:lineRule="auto"/>
              <w:ind w:right="3"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小</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0" w:hRule="exact"/>
          <w:jc w:val="center"/>
        </w:trPr>
        <w:tc>
          <w:tcPr>
            <w:tcW w:w="2518" w:type="dxa"/>
            <w:tcBorders>
              <w:tl2br w:val="nil"/>
              <w:tr2bl w:val="nil"/>
            </w:tcBorders>
          </w:tcPr>
          <w:p>
            <w:pPr>
              <w:pStyle w:val="40"/>
              <w:spacing w:before="76" w:line="240" w:lineRule="auto"/>
              <w:ind w:left="2"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w:t>
            </w:r>
          </w:p>
        </w:tc>
        <w:tc>
          <w:tcPr>
            <w:tcW w:w="710" w:type="dxa"/>
            <w:tcBorders>
              <w:tl2br w:val="nil"/>
              <w:tr2bl w:val="nil"/>
            </w:tcBorders>
          </w:tcPr>
          <w:p>
            <w:pPr>
              <w:pStyle w:val="40"/>
              <w:spacing w:before="76" w:line="240" w:lineRule="auto"/>
              <w:ind w:left="139"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708" w:type="dxa"/>
            <w:tcBorders>
              <w:tl2br w:val="nil"/>
              <w:tr2bl w:val="nil"/>
            </w:tcBorders>
          </w:tcPr>
          <w:p>
            <w:pPr>
              <w:pStyle w:val="40"/>
              <w:spacing w:before="76" w:line="240" w:lineRule="auto"/>
              <w:ind w:left="137"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708" w:type="dxa"/>
            <w:tcBorders>
              <w:tl2br w:val="nil"/>
              <w:tr2bl w:val="nil"/>
            </w:tcBorders>
          </w:tcPr>
          <w:p>
            <w:pPr>
              <w:pStyle w:val="40"/>
              <w:spacing w:before="76" w:line="240" w:lineRule="auto"/>
              <w:ind w:left="139"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708" w:type="dxa"/>
            <w:tcBorders>
              <w:tl2br w:val="nil"/>
              <w:tr2bl w:val="nil"/>
            </w:tcBorders>
          </w:tcPr>
          <w:p>
            <w:pPr>
              <w:pStyle w:val="40"/>
              <w:spacing w:before="76" w:line="240" w:lineRule="auto"/>
              <w:ind w:left="139"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710" w:type="dxa"/>
            <w:tcBorders>
              <w:tl2br w:val="nil"/>
              <w:tr2bl w:val="nil"/>
            </w:tcBorders>
          </w:tcPr>
          <w:p>
            <w:pPr>
              <w:pStyle w:val="40"/>
              <w:spacing w:before="76" w:line="240" w:lineRule="auto"/>
              <w:ind w:left="139"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708" w:type="dxa"/>
            <w:tcBorders>
              <w:tl2br w:val="nil"/>
              <w:tr2bl w:val="nil"/>
            </w:tcBorders>
          </w:tcPr>
          <w:p>
            <w:pPr>
              <w:pStyle w:val="40"/>
              <w:spacing w:before="76" w:line="240" w:lineRule="auto"/>
              <w:ind w:left="137"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708" w:type="dxa"/>
            <w:tcBorders>
              <w:tl2br w:val="nil"/>
              <w:tr2bl w:val="nil"/>
            </w:tcBorders>
          </w:tcPr>
          <w:p>
            <w:pPr>
              <w:pStyle w:val="40"/>
              <w:spacing w:before="76" w:line="240" w:lineRule="auto"/>
              <w:ind w:left="14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710" w:type="dxa"/>
            <w:tcBorders>
              <w:tl2br w:val="nil"/>
              <w:tr2bl w:val="nil"/>
            </w:tcBorders>
          </w:tcPr>
          <w:p>
            <w:pPr>
              <w:pStyle w:val="40"/>
              <w:spacing w:before="76" w:line="240" w:lineRule="auto"/>
              <w:ind w:left="14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758" w:type="dxa"/>
            <w:tcBorders>
              <w:tl2br w:val="nil"/>
              <w:tr2bl w:val="nil"/>
            </w:tcBorders>
          </w:tcPr>
          <w:p>
            <w:pPr>
              <w:pStyle w:val="40"/>
              <w:spacing w:before="76" w:line="240" w:lineRule="auto"/>
              <w:ind w:left="161"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0" w:hRule="exact"/>
          <w:jc w:val="center"/>
        </w:trPr>
        <w:tc>
          <w:tcPr>
            <w:tcW w:w="2518" w:type="dxa"/>
            <w:tcBorders>
              <w:tl2br w:val="nil"/>
              <w:tr2bl w:val="nil"/>
            </w:tcBorders>
          </w:tcPr>
          <w:p>
            <w:pPr>
              <w:pStyle w:val="40"/>
              <w:spacing w:before="74" w:line="240" w:lineRule="auto"/>
              <w:ind w:left="2"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较敏感</w:t>
            </w:r>
          </w:p>
        </w:tc>
        <w:tc>
          <w:tcPr>
            <w:tcW w:w="710" w:type="dxa"/>
            <w:tcBorders>
              <w:tl2br w:val="nil"/>
              <w:tr2bl w:val="nil"/>
            </w:tcBorders>
          </w:tcPr>
          <w:p>
            <w:pPr>
              <w:pStyle w:val="40"/>
              <w:spacing w:before="74" w:line="240" w:lineRule="auto"/>
              <w:ind w:left="139"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708" w:type="dxa"/>
            <w:tcBorders>
              <w:tl2br w:val="nil"/>
              <w:tr2bl w:val="nil"/>
            </w:tcBorders>
          </w:tcPr>
          <w:p>
            <w:pPr>
              <w:pStyle w:val="40"/>
              <w:spacing w:before="74" w:line="240" w:lineRule="auto"/>
              <w:ind w:left="137"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708" w:type="dxa"/>
            <w:tcBorders>
              <w:tl2br w:val="nil"/>
              <w:tr2bl w:val="nil"/>
            </w:tcBorders>
          </w:tcPr>
          <w:p>
            <w:pPr>
              <w:pStyle w:val="40"/>
              <w:spacing w:before="74" w:line="240" w:lineRule="auto"/>
              <w:ind w:left="139"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708" w:type="dxa"/>
            <w:tcBorders>
              <w:tl2br w:val="nil"/>
              <w:tr2bl w:val="nil"/>
            </w:tcBorders>
          </w:tcPr>
          <w:p>
            <w:pPr>
              <w:pStyle w:val="40"/>
              <w:spacing w:before="74" w:line="240" w:lineRule="auto"/>
              <w:ind w:left="139"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710" w:type="dxa"/>
            <w:tcBorders>
              <w:tl2br w:val="nil"/>
              <w:tr2bl w:val="nil"/>
            </w:tcBorders>
          </w:tcPr>
          <w:p>
            <w:pPr>
              <w:pStyle w:val="40"/>
              <w:spacing w:before="74" w:line="240" w:lineRule="auto"/>
              <w:ind w:left="139"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708" w:type="dxa"/>
            <w:tcBorders>
              <w:tl2br w:val="nil"/>
              <w:tr2bl w:val="nil"/>
            </w:tcBorders>
          </w:tcPr>
          <w:p>
            <w:pPr>
              <w:pStyle w:val="40"/>
              <w:spacing w:before="74" w:line="240" w:lineRule="auto"/>
              <w:ind w:left="137"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708" w:type="dxa"/>
            <w:tcBorders>
              <w:tl2br w:val="nil"/>
              <w:tr2bl w:val="nil"/>
            </w:tcBorders>
          </w:tcPr>
          <w:p>
            <w:pPr>
              <w:pStyle w:val="40"/>
              <w:spacing w:before="74" w:line="240" w:lineRule="auto"/>
              <w:ind w:left="14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710" w:type="dxa"/>
            <w:tcBorders>
              <w:tl2br w:val="nil"/>
              <w:tr2bl w:val="nil"/>
            </w:tcBorders>
          </w:tcPr>
          <w:p>
            <w:pPr>
              <w:pStyle w:val="40"/>
              <w:spacing w:before="74" w:line="240" w:lineRule="auto"/>
              <w:ind w:left="14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758" w:type="dxa"/>
            <w:tcBorders>
              <w:tl2br w:val="nil"/>
              <w:tr2bl w:val="nil"/>
            </w:tcBorders>
          </w:tcPr>
          <w:p>
            <w:pPr>
              <w:pStyle w:val="40"/>
              <w:spacing w:before="74" w:line="240" w:lineRule="auto"/>
              <w:ind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0" w:hRule="exact"/>
          <w:jc w:val="center"/>
        </w:trPr>
        <w:tc>
          <w:tcPr>
            <w:tcW w:w="2518" w:type="dxa"/>
            <w:tcBorders>
              <w:tl2br w:val="nil"/>
              <w:tr2bl w:val="nil"/>
            </w:tcBorders>
          </w:tcPr>
          <w:p>
            <w:pPr>
              <w:pStyle w:val="40"/>
              <w:spacing w:before="74" w:line="240" w:lineRule="auto"/>
              <w:ind w:left="2"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不敏感</w:t>
            </w:r>
          </w:p>
        </w:tc>
        <w:tc>
          <w:tcPr>
            <w:tcW w:w="710" w:type="dxa"/>
            <w:tcBorders>
              <w:tl2br w:val="nil"/>
              <w:tr2bl w:val="nil"/>
            </w:tcBorders>
          </w:tcPr>
          <w:p>
            <w:pPr>
              <w:pStyle w:val="40"/>
              <w:spacing w:before="74" w:line="240" w:lineRule="auto"/>
              <w:ind w:left="139"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708" w:type="dxa"/>
            <w:tcBorders>
              <w:tl2br w:val="nil"/>
              <w:tr2bl w:val="nil"/>
            </w:tcBorders>
          </w:tcPr>
          <w:p>
            <w:pPr>
              <w:pStyle w:val="40"/>
              <w:spacing w:before="74" w:line="240" w:lineRule="auto"/>
              <w:ind w:left="137"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708" w:type="dxa"/>
            <w:tcBorders>
              <w:tl2br w:val="nil"/>
              <w:tr2bl w:val="nil"/>
            </w:tcBorders>
          </w:tcPr>
          <w:p>
            <w:pPr>
              <w:pStyle w:val="40"/>
              <w:spacing w:before="74" w:line="240" w:lineRule="auto"/>
              <w:ind w:left="139"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708" w:type="dxa"/>
            <w:tcBorders>
              <w:tl2br w:val="nil"/>
              <w:tr2bl w:val="nil"/>
            </w:tcBorders>
          </w:tcPr>
          <w:p>
            <w:pPr>
              <w:pStyle w:val="40"/>
              <w:spacing w:before="74" w:line="240" w:lineRule="auto"/>
              <w:ind w:left="139"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710" w:type="dxa"/>
            <w:tcBorders>
              <w:tl2br w:val="nil"/>
              <w:tr2bl w:val="nil"/>
            </w:tcBorders>
          </w:tcPr>
          <w:p>
            <w:pPr>
              <w:pStyle w:val="40"/>
              <w:spacing w:before="74" w:line="240" w:lineRule="auto"/>
              <w:ind w:left="139"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708" w:type="dxa"/>
            <w:tcBorders>
              <w:tl2br w:val="nil"/>
              <w:tr2bl w:val="nil"/>
            </w:tcBorders>
          </w:tcPr>
          <w:p>
            <w:pPr>
              <w:pStyle w:val="40"/>
              <w:spacing w:before="74" w:line="240" w:lineRule="auto"/>
              <w:ind w:left="137"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708" w:type="dxa"/>
            <w:tcBorders>
              <w:tl2br w:val="nil"/>
              <w:tr2bl w:val="nil"/>
            </w:tcBorders>
          </w:tcPr>
          <w:p>
            <w:pPr>
              <w:pStyle w:val="40"/>
              <w:spacing w:before="74" w:line="240" w:lineRule="auto"/>
              <w:ind w:left="14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710" w:type="dxa"/>
            <w:tcBorders>
              <w:tl2br w:val="nil"/>
              <w:tr2bl w:val="nil"/>
            </w:tcBorders>
          </w:tcPr>
          <w:p>
            <w:pPr>
              <w:pStyle w:val="40"/>
              <w:spacing w:before="74" w:line="240" w:lineRule="auto"/>
              <w:ind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c>
          <w:tcPr>
            <w:tcW w:w="758" w:type="dxa"/>
            <w:tcBorders>
              <w:tl2br w:val="nil"/>
              <w:tr2bl w:val="nil"/>
            </w:tcBorders>
          </w:tcPr>
          <w:p>
            <w:pPr>
              <w:pStyle w:val="40"/>
              <w:spacing w:before="74" w:line="240" w:lineRule="auto"/>
              <w:ind w:right="1"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w w:val="100"/>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0" w:hRule="exact"/>
          <w:jc w:val="center"/>
        </w:trPr>
        <w:tc>
          <w:tcPr>
            <w:tcW w:w="8946" w:type="dxa"/>
            <w:gridSpan w:val="10"/>
            <w:tcBorders>
              <w:tl2br w:val="nil"/>
              <w:tr2bl w:val="nil"/>
            </w:tcBorders>
          </w:tcPr>
          <w:p>
            <w:pPr>
              <w:pStyle w:val="40"/>
              <w:spacing w:before="74" w:line="240" w:lineRule="auto"/>
              <w:ind w:left="103"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注：“—”表示可不开展土壤环境影响评价工作。</w:t>
            </w:r>
          </w:p>
        </w:tc>
      </w:tr>
    </w:tbl>
    <w:p>
      <w:pPr>
        <w:spacing w:before="4" w:line="240" w:lineRule="auto"/>
        <w:rPr>
          <w:rFonts w:hint="default" w:ascii="Times New Roman" w:hAnsi="Times New Roman" w:eastAsia="宋体" w:cs="Times New Roman"/>
          <w:color w:val="auto"/>
          <w:sz w:val="8"/>
          <w:szCs w:val="8"/>
        </w:rPr>
      </w:pPr>
    </w:p>
    <w:p>
      <w:pPr>
        <w:spacing w:before="0"/>
        <w:rPr>
          <w:rFonts w:hint="default" w:ascii="Times New Roman" w:hAnsi="Times New Roman" w:cs="Times New Roman"/>
          <w:color w:val="auto"/>
        </w:rPr>
      </w:pPr>
      <w:r>
        <w:rPr>
          <w:rFonts w:hint="default" w:ascii="Times New Roman" w:hAnsi="Times New Roman" w:cs="Times New Roman"/>
          <w:color w:val="auto"/>
        </w:rPr>
        <w:t xml:space="preserve">根据《环境影响评价技术导则 </w:t>
      </w:r>
      <w:r>
        <w:rPr>
          <w:rFonts w:hint="default" w:ascii="Times New Roman" w:hAnsi="Times New Roman" w:cs="Times New Roman"/>
          <w:color w:val="auto"/>
          <w:spacing w:val="-4"/>
        </w:rPr>
        <w:t>土壤环境（试行）》（</w:t>
      </w:r>
      <w:r>
        <w:rPr>
          <w:rFonts w:hint="default" w:ascii="Times New Roman" w:hAnsi="Times New Roman" w:eastAsia="Times New Roman" w:cs="Times New Roman"/>
          <w:color w:val="auto"/>
          <w:spacing w:val="-4"/>
        </w:rPr>
        <w:t>HJ</w:t>
      </w:r>
      <w:r>
        <w:rPr>
          <w:rFonts w:hint="default" w:ascii="Times New Roman" w:hAnsi="Times New Roman" w:eastAsia="Times New Roman" w:cs="Times New Roman"/>
          <w:color w:val="auto"/>
          <w:spacing w:val="-30"/>
        </w:rPr>
        <w:t xml:space="preserve"> </w:t>
      </w:r>
      <w:r>
        <w:rPr>
          <w:rFonts w:hint="default" w:ascii="Times New Roman" w:hAnsi="Times New Roman" w:eastAsia="Times New Roman" w:cs="Times New Roman"/>
          <w:color w:val="auto"/>
        </w:rPr>
        <w:t>964-2018</w:t>
      </w:r>
      <w:r>
        <w:rPr>
          <w:rFonts w:hint="default" w:ascii="Times New Roman" w:hAnsi="Times New Roman" w:cs="Times New Roman"/>
          <w:color w:val="auto"/>
        </w:rPr>
        <w:t>），本项目评价等级为三级，评价范围为占地范围外</w:t>
      </w:r>
      <w:r>
        <w:rPr>
          <w:rFonts w:hint="default" w:ascii="Times New Roman" w:hAnsi="Times New Roman" w:eastAsia="Times New Roman" w:cs="Times New Roman"/>
          <w:color w:val="auto"/>
        </w:rPr>
        <w:t>0.05km</w:t>
      </w:r>
      <w:r>
        <w:rPr>
          <w:rFonts w:hint="default" w:ascii="Times New Roman" w:hAnsi="Times New Roman" w:cs="Times New Roman"/>
          <w:color w:val="auto"/>
        </w:rPr>
        <w:t>。详见表</w:t>
      </w:r>
      <w:r>
        <w:rPr>
          <w:rFonts w:hint="default" w:ascii="Times New Roman" w:hAnsi="Times New Roman" w:cs="Times New Roman"/>
          <w:color w:val="auto"/>
          <w:lang w:val="en-US" w:eastAsia="zh-CN"/>
        </w:rPr>
        <w:t>5.2-</w:t>
      </w:r>
      <w:r>
        <w:rPr>
          <w:rFonts w:hint="eastAsia" w:cs="Times New Roman"/>
          <w:color w:val="auto"/>
          <w:lang w:val="en-US" w:eastAsia="zh-CN"/>
        </w:rPr>
        <w:t>39</w:t>
      </w:r>
      <w:r>
        <w:rPr>
          <w:rFonts w:hint="default" w:ascii="Times New Roman" w:hAnsi="Times New Roman" w:cs="Times New Roman"/>
          <w:color w:val="auto"/>
        </w:rPr>
        <w:t>。</w:t>
      </w:r>
    </w:p>
    <w:p>
      <w:pPr>
        <w:pStyle w:val="11"/>
        <w:tabs>
          <w:tab w:val="left" w:pos="981"/>
        </w:tabs>
        <w:spacing w:before="186" w:line="240" w:lineRule="auto"/>
        <w:ind w:left="2" w:right="0"/>
        <w:jc w:val="center"/>
        <w:rPr>
          <w:rFonts w:hint="default" w:ascii="Times New Roman" w:hAnsi="Times New Roman" w:cs="Times New Roman"/>
          <w:b/>
          <w:bCs/>
          <w:color w:val="auto"/>
        </w:rPr>
      </w:pPr>
      <w:r>
        <w:rPr>
          <w:rFonts w:hint="default" w:ascii="Times New Roman" w:hAnsi="Times New Roman" w:cs="Times New Roman"/>
          <w:b/>
          <w:bCs/>
          <w:color w:val="auto"/>
        </w:rPr>
        <w:t>表</w:t>
      </w:r>
      <w:r>
        <w:rPr>
          <w:rFonts w:hint="default" w:ascii="Times New Roman" w:hAnsi="Times New Roman" w:cs="Times New Roman"/>
          <w:b/>
          <w:bCs/>
          <w:color w:val="auto"/>
          <w:lang w:val="en-US" w:eastAsia="zh-CN"/>
        </w:rPr>
        <w:t>5.2-</w:t>
      </w:r>
      <w:r>
        <w:rPr>
          <w:rFonts w:hint="eastAsia" w:cs="Times New Roman"/>
          <w:b/>
          <w:bCs/>
          <w:color w:val="auto"/>
          <w:lang w:val="en-US" w:eastAsia="zh-CN"/>
        </w:rPr>
        <w:t>39</w:t>
      </w:r>
      <w:r>
        <w:rPr>
          <w:rFonts w:hint="default" w:ascii="Times New Roman" w:hAnsi="Times New Roman" w:eastAsia="Times New Roman" w:cs="Times New Roman"/>
          <w:b/>
          <w:bCs/>
          <w:color w:val="auto"/>
        </w:rPr>
        <w:tab/>
      </w:r>
      <w:r>
        <w:rPr>
          <w:rFonts w:hint="default" w:ascii="Times New Roman" w:hAnsi="Times New Roman" w:cs="Times New Roman"/>
          <w:b/>
          <w:bCs/>
          <w:color w:val="auto"/>
        </w:rPr>
        <w:t>评价范围表</w:t>
      </w:r>
    </w:p>
    <w:p>
      <w:pPr>
        <w:spacing w:before="1" w:line="240" w:lineRule="auto"/>
        <w:rPr>
          <w:rFonts w:hint="default" w:ascii="Times New Roman" w:hAnsi="Times New Roman" w:eastAsia="宋体" w:cs="Times New Roman"/>
          <w:color w:val="auto"/>
          <w:sz w:val="4"/>
          <w:szCs w:val="4"/>
        </w:rPr>
      </w:pPr>
    </w:p>
    <w:tbl>
      <w:tblPr>
        <w:tblStyle w:val="25"/>
        <w:tblW w:w="8947"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983"/>
        <w:gridCol w:w="2981"/>
        <w:gridCol w:w="2983"/>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0" w:hRule="exact"/>
          <w:jc w:val="center"/>
        </w:trPr>
        <w:tc>
          <w:tcPr>
            <w:tcW w:w="2983" w:type="dxa"/>
            <w:vMerge w:val="restart"/>
            <w:tcBorders>
              <w:tl2br w:val="nil"/>
              <w:tr2bl w:val="nil"/>
            </w:tcBorders>
          </w:tcPr>
          <w:p>
            <w:pPr>
              <w:pStyle w:val="40"/>
              <w:spacing w:before="6" w:line="240" w:lineRule="auto"/>
              <w:ind w:right="0" w:firstLine="0" w:firstLineChars="0"/>
              <w:jc w:val="left"/>
              <w:rPr>
                <w:rFonts w:hint="default" w:ascii="Times New Roman" w:hAnsi="Times New Roman" w:eastAsia="宋体" w:cs="Times New Roman"/>
                <w:color w:val="auto"/>
                <w:sz w:val="21"/>
                <w:szCs w:val="21"/>
              </w:rPr>
            </w:pPr>
          </w:p>
          <w:p>
            <w:pPr>
              <w:pStyle w:val="40"/>
              <w:spacing w:line="240" w:lineRule="auto"/>
              <w:ind w:left="856" w:right="0"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评价工作等级</w:t>
            </w:r>
          </w:p>
        </w:tc>
        <w:tc>
          <w:tcPr>
            <w:tcW w:w="5964" w:type="dxa"/>
            <w:gridSpan w:val="2"/>
            <w:tcBorders>
              <w:tl2br w:val="nil"/>
              <w:tr2bl w:val="nil"/>
            </w:tcBorders>
          </w:tcPr>
          <w:p>
            <w:pPr>
              <w:pStyle w:val="40"/>
              <w:spacing w:before="74" w:line="240" w:lineRule="auto"/>
              <w:ind w:right="0" w:firstLine="0" w:firstLineChars="0"/>
              <w:jc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color w:val="auto"/>
                <w:sz w:val="21"/>
                <w:szCs w:val="21"/>
              </w:rPr>
              <w:t>评价范围</w:t>
            </w:r>
            <w:r>
              <w:rPr>
                <w:rFonts w:hint="default" w:ascii="Times New Roman" w:hAnsi="Times New Roman" w:eastAsia="Times New Roman" w:cs="Times New Roman"/>
                <w:color w:val="auto"/>
                <w:sz w:val="21"/>
                <w:szCs w:val="21"/>
              </w:rPr>
              <w: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0" w:hRule="exact"/>
          <w:jc w:val="center"/>
        </w:trPr>
        <w:tc>
          <w:tcPr>
            <w:tcW w:w="2983" w:type="dxa"/>
            <w:vMerge w:val="continue"/>
            <w:tcBorders>
              <w:tl2br w:val="nil"/>
              <w:tr2bl w:val="nil"/>
            </w:tcBorders>
          </w:tcPr>
          <w:p>
            <w:pPr>
              <w:spacing w:line="240" w:lineRule="auto"/>
              <w:ind w:firstLine="0" w:firstLineChars="0"/>
              <w:rPr>
                <w:rFonts w:hint="default" w:ascii="Times New Roman" w:hAnsi="Times New Roman" w:cs="Times New Roman"/>
                <w:color w:val="auto"/>
              </w:rPr>
            </w:pPr>
          </w:p>
        </w:tc>
        <w:tc>
          <w:tcPr>
            <w:tcW w:w="2981" w:type="dxa"/>
            <w:tcBorders>
              <w:tl2br w:val="nil"/>
              <w:tr2bl w:val="nil"/>
            </w:tcBorders>
          </w:tcPr>
          <w:p>
            <w:pPr>
              <w:pStyle w:val="40"/>
              <w:spacing w:before="74" w:line="240" w:lineRule="auto"/>
              <w:ind w:left="880" w:right="0" w:firstLine="0" w:firstLineChars="0"/>
              <w:jc w:val="left"/>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占地范围内b</w:t>
            </w:r>
          </w:p>
        </w:tc>
        <w:tc>
          <w:tcPr>
            <w:tcW w:w="2983" w:type="dxa"/>
            <w:tcBorders>
              <w:tl2br w:val="nil"/>
              <w:tr2bl w:val="nil"/>
            </w:tcBorders>
          </w:tcPr>
          <w:p>
            <w:pPr>
              <w:pStyle w:val="40"/>
              <w:spacing w:before="74" w:line="240" w:lineRule="auto"/>
              <w:ind w:left="960" w:right="0"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占地范围外</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0" w:hRule="exact"/>
          <w:jc w:val="center"/>
        </w:trPr>
        <w:tc>
          <w:tcPr>
            <w:tcW w:w="2983" w:type="dxa"/>
            <w:tcBorders>
              <w:tl2br w:val="nil"/>
              <w:tr2bl w:val="nil"/>
            </w:tcBorders>
          </w:tcPr>
          <w:p>
            <w:pPr>
              <w:pStyle w:val="40"/>
              <w:spacing w:before="74" w:line="240" w:lineRule="auto"/>
              <w:ind w:left="2"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一级</w:t>
            </w:r>
          </w:p>
        </w:tc>
        <w:tc>
          <w:tcPr>
            <w:tcW w:w="2981" w:type="dxa"/>
            <w:vMerge w:val="restart"/>
            <w:tcBorders>
              <w:tl2br w:val="nil"/>
              <w:tr2bl w:val="nil"/>
            </w:tcBorders>
          </w:tcPr>
          <w:p>
            <w:pPr>
              <w:pStyle w:val="40"/>
              <w:spacing w:line="240" w:lineRule="auto"/>
              <w:ind w:right="0" w:firstLine="0" w:firstLineChars="0"/>
              <w:jc w:val="left"/>
              <w:rPr>
                <w:rFonts w:hint="default" w:ascii="Times New Roman" w:hAnsi="Times New Roman" w:eastAsia="宋体" w:cs="Times New Roman"/>
                <w:color w:val="auto"/>
                <w:sz w:val="20"/>
                <w:szCs w:val="20"/>
              </w:rPr>
            </w:pPr>
          </w:p>
          <w:p>
            <w:pPr>
              <w:pStyle w:val="40"/>
              <w:spacing w:line="240" w:lineRule="auto"/>
              <w:ind w:right="0" w:firstLine="0" w:firstLineChars="0"/>
              <w:jc w:val="left"/>
              <w:rPr>
                <w:rFonts w:hint="default" w:ascii="Times New Roman" w:hAnsi="Times New Roman" w:eastAsia="宋体" w:cs="Times New Roman"/>
                <w:color w:val="auto"/>
                <w:sz w:val="17"/>
                <w:szCs w:val="17"/>
              </w:rPr>
            </w:pPr>
          </w:p>
          <w:p>
            <w:pPr>
              <w:pStyle w:val="40"/>
              <w:spacing w:line="240" w:lineRule="auto"/>
              <w:ind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全部</w:t>
            </w:r>
          </w:p>
        </w:tc>
        <w:tc>
          <w:tcPr>
            <w:tcW w:w="2983" w:type="dxa"/>
            <w:tcBorders>
              <w:tl2br w:val="nil"/>
              <w:tr2bl w:val="nil"/>
            </w:tcBorders>
          </w:tcPr>
          <w:p>
            <w:pPr>
              <w:pStyle w:val="40"/>
              <w:spacing w:before="74" w:line="240" w:lineRule="auto"/>
              <w:ind w:left="957" w:right="0"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Times New Roman" w:cs="Times New Roman"/>
                <w:color w:val="auto"/>
                <w:sz w:val="21"/>
                <w:szCs w:val="21"/>
              </w:rPr>
              <w:t>1km</w:t>
            </w:r>
            <w:r>
              <w:rPr>
                <w:rFonts w:hint="default" w:ascii="Times New Roman" w:hAnsi="Times New Roman" w:eastAsia="Times New Roman" w:cs="Times New Roman"/>
                <w:color w:val="auto"/>
                <w:spacing w:val="1"/>
                <w:sz w:val="21"/>
                <w:szCs w:val="21"/>
              </w:rPr>
              <w:t xml:space="preserve"> </w:t>
            </w:r>
            <w:r>
              <w:rPr>
                <w:rFonts w:hint="default" w:ascii="Times New Roman" w:hAnsi="Times New Roman" w:eastAsia="宋体" w:cs="Times New Roman"/>
                <w:color w:val="auto"/>
                <w:sz w:val="21"/>
                <w:szCs w:val="21"/>
              </w:rPr>
              <w:t>范围内</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8" w:hRule="exact"/>
          <w:jc w:val="center"/>
        </w:trPr>
        <w:tc>
          <w:tcPr>
            <w:tcW w:w="2983" w:type="dxa"/>
            <w:tcBorders>
              <w:tl2br w:val="nil"/>
              <w:tr2bl w:val="nil"/>
            </w:tcBorders>
          </w:tcPr>
          <w:p>
            <w:pPr>
              <w:pStyle w:val="40"/>
              <w:spacing w:before="74" w:line="240" w:lineRule="auto"/>
              <w:ind w:left="2"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二级</w:t>
            </w:r>
          </w:p>
        </w:tc>
        <w:tc>
          <w:tcPr>
            <w:tcW w:w="2981" w:type="dxa"/>
            <w:vMerge w:val="continue"/>
            <w:tcBorders>
              <w:tl2br w:val="nil"/>
              <w:tr2bl w:val="nil"/>
            </w:tcBorders>
          </w:tcPr>
          <w:p>
            <w:pPr>
              <w:spacing w:line="240" w:lineRule="auto"/>
              <w:ind w:firstLine="0" w:firstLineChars="0"/>
              <w:rPr>
                <w:rFonts w:hint="default" w:ascii="Times New Roman" w:hAnsi="Times New Roman" w:cs="Times New Roman"/>
                <w:color w:val="auto"/>
              </w:rPr>
            </w:pPr>
          </w:p>
        </w:tc>
        <w:tc>
          <w:tcPr>
            <w:tcW w:w="2983" w:type="dxa"/>
            <w:tcBorders>
              <w:tl2br w:val="nil"/>
              <w:tr2bl w:val="nil"/>
            </w:tcBorders>
          </w:tcPr>
          <w:p>
            <w:pPr>
              <w:pStyle w:val="40"/>
              <w:spacing w:before="74" w:line="240" w:lineRule="auto"/>
              <w:ind w:left="878" w:right="0"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Times New Roman" w:cs="Times New Roman"/>
                <w:color w:val="auto"/>
                <w:sz w:val="21"/>
                <w:szCs w:val="21"/>
              </w:rPr>
              <w:t>0.2km</w:t>
            </w:r>
            <w:r>
              <w:rPr>
                <w:rFonts w:hint="default" w:ascii="Times New Roman" w:hAnsi="Times New Roman" w:eastAsia="Times New Roman" w:cs="Times New Roman"/>
                <w:color w:val="auto"/>
                <w:spacing w:val="2"/>
                <w:sz w:val="21"/>
                <w:szCs w:val="21"/>
              </w:rPr>
              <w:t xml:space="preserve"> </w:t>
            </w:r>
            <w:r>
              <w:rPr>
                <w:rFonts w:hint="default" w:ascii="Times New Roman" w:hAnsi="Times New Roman" w:eastAsia="宋体" w:cs="Times New Roman"/>
                <w:color w:val="auto"/>
                <w:sz w:val="21"/>
                <w:szCs w:val="21"/>
              </w:rPr>
              <w:t>范围内</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0" w:hRule="exact"/>
          <w:jc w:val="center"/>
        </w:trPr>
        <w:tc>
          <w:tcPr>
            <w:tcW w:w="2983" w:type="dxa"/>
            <w:tcBorders>
              <w:tl2br w:val="nil"/>
              <w:tr2bl w:val="nil"/>
            </w:tcBorders>
          </w:tcPr>
          <w:p>
            <w:pPr>
              <w:pStyle w:val="40"/>
              <w:spacing w:before="76" w:line="240" w:lineRule="auto"/>
              <w:ind w:left="2"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三级</w:t>
            </w:r>
          </w:p>
        </w:tc>
        <w:tc>
          <w:tcPr>
            <w:tcW w:w="2981" w:type="dxa"/>
            <w:vMerge w:val="continue"/>
            <w:tcBorders>
              <w:tl2br w:val="nil"/>
              <w:tr2bl w:val="nil"/>
            </w:tcBorders>
          </w:tcPr>
          <w:p>
            <w:pPr>
              <w:spacing w:line="240" w:lineRule="auto"/>
              <w:ind w:firstLine="0" w:firstLineChars="0"/>
              <w:rPr>
                <w:rFonts w:hint="default" w:ascii="Times New Roman" w:hAnsi="Times New Roman" w:cs="Times New Roman"/>
                <w:color w:val="auto"/>
              </w:rPr>
            </w:pPr>
          </w:p>
        </w:tc>
        <w:tc>
          <w:tcPr>
            <w:tcW w:w="2983" w:type="dxa"/>
            <w:tcBorders>
              <w:tl2br w:val="nil"/>
              <w:tr2bl w:val="nil"/>
            </w:tcBorders>
          </w:tcPr>
          <w:p>
            <w:pPr>
              <w:pStyle w:val="40"/>
              <w:spacing w:before="76" w:line="240" w:lineRule="auto"/>
              <w:ind w:left="828" w:right="0"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Times New Roman" w:cs="Times New Roman"/>
                <w:color w:val="auto"/>
                <w:sz w:val="21"/>
                <w:szCs w:val="21"/>
              </w:rPr>
              <w:t xml:space="preserve">0.05km </w:t>
            </w:r>
            <w:r>
              <w:rPr>
                <w:rFonts w:hint="default" w:ascii="Times New Roman" w:hAnsi="Times New Roman" w:eastAsia="宋体" w:cs="Times New Roman"/>
                <w:color w:val="auto"/>
                <w:sz w:val="21"/>
                <w:szCs w:val="21"/>
              </w:rPr>
              <w:t>范围内</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11" w:hRule="exact"/>
          <w:jc w:val="center"/>
        </w:trPr>
        <w:tc>
          <w:tcPr>
            <w:tcW w:w="8947" w:type="dxa"/>
            <w:gridSpan w:val="3"/>
            <w:tcBorders>
              <w:tl2br w:val="nil"/>
              <w:tr2bl w:val="nil"/>
            </w:tcBorders>
          </w:tcPr>
          <w:p>
            <w:pPr>
              <w:pStyle w:val="40"/>
              <w:spacing w:before="74" w:line="240" w:lineRule="auto"/>
              <w:ind w:left="103" w:right="0"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Times New Roman" w:cs="Times New Roman"/>
                <w:color w:val="auto"/>
                <w:sz w:val="21"/>
                <w:szCs w:val="21"/>
              </w:rPr>
              <w:t>a</w:t>
            </w:r>
            <w:r>
              <w:rPr>
                <w:rFonts w:hint="default" w:ascii="Times New Roman" w:hAnsi="Times New Roman" w:eastAsia="宋体" w:cs="Times New Roman"/>
                <w:color w:val="auto"/>
                <w:sz w:val="21"/>
                <w:szCs w:val="21"/>
              </w:rPr>
              <w:t>：涉及大气沉降途径影响的，可根据主导风向下风向最大落地浓度点适当调整。</w:t>
            </w:r>
          </w:p>
          <w:p>
            <w:pPr>
              <w:pStyle w:val="40"/>
              <w:spacing w:before="110" w:line="240" w:lineRule="auto"/>
              <w:ind w:left="103" w:right="0" w:firstLine="0" w:firstLineChars="0"/>
              <w:jc w:val="left"/>
              <w:rPr>
                <w:rFonts w:hint="default" w:ascii="Times New Roman" w:hAnsi="Times New Roman" w:eastAsia="宋体" w:cs="Times New Roman"/>
                <w:color w:val="auto"/>
                <w:sz w:val="21"/>
                <w:szCs w:val="21"/>
              </w:rPr>
            </w:pPr>
            <w:r>
              <w:rPr>
                <w:rFonts w:hint="default" w:ascii="Times New Roman" w:hAnsi="Times New Roman" w:eastAsia="Times New Roman" w:cs="Times New Roman"/>
                <w:color w:val="auto"/>
                <w:sz w:val="21"/>
                <w:szCs w:val="21"/>
              </w:rPr>
              <w:t>b</w:t>
            </w:r>
            <w:r>
              <w:rPr>
                <w:rFonts w:hint="default" w:ascii="Times New Roman" w:hAnsi="Times New Roman" w:eastAsia="宋体" w:cs="Times New Roman"/>
                <w:color w:val="auto"/>
                <w:sz w:val="21"/>
                <w:szCs w:val="21"/>
              </w:rPr>
              <w:t>：矿山类项目指开采区与各场地占地；改、扩建类的指现有工程与拟建工程的占地。</w:t>
            </w:r>
          </w:p>
        </w:tc>
      </w:tr>
    </w:tbl>
    <w:p>
      <w:pPr>
        <w:spacing w:before="4" w:line="240" w:lineRule="auto"/>
        <w:rPr>
          <w:rFonts w:hint="default" w:ascii="Times New Roman" w:hAnsi="Times New Roman" w:eastAsia="宋体" w:cs="Times New Roman"/>
          <w:color w:val="auto"/>
          <w:sz w:val="8"/>
          <w:szCs w:val="8"/>
        </w:rPr>
      </w:pPr>
    </w:p>
    <w:p>
      <w:pPr>
        <w:pStyle w:val="11"/>
        <w:spacing w:before="26" w:line="376" w:lineRule="auto"/>
        <w:ind w:left="0" w:right="0" w:firstLine="480" w:firstLineChars="200"/>
        <w:jc w:val="left"/>
        <w:rPr>
          <w:rFonts w:hint="default" w:ascii="Times New Roman" w:hAnsi="Times New Roman" w:cs="Times New Roman"/>
          <w:color w:val="auto"/>
        </w:rPr>
      </w:pPr>
      <w:r>
        <w:rPr>
          <w:rFonts w:hint="default" w:ascii="Times New Roman" w:hAnsi="Times New Roman" w:eastAsia="宋体" w:cs="Times New Roman"/>
          <w:color w:val="auto"/>
          <w:lang w:val="en-US" w:eastAsia="zh-CN"/>
        </w:rPr>
        <w:t>5.2.6.2</w:t>
      </w:r>
      <w:r>
        <w:rPr>
          <w:rFonts w:hint="default" w:ascii="Times New Roman" w:hAnsi="Times New Roman" w:cs="Times New Roman"/>
          <w:color w:val="auto"/>
        </w:rPr>
        <w:t xml:space="preserve">预测评价范围 </w:t>
      </w:r>
    </w:p>
    <w:p>
      <w:pPr>
        <w:pStyle w:val="11"/>
        <w:spacing w:before="26" w:line="376" w:lineRule="auto"/>
        <w:ind w:left="0" w:right="0" w:firstLine="488" w:firstLineChars="200"/>
        <w:jc w:val="left"/>
        <w:rPr>
          <w:rFonts w:hint="default" w:ascii="Times New Roman" w:hAnsi="Times New Roman" w:cs="Times New Roman"/>
          <w:color w:val="auto"/>
        </w:rPr>
      </w:pPr>
      <w:r>
        <w:rPr>
          <w:rFonts w:hint="default" w:ascii="Times New Roman" w:hAnsi="Times New Roman" w:cs="Times New Roman"/>
          <w:color w:val="auto"/>
          <w:spacing w:val="2"/>
        </w:rPr>
        <w:t>预测评价范围一般与现状调查评价范围一致，预测评价范围项目占地范围外延</w:t>
      </w:r>
    </w:p>
    <w:p>
      <w:pPr>
        <w:pStyle w:val="11"/>
        <w:spacing w:before="67" w:line="240" w:lineRule="auto"/>
        <w:ind w:left="0" w:right="440" w:firstLine="0" w:firstLineChars="0"/>
        <w:jc w:val="left"/>
        <w:rPr>
          <w:rFonts w:hint="default" w:ascii="Times New Roman" w:hAnsi="Times New Roman" w:cs="Times New Roman"/>
          <w:color w:val="auto"/>
        </w:rPr>
      </w:pPr>
      <w:r>
        <w:rPr>
          <w:rFonts w:hint="default" w:ascii="Times New Roman" w:hAnsi="Times New Roman" w:eastAsia="Times New Roman" w:cs="Times New Roman"/>
          <w:color w:val="auto"/>
        </w:rPr>
        <w:t>0.05km</w:t>
      </w:r>
      <w:r>
        <w:rPr>
          <w:rFonts w:hint="default" w:ascii="Times New Roman" w:hAnsi="Times New Roman" w:cs="Times New Roman"/>
          <w:color w:val="auto"/>
        </w:rPr>
        <w:t>。</w:t>
      </w:r>
    </w:p>
    <w:p>
      <w:pPr>
        <w:pStyle w:val="11"/>
        <w:spacing w:line="360" w:lineRule="auto"/>
        <w:ind w:left="0" w:right="1778" w:firstLine="0" w:firstLineChars="0"/>
        <w:jc w:val="left"/>
        <w:rPr>
          <w:rFonts w:hint="default" w:ascii="Times New Roman" w:hAnsi="Times New Roman" w:cs="Times New Roman"/>
          <w:b/>
          <w:bCs/>
          <w:color w:val="auto"/>
          <w:u w:val="single"/>
        </w:rPr>
      </w:pPr>
      <w:r>
        <w:rPr>
          <w:rFonts w:hint="default" w:ascii="Times New Roman" w:hAnsi="Times New Roman" w:eastAsia="宋体" w:cs="Times New Roman"/>
          <w:color w:val="auto"/>
          <w:lang w:val="en-US" w:eastAsia="zh-CN"/>
        </w:rPr>
        <w:t xml:space="preserve">   </w:t>
      </w:r>
      <w:r>
        <w:rPr>
          <w:rFonts w:hint="default" w:ascii="Times New Roman" w:hAnsi="Times New Roman" w:eastAsia="宋体" w:cs="Times New Roman"/>
          <w:b/>
          <w:bCs/>
          <w:color w:val="auto"/>
          <w:u w:val="single"/>
          <w:lang w:val="en-US" w:eastAsia="zh-CN"/>
        </w:rPr>
        <w:t xml:space="preserve"> 5.2.6.3</w:t>
      </w:r>
      <w:r>
        <w:rPr>
          <w:rFonts w:hint="default" w:ascii="Times New Roman" w:hAnsi="Times New Roman" w:cs="Times New Roman"/>
          <w:b/>
          <w:bCs/>
          <w:color w:val="auto"/>
          <w:u w:val="single"/>
        </w:rPr>
        <w:t>预测评价</w:t>
      </w:r>
    </w:p>
    <w:p>
      <w:pPr>
        <w:spacing w:line="360" w:lineRule="auto"/>
        <w:ind w:firstLine="482" w:firstLineChars="200"/>
        <w:rPr>
          <w:rFonts w:hint="default" w:ascii="Times New Roman" w:hAnsi="Times New Roman" w:cs="Times New Roman"/>
          <w:b/>
          <w:bCs/>
          <w:color w:val="auto"/>
          <w:sz w:val="24"/>
          <w:szCs w:val="24"/>
          <w:u w:val="single"/>
        </w:rPr>
      </w:pPr>
      <w:bookmarkStart w:id="564" w:name="_TOC_250025"/>
      <w:r>
        <w:rPr>
          <w:rFonts w:hint="default" w:ascii="Times New Roman" w:hAnsi="Times New Roman" w:cs="Times New Roman"/>
          <w:b/>
          <w:bCs/>
          <w:color w:val="auto"/>
          <w:sz w:val="24"/>
          <w:szCs w:val="24"/>
          <w:u w:val="single"/>
        </w:rPr>
        <w:t>本项目运营期土壤污染影响主要为项目场区产生的废水下渗影响及沼液施用区沼液过量施用产生的下渗影响。本项目产生的废水中主要污染物为COD、氨氮、粪大肠菌群等，不涉及突然土壤污染物（隔、汞、砷、铅、铬（六价）、铜、镍、石油烃），无相关的土壤评价标准。因此按照《环境影响评价技术导则 土壤环境（试行）》（HJ964-2018）土壤环境影响以定性分析为主。</w:t>
      </w:r>
    </w:p>
    <w:p>
      <w:pPr>
        <w:spacing w:line="360" w:lineRule="auto"/>
        <w:ind w:firstLine="482" w:firstLineChars="200"/>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根据项目土壤环境质量现状监测结果显示，项目占地范围内土壤取样，监测结果显示，目前土壤中各污染物含量均低于农用地土壤污染风险筛选值（基本项目），表明区域土壤未受到污染。</w:t>
      </w:r>
    </w:p>
    <w:p>
      <w:pPr>
        <w:spacing w:line="360" w:lineRule="auto"/>
        <w:ind w:firstLine="482" w:firstLineChars="200"/>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本项目产生的废水属于有机废水不存在重金属等污染物。不涉及土壤持久性污染，易吸附降解。不会对土壤质量产生明显恶化影响，环境影响很小，在采取保护措施后影响可以接受。</w:t>
      </w:r>
    </w:p>
    <w:p>
      <w:pPr>
        <w:spacing w:line="360" w:lineRule="auto"/>
        <w:ind w:firstLine="482" w:firstLineChars="200"/>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沼液中含有氮、磷、钾元素，还含有丰富的多种微量原素，氨基酸，抗菌素、植物激素和水解酶，能很好改善土壤结构，促进作物生长。但沼液过量施用存在对土壤性质产生影响。</w:t>
      </w:r>
    </w:p>
    <w:p>
      <w:pPr>
        <w:spacing w:line="360" w:lineRule="auto"/>
        <w:ind w:firstLine="482" w:firstLineChars="200"/>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经查阅文献资料《猪场沼液灌溉冬小麦对土壤质量的影响》（董红敏 陶秀萍 尚斌，中国农业科学院农业环境与可持续发展研究所农业部农业环境与气候变化重点开放实验室），经文献实验期间在小麦成长期，施用三次沼液，在小麦收割后对土壤进行采样检测，经检测结果显示沼液施用可增加表层土壤(0~10 cm)有机质含量，最高增幅为3.0kg/hm</w:t>
      </w:r>
      <w:r>
        <w:rPr>
          <w:rFonts w:hint="default" w:ascii="Times New Roman" w:hAnsi="Times New Roman" w:cs="Times New Roman"/>
          <w:b/>
          <w:bCs/>
          <w:color w:val="auto"/>
          <w:sz w:val="24"/>
          <w:szCs w:val="24"/>
          <w:u w:val="single"/>
          <w:vertAlign w:val="superscript"/>
        </w:rPr>
        <w:t>2</w:t>
      </w:r>
      <w:r>
        <w:rPr>
          <w:rFonts w:hint="default" w:ascii="Times New Roman" w:hAnsi="Times New Roman" w:cs="Times New Roman"/>
          <w:b/>
          <w:bCs/>
          <w:color w:val="auto"/>
          <w:sz w:val="24"/>
          <w:szCs w:val="24"/>
          <w:u w:val="single"/>
        </w:rPr>
        <w:t>；灌溉猪场沼液有降低土壤pH值的作用，最高下降0.4个pH单位，但未发生土壤酸化；只有追施3次沼液的处理才有土壤中明显氮积累的现象。通过以上分析说明控制沼液的合理施用，可有效的为植物生长提供充足的养分，同时可预防土壤中各种物质的积累，影响土壤环境质量。本项目沼液的使用由牧原养殖场配备专业技术人员指导当地农户合理使用，严控施用量，对土壤环境的影响在可控范围内。</w:t>
      </w:r>
    </w:p>
    <w:p>
      <w:pPr>
        <w:keepNext/>
        <w:keepLines/>
        <w:numPr>
          <w:ilvl w:val="3"/>
          <w:numId w:val="0"/>
        </w:numPr>
        <w:spacing w:before="120" w:beforeLines="50" w:line="360" w:lineRule="auto"/>
        <w:jc w:val="left"/>
        <w:outlineLvl w:val="3"/>
        <w:rPr>
          <w:rFonts w:hint="default" w:ascii="Times New Roman" w:hAnsi="Times New Roman" w:cs="Times New Roman"/>
          <w:b/>
          <w:bCs/>
          <w:color w:val="auto"/>
          <w:sz w:val="24"/>
          <w:szCs w:val="24"/>
          <w:u w:val="single"/>
        </w:rPr>
      </w:pPr>
      <w:r>
        <w:rPr>
          <w:rFonts w:hint="default" w:ascii="Times New Roman" w:hAnsi="Times New Roman" w:eastAsia="宋体" w:cs="Times New Roman"/>
          <w:b/>
          <w:bCs/>
          <w:color w:val="auto"/>
          <w:u w:val="single"/>
          <w:lang w:val="en-US" w:eastAsia="zh-CN"/>
        </w:rPr>
        <w:t>5.2.6.</w:t>
      </w:r>
      <w:r>
        <w:rPr>
          <w:rFonts w:hint="default" w:ascii="Times New Roman" w:hAnsi="Times New Roman" w:cs="Times New Roman"/>
          <w:b/>
          <w:bCs/>
          <w:color w:val="auto"/>
          <w:u w:val="single"/>
          <w:lang w:val="en-US" w:eastAsia="zh-CN"/>
        </w:rPr>
        <w:t>4</w:t>
      </w:r>
      <w:r>
        <w:rPr>
          <w:rFonts w:hint="default" w:ascii="Times New Roman" w:hAnsi="Times New Roman" w:cs="Times New Roman"/>
          <w:b/>
          <w:bCs/>
          <w:color w:val="auto"/>
          <w:sz w:val="24"/>
          <w:szCs w:val="24"/>
          <w:u w:val="single"/>
        </w:rPr>
        <w:t>保护措施及对策</w:t>
      </w:r>
    </w:p>
    <w:p>
      <w:pPr>
        <w:spacing w:line="360" w:lineRule="auto"/>
        <w:ind w:firstLine="482" w:firstLineChars="200"/>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入渗预防措施主要为分区防渗，本项目沼液池、沼液暂存池、养殖区、危险废物暂存间、病死猪处理间，均设置为重点防渗区域。防渗区具体设置情况参照地下水影响分析章节。</w:t>
      </w:r>
    </w:p>
    <w:p>
      <w:pPr>
        <w:spacing w:line="360" w:lineRule="auto"/>
        <w:ind w:firstLine="482" w:firstLineChars="200"/>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项目对产生的废水进行合理的治理和综合利用，以先进工艺、管道、设备、污水储存，尽可能从源头上减少可能污染物产生；严格按照国家相关规范要求，对工艺、管道、设备、污水储存及处理构筑物采取相应的措施，以防止和降低可能污染物的跑、冒、滴、漏，将废水泄漏的环境风险事故降低到最低程度；管线铺设尽量采用“可视化”原则，即管道尽可能地上铺设，做到污染物“早发现、早处理”，以减少由于埋地管道泄漏而可能造成的地下水污染。</w:t>
      </w:r>
    </w:p>
    <w:p>
      <w:pPr>
        <w:spacing w:line="360" w:lineRule="auto"/>
        <w:ind w:firstLine="482" w:firstLineChars="200"/>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进行质量体系认证，实现“质量、安全、环境”三位一体的全面质量管理目标。</w:t>
      </w:r>
    </w:p>
    <w:p>
      <w:pPr>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设立地下水动态监测小组，负责对地下水环境监测和管理，或者委托专业的机构完成。建立有关规章制度和岗位责任制。制定风险预警方案，设立应急设施减少环境污染影响。</w:t>
      </w:r>
    </w:p>
    <w:p>
      <w:pPr>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本项目沼液的使用由牧原养殖场配备专业技术人员指导当地农户合理使用，严控施用量，对土壤环境的影响在可控范围内。</w:t>
      </w:r>
    </w:p>
    <w:p>
      <w:pPr>
        <w:keepNext/>
        <w:keepLines/>
        <w:pageBreakBefore w:val="0"/>
        <w:widowControl w:val="0"/>
        <w:numPr>
          <w:ilvl w:val="3"/>
          <w:numId w:val="0"/>
        </w:numPr>
        <w:kinsoku/>
        <w:wordWrap/>
        <w:overflowPunct/>
        <w:topLinePunct w:val="0"/>
        <w:autoSpaceDE/>
        <w:autoSpaceDN/>
        <w:bidi w:val="0"/>
        <w:adjustRightInd w:val="0"/>
        <w:snapToGrid w:val="0"/>
        <w:spacing w:line="360" w:lineRule="auto"/>
        <w:jc w:val="left"/>
        <w:textAlignment w:val="auto"/>
        <w:outlineLvl w:val="3"/>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5.</w:t>
      </w:r>
      <w:r>
        <w:rPr>
          <w:rFonts w:hint="default" w:ascii="Times New Roman" w:hAnsi="Times New Roman" w:cs="Times New Roman"/>
          <w:b/>
          <w:bCs/>
          <w:color w:val="auto"/>
          <w:sz w:val="24"/>
          <w:szCs w:val="24"/>
          <w:u w:val="single"/>
          <w:lang w:val="en-US" w:eastAsia="zh-CN"/>
        </w:rPr>
        <w:t>2.6.5</w:t>
      </w:r>
      <w:r>
        <w:rPr>
          <w:rFonts w:hint="default" w:ascii="Times New Roman" w:hAnsi="Times New Roman" w:cs="Times New Roman"/>
          <w:b/>
          <w:bCs/>
          <w:color w:val="auto"/>
          <w:sz w:val="24"/>
          <w:szCs w:val="24"/>
          <w:u w:val="single"/>
        </w:rPr>
        <w:t>跟踪监测措施</w:t>
      </w:r>
    </w:p>
    <w:p>
      <w:pPr>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u w:val="single"/>
        </w:rPr>
      </w:pPr>
      <w:r>
        <w:rPr>
          <w:rFonts w:hint="default" w:ascii="Times New Roman" w:hAnsi="Times New Roman" w:cs="Times New Roman"/>
          <w:b/>
          <w:bCs/>
          <w:color w:val="auto"/>
          <w:sz w:val="24"/>
          <w:u w:val="single"/>
        </w:rPr>
        <w:t>为了及时准确掌握场区及周边土壤环境质量状况和土壤中污染物的动态变化，项目拟建立覆盖全区的土壤环境长期监控系统，包括科学、合理地设置土壤污染监控点，建立完善的监测制度，配备先进的检测仪器和设备，以便及时发现并及时控制。</w:t>
      </w:r>
    </w:p>
    <w:p>
      <w:pPr>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u w:val="single"/>
        </w:rPr>
      </w:pPr>
      <w:r>
        <w:rPr>
          <w:rFonts w:hint="default" w:ascii="Times New Roman" w:hAnsi="Times New Roman" w:cs="Times New Roman"/>
          <w:b/>
          <w:bCs/>
          <w:color w:val="auto"/>
          <w:sz w:val="24"/>
          <w:u w:val="single"/>
        </w:rPr>
        <w:t>根据导则要求，结合项目特征，在厂区外布置处土壤跟踪监测点。各土壤跟踪监测布置情况见表5.</w:t>
      </w:r>
      <w:r>
        <w:rPr>
          <w:rFonts w:hint="default" w:ascii="Times New Roman" w:hAnsi="Times New Roman" w:cs="Times New Roman"/>
          <w:b/>
          <w:bCs/>
          <w:color w:val="auto"/>
          <w:sz w:val="24"/>
          <w:u w:val="single"/>
          <w:lang w:val="en-US" w:eastAsia="zh-CN"/>
        </w:rPr>
        <w:t>2</w:t>
      </w:r>
      <w:r>
        <w:rPr>
          <w:rFonts w:hint="default" w:ascii="Times New Roman" w:hAnsi="Times New Roman" w:cs="Times New Roman"/>
          <w:b/>
          <w:bCs/>
          <w:color w:val="auto"/>
          <w:sz w:val="24"/>
          <w:u w:val="single"/>
        </w:rPr>
        <w:t>-</w:t>
      </w:r>
      <w:r>
        <w:rPr>
          <w:rFonts w:hint="eastAsia" w:cs="Times New Roman"/>
          <w:b/>
          <w:bCs/>
          <w:color w:val="auto"/>
          <w:sz w:val="24"/>
          <w:u w:val="single"/>
          <w:lang w:val="en-US" w:eastAsia="zh-CN"/>
        </w:rPr>
        <w:t>40</w:t>
      </w:r>
      <w:r>
        <w:rPr>
          <w:rFonts w:hint="default" w:ascii="Times New Roman" w:hAnsi="Times New Roman" w:cs="Times New Roman"/>
          <w:b/>
          <w:bCs/>
          <w:color w:val="auto"/>
          <w:sz w:val="24"/>
          <w:u w:val="single"/>
        </w:rPr>
        <w:t>。</w:t>
      </w:r>
    </w:p>
    <w:p>
      <w:pPr>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default" w:ascii="Times New Roman" w:hAnsi="Times New Roman" w:cs="Times New Roman"/>
          <w:b/>
          <w:bCs/>
          <w:color w:val="auto"/>
          <w:szCs w:val="21"/>
          <w:u w:val="single"/>
        </w:rPr>
      </w:pPr>
      <w:r>
        <w:rPr>
          <w:rFonts w:hint="default" w:ascii="Times New Roman" w:hAnsi="Times New Roman" w:cs="Times New Roman"/>
          <w:b/>
          <w:bCs/>
          <w:color w:val="auto"/>
          <w:szCs w:val="21"/>
          <w:u w:val="single"/>
          <w:lang w:eastAsia="zh-CN"/>
        </w:rPr>
        <w:t>表</w:t>
      </w:r>
      <w:r>
        <w:rPr>
          <w:rFonts w:hint="default" w:ascii="Times New Roman" w:hAnsi="Times New Roman" w:cs="Times New Roman"/>
          <w:b/>
          <w:bCs/>
          <w:color w:val="auto"/>
          <w:szCs w:val="21"/>
          <w:u w:val="single"/>
          <w:lang w:val="en-US" w:eastAsia="zh-CN"/>
        </w:rPr>
        <w:t>5.2-</w:t>
      </w:r>
      <w:r>
        <w:rPr>
          <w:rFonts w:hint="eastAsia" w:cs="Times New Roman"/>
          <w:b/>
          <w:bCs/>
          <w:color w:val="auto"/>
          <w:szCs w:val="21"/>
          <w:u w:val="single"/>
          <w:lang w:val="en-US" w:eastAsia="zh-CN"/>
        </w:rPr>
        <w:t>40</w:t>
      </w:r>
      <w:r>
        <w:rPr>
          <w:rFonts w:hint="default" w:ascii="Times New Roman" w:hAnsi="Times New Roman" w:cs="Times New Roman"/>
          <w:b/>
          <w:bCs/>
          <w:color w:val="auto"/>
          <w:szCs w:val="21"/>
          <w:u w:val="single"/>
        </w:rPr>
        <w:t xml:space="preserve">            土壤跟踪监测点布置一览表</w:t>
      </w:r>
    </w:p>
    <w:tbl>
      <w:tblPr>
        <w:tblStyle w:val="25"/>
        <w:tblW w:w="878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87"/>
        <w:gridCol w:w="1859"/>
        <w:gridCol w:w="1499"/>
        <w:gridCol w:w="2016"/>
        <w:gridCol w:w="242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57" w:hRule="atLeast"/>
        </w:trPr>
        <w:tc>
          <w:tcPr>
            <w:tcW w:w="9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序号</w:t>
            </w:r>
          </w:p>
        </w:tc>
        <w:tc>
          <w:tcPr>
            <w:tcW w:w="18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监测点位置</w:t>
            </w:r>
          </w:p>
        </w:tc>
        <w:tc>
          <w:tcPr>
            <w:tcW w:w="14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采样深度</w:t>
            </w:r>
          </w:p>
        </w:tc>
        <w:tc>
          <w:tcPr>
            <w:tcW w:w="20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监测频率</w:t>
            </w:r>
          </w:p>
        </w:tc>
        <w:tc>
          <w:tcPr>
            <w:tcW w:w="24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监测因子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9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1#</w:t>
            </w:r>
          </w:p>
        </w:tc>
        <w:tc>
          <w:tcPr>
            <w:tcW w:w="185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厂区南侧农田</w:t>
            </w:r>
          </w:p>
        </w:tc>
        <w:tc>
          <w:tcPr>
            <w:tcW w:w="149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0.2m</w:t>
            </w:r>
          </w:p>
        </w:tc>
        <w:tc>
          <w:tcPr>
            <w:tcW w:w="20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每3年监测</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kern w:val="0"/>
                <w:sz w:val="21"/>
                <w:szCs w:val="21"/>
                <w:u w:val="single"/>
              </w:rPr>
              <w:t>一次</w:t>
            </w:r>
          </w:p>
        </w:tc>
        <w:tc>
          <w:tcPr>
            <w:tcW w:w="24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0"/>
                <w:sz w:val="21"/>
                <w:szCs w:val="21"/>
                <w:u w:val="single"/>
              </w:rPr>
            </w:pPr>
            <w:r>
              <w:rPr>
                <w:rFonts w:hint="default" w:ascii="Times New Roman" w:hAnsi="Times New Roman" w:cs="Times New Roman"/>
                <w:b/>
                <w:bCs/>
                <w:color w:val="auto"/>
                <w:sz w:val="21"/>
                <w:szCs w:val="21"/>
                <w:u w:val="single"/>
              </w:rPr>
              <w:t>pH、氮、磷、钾、有机物</w:t>
            </w:r>
          </w:p>
        </w:tc>
      </w:tr>
    </w:tbl>
    <w:p>
      <w:pPr>
        <w:keepNext/>
        <w:keepLines/>
        <w:pageBreakBefore w:val="0"/>
        <w:widowControl w:val="0"/>
        <w:numPr>
          <w:ilvl w:val="3"/>
          <w:numId w:val="0"/>
        </w:numPr>
        <w:kinsoku/>
        <w:wordWrap/>
        <w:overflowPunct/>
        <w:topLinePunct w:val="0"/>
        <w:autoSpaceDE/>
        <w:autoSpaceDN/>
        <w:bidi w:val="0"/>
        <w:adjustRightInd w:val="0"/>
        <w:snapToGrid w:val="0"/>
        <w:spacing w:line="360" w:lineRule="auto"/>
        <w:jc w:val="left"/>
        <w:textAlignment w:val="auto"/>
        <w:outlineLvl w:val="3"/>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w:t>
      </w:r>
      <w:r>
        <w:rPr>
          <w:rFonts w:hint="default" w:ascii="Times New Roman" w:hAnsi="Times New Roman" w:cs="Times New Roman"/>
          <w:color w:val="auto"/>
          <w:sz w:val="24"/>
          <w:szCs w:val="24"/>
          <w:lang w:val="en-US" w:eastAsia="zh-CN"/>
        </w:rPr>
        <w:t>2.6.6</w:t>
      </w:r>
      <w:r>
        <w:rPr>
          <w:rFonts w:hint="default" w:ascii="Times New Roman" w:hAnsi="Times New Roman" w:cs="Times New Roman"/>
          <w:color w:val="auto"/>
          <w:sz w:val="24"/>
          <w:szCs w:val="24"/>
        </w:rPr>
        <w:t>结论</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（1）本次土壤质量现状监测结果显示，土壤各采样区相关因子均满足相应的标准要求，项目按照设计要求进行防渗处理，项目对土壤环境影响程度较小。</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color w:val="auto"/>
          <w:sz w:val="24"/>
          <w:szCs w:val="24"/>
          <w:u w:val="single"/>
        </w:rPr>
      </w:pPr>
      <w:r>
        <w:rPr>
          <w:rFonts w:hint="default" w:ascii="Times New Roman" w:hAnsi="Times New Roman" w:cs="Times New Roman"/>
          <w:bCs/>
          <w:color w:val="auto"/>
          <w:sz w:val="24"/>
        </w:rPr>
        <w:t>（2）</w:t>
      </w:r>
      <w:r>
        <w:rPr>
          <w:rFonts w:hint="default" w:ascii="Times New Roman" w:hAnsi="Times New Roman" w:cs="Times New Roman"/>
          <w:color w:val="auto"/>
          <w:sz w:val="24"/>
          <w:szCs w:val="24"/>
        </w:rPr>
        <w:t>本项目产生的废水属于有机废水不存在重金属等污染物。不涉及土壤持久性污染，易吸附降解。不会对土壤质量产生明显恶化影响，环境影响很小，在采取保护措施后影响可以接受。</w:t>
      </w:r>
      <w:r>
        <w:rPr>
          <w:rFonts w:hint="default" w:ascii="Times New Roman" w:hAnsi="Times New Roman" w:cs="Times New Roman"/>
          <w:bCs/>
          <w:color w:val="auto"/>
          <w:sz w:val="24"/>
          <w:szCs w:val="24"/>
        </w:rPr>
        <w:t>本项目沼液的使用由牧原养殖场配备专业技术人员指导当地农户合理使用，严控施用量，对土壤环境的影响在可控范围内</w:t>
      </w:r>
      <w:r>
        <w:rPr>
          <w:rFonts w:hint="default" w:ascii="Times New Roman" w:hAnsi="Times New Roman" w:cs="Times New Roman"/>
          <w:color w:val="auto"/>
          <w:sz w:val="24"/>
          <w:szCs w:val="24"/>
        </w:rPr>
        <w:t>。</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综合以上分析，本评价认为，项目实施后对周边土壤的累积影响是可接受的。</w:t>
      </w:r>
    </w:p>
    <w:p>
      <w:pPr>
        <w:keepNext/>
        <w:keepLines/>
        <w:pageBreakBefore w:val="0"/>
        <w:widowControl w:val="0"/>
        <w:numPr>
          <w:ilvl w:val="3"/>
          <w:numId w:val="0"/>
        </w:numPr>
        <w:kinsoku/>
        <w:wordWrap/>
        <w:overflowPunct/>
        <w:topLinePunct w:val="0"/>
        <w:autoSpaceDE/>
        <w:autoSpaceDN/>
        <w:bidi w:val="0"/>
        <w:adjustRightInd w:val="0"/>
        <w:snapToGrid w:val="0"/>
        <w:spacing w:line="360" w:lineRule="auto"/>
        <w:jc w:val="left"/>
        <w:textAlignment w:val="auto"/>
        <w:outlineLvl w:val="3"/>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w:t>
      </w:r>
      <w:r>
        <w:rPr>
          <w:rFonts w:hint="default" w:ascii="Times New Roman" w:hAnsi="Times New Roman" w:cs="Times New Roman"/>
          <w:color w:val="auto"/>
          <w:sz w:val="24"/>
          <w:szCs w:val="24"/>
          <w:lang w:val="en-US" w:eastAsia="zh-CN"/>
        </w:rPr>
        <w:t>2.6.7</w:t>
      </w:r>
      <w:r>
        <w:rPr>
          <w:rFonts w:hint="default" w:ascii="Times New Roman" w:hAnsi="Times New Roman" w:cs="Times New Roman"/>
          <w:color w:val="auto"/>
          <w:sz w:val="24"/>
          <w:szCs w:val="24"/>
        </w:rPr>
        <w:t>土壤环境影响评价自查表</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本次土壤环境影响评价完成后，对土壤环境影响评价主要内容与结论进行自查，详见下表。</w:t>
      </w:r>
    </w:p>
    <w:p>
      <w:pPr>
        <w:pageBreakBefore w:val="0"/>
        <w:widowControl w:val="0"/>
        <w:numPr>
          <w:ilvl w:val="0"/>
          <w:numId w:val="0"/>
        </w:numPr>
        <w:kinsoku/>
        <w:wordWrap/>
        <w:overflowPunct/>
        <w:topLinePunct w:val="0"/>
        <w:autoSpaceDE/>
        <w:autoSpaceDN/>
        <w:bidi w:val="0"/>
        <w:adjustRightInd w:val="0"/>
        <w:snapToGrid w:val="0"/>
        <w:spacing w:line="360" w:lineRule="auto"/>
        <w:ind w:leftChars="200"/>
        <w:jc w:val="left"/>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lang w:eastAsia="zh-CN"/>
        </w:rPr>
        <w:t>表</w:t>
      </w:r>
      <w:r>
        <w:rPr>
          <w:rFonts w:hint="default" w:ascii="Times New Roman" w:hAnsi="Times New Roman" w:cs="Times New Roman"/>
          <w:b/>
          <w:color w:val="auto"/>
          <w:szCs w:val="21"/>
          <w:lang w:val="en-US" w:eastAsia="zh-CN"/>
        </w:rPr>
        <w:t>5.2-</w:t>
      </w:r>
      <w:r>
        <w:rPr>
          <w:rFonts w:hint="eastAsia" w:cs="Times New Roman"/>
          <w:b/>
          <w:color w:val="auto"/>
          <w:szCs w:val="21"/>
          <w:lang w:val="en-US" w:eastAsia="zh-CN"/>
        </w:rPr>
        <w:t>41</w:t>
      </w:r>
      <w:r>
        <w:rPr>
          <w:rFonts w:hint="default" w:ascii="Times New Roman" w:hAnsi="Times New Roman" w:cs="Times New Roman"/>
          <w:b/>
          <w:color w:val="auto"/>
          <w:szCs w:val="21"/>
        </w:rPr>
        <w:t xml:space="preserve">              土壤环境影响评价自查表</w:t>
      </w:r>
    </w:p>
    <w:tbl>
      <w:tblPr>
        <w:tblStyle w:val="25"/>
        <w:tblW w:w="8727"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99"/>
        <w:gridCol w:w="1573"/>
        <w:gridCol w:w="1327"/>
        <w:gridCol w:w="1314"/>
        <w:gridCol w:w="122"/>
        <w:gridCol w:w="1068"/>
        <w:gridCol w:w="454"/>
        <w:gridCol w:w="429"/>
        <w:gridCol w:w="405"/>
        <w:gridCol w:w="557"/>
        <w:gridCol w:w="107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jc w:val="center"/>
        </w:trPr>
        <w:tc>
          <w:tcPr>
            <w:tcW w:w="1972" w:type="dxa"/>
            <w:gridSpan w:val="2"/>
            <w:tcBorders>
              <w:top w:val="single" w:color="000000" w:sz="8" w:space="0"/>
              <w:left w:val="nil"/>
              <w:bottom w:val="single" w:color="000000" w:sz="8"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工作内容</w:t>
            </w:r>
          </w:p>
        </w:tc>
        <w:tc>
          <w:tcPr>
            <w:tcW w:w="5676" w:type="dxa"/>
            <w:gridSpan w:val="8"/>
            <w:tcBorders>
              <w:top w:val="single" w:color="000000" w:sz="8" w:space="0"/>
              <w:left w:val="nil"/>
              <w:bottom w:val="single" w:color="000000" w:sz="8"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完成情况</w:t>
            </w:r>
          </w:p>
        </w:tc>
        <w:tc>
          <w:tcPr>
            <w:tcW w:w="1079" w:type="dxa"/>
            <w:tcBorders>
              <w:top w:val="single" w:color="000000" w:sz="8" w:space="0"/>
              <w:left w:val="nil"/>
              <w:bottom w:val="single" w:color="000000" w:sz="8" w:space="0"/>
              <w:right w:val="nil"/>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jc w:val="center"/>
        </w:trPr>
        <w:tc>
          <w:tcPr>
            <w:tcW w:w="399" w:type="dxa"/>
            <w:vMerge w:val="restart"/>
            <w:tcBorders>
              <w:top w:val="nil"/>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影响识别</w:t>
            </w:r>
          </w:p>
        </w:tc>
        <w:tc>
          <w:tcPr>
            <w:tcW w:w="1573" w:type="dxa"/>
            <w:tcBorders>
              <w:top w:val="single" w:color="000000" w:sz="8" w:space="0"/>
              <w:left w:val="nil"/>
              <w:bottom w:val="single" w:color="000000" w:sz="8"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影响类型</w:t>
            </w:r>
          </w:p>
        </w:tc>
        <w:tc>
          <w:tcPr>
            <w:tcW w:w="5676" w:type="dxa"/>
            <w:gridSpan w:val="8"/>
            <w:tcBorders>
              <w:top w:val="single" w:color="000000" w:sz="8" w:space="0"/>
              <w:left w:val="nil"/>
              <w:bottom w:val="single" w:color="000000" w:sz="8"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污染影响型</w:t>
            </w:r>
            <w:r>
              <w:rPr>
                <w:rFonts w:hint="default" w:ascii="Times New Roman" w:hAnsi="Times New Roman" w:cs="Times New Roman"/>
                <w:color w:val="auto"/>
                <w:sz w:val="18"/>
                <w:szCs w:val="18"/>
              </w:rPr>
              <w:sym w:font="Wingdings 2" w:char="0052"/>
            </w:r>
            <w:r>
              <w:rPr>
                <w:rFonts w:hint="default" w:ascii="Times New Roman" w:hAnsi="Times New Roman" w:cs="Times New Roman"/>
                <w:color w:val="auto"/>
                <w:sz w:val="18"/>
                <w:szCs w:val="18"/>
              </w:rPr>
              <w:t>；生态影响型□；两种兼有□</w:t>
            </w:r>
          </w:p>
        </w:tc>
        <w:tc>
          <w:tcPr>
            <w:tcW w:w="1079" w:type="dxa"/>
            <w:tcBorders>
              <w:top w:val="single" w:color="000000" w:sz="8" w:space="0"/>
              <w:left w:val="nil"/>
              <w:bottom w:val="single" w:color="000000" w:sz="8" w:space="0"/>
              <w:right w:val="nil"/>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jc w:val="center"/>
        </w:trPr>
        <w:tc>
          <w:tcPr>
            <w:tcW w:w="399" w:type="dxa"/>
            <w:vMerge w:val="continue"/>
            <w:tcBorders>
              <w:top w:val="nil"/>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rPr>
            </w:pPr>
          </w:p>
        </w:tc>
        <w:tc>
          <w:tcPr>
            <w:tcW w:w="1573" w:type="dxa"/>
            <w:tcBorders>
              <w:top w:val="single" w:color="000000" w:sz="8" w:space="0"/>
              <w:left w:val="nil"/>
              <w:bottom w:val="single" w:color="000000" w:sz="4"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土地利用类型</w:t>
            </w:r>
          </w:p>
        </w:tc>
        <w:tc>
          <w:tcPr>
            <w:tcW w:w="5676" w:type="dxa"/>
            <w:gridSpan w:val="8"/>
            <w:tcBorders>
              <w:top w:val="single" w:color="000000" w:sz="8"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建设用地□；农用地；未利用地□</w:t>
            </w:r>
          </w:p>
        </w:tc>
        <w:tc>
          <w:tcPr>
            <w:tcW w:w="1079" w:type="dxa"/>
            <w:tcBorders>
              <w:top w:val="single" w:color="000000" w:sz="8" w:space="0"/>
              <w:left w:val="nil"/>
              <w:bottom w:val="single" w:color="000000" w:sz="4" w:space="0"/>
              <w:right w:val="nil"/>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土地利用类</w:t>
            </w:r>
          </w:p>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型图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jc w:val="center"/>
        </w:trPr>
        <w:tc>
          <w:tcPr>
            <w:tcW w:w="399" w:type="dxa"/>
            <w:vMerge w:val="continue"/>
            <w:tcBorders>
              <w:top w:val="nil"/>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rPr>
            </w:pPr>
          </w:p>
        </w:tc>
        <w:tc>
          <w:tcPr>
            <w:tcW w:w="1573" w:type="dxa"/>
            <w:tcBorders>
              <w:top w:val="single" w:color="000000" w:sz="4"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占地规模</w:t>
            </w:r>
          </w:p>
        </w:tc>
        <w:tc>
          <w:tcPr>
            <w:tcW w:w="5676" w:type="dxa"/>
            <w:gridSpan w:val="8"/>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r>
              <w:rPr>
                <w:rFonts w:hint="default" w:ascii="Times New Roman" w:hAnsi="Times New Roman" w:cs="Times New Roman"/>
                <w:color w:val="auto"/>
                <w:sz w:val="18"/>
                <w:szCs w:val="18"/>
                <w:lang w:val="en-US" w:eastAsia="zh-CN"/>
              </w:rPr>
              <w:t>1.13</w:t>
            </w:r>
            <w:r>
              <w:rPr>
                <w:rFonts w:hint="default" w:ascii="Times New Roman" w:hAnsi="Times New Roman" w:cs="Times New Roman"/>
                <w:color w:val="auto"/>
                <w:sz w:val="18"/>
                <w:szCs w:val="18"/>
              </w:rPr>
              <w:t>）hm</w:t>
            </w:r>
            <w:r>
              <w:rPr>
                <w:rFonts w:hint="default" w:ascii="Times New Roman" w:hAnsi="Times New Roman" w:cs="Times New Roman"/>
                <w:color w:val="auto"/>
                <w:position w:val="6"/>
                <w:sz w:val="18"/>
                <w:szCs w:val="18"/>
                <w:vertAlign w:val="superscript"/>
              </w:rPr>
              <w:t>2</w:t>
            </w:r>
          </w:p>
        </w:tc>
        <w:tc>
          <w:tcPr>
            <w:tcW w:w="1079" w:type="dxa"/>
            <w:tcBorders>
              <w:top w:val="single" w:color="000000" w:sz="4" w:space="0"/>
              <w:left w:val="nil"/>
              <w:bottom w:val="single" w:color="000000" w:sz="6" w:space="0"/>
              <w:right w:val="nil"/>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jc w:val="center"/>
        </w:trPr>
        <w:tc>
          <w:tcPr>
            <w:tcW w:w="399" w:type="dxa"/>
            <w:vMerge w:val="continue"/>
            <w:tcBorders>
              <w:top w:val="nil"/>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rPr>
            </w:pPr>
          </w:p>
        </w:tc>
        <w:tc>
          <w:tcPr>
            <w:tcW w:w="1573" w:type="dxa"/>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敏感目标信息</w:t>
            </w:r>
          </w:p>
        </w:tc>
        <w:tc>
          <w:tcPr>
            <w:tcW w:w="4714" w:type="dxa"/>
            <w:gridSpan w:val="6"/>
            <w:tcBorders>
              <w:top w:val="single" w:color="000000" w:sz="6" w:space="0"/>
              <w:left w:val="nil"/>
              <w:bottom w:val="single" w:color="000000" w:sz="6" w:space="0"/>
              <w:right w:val="nil"/>
            </w:tcBorders>
            <w:noWrap w:val="0"/>
            <w:vAlign w:val="top"/>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rPr>
            </w:pPr>
          </w:p>
        </w:tc>
        <w:tc>
          <w:tcPr>
            <w:tcW w:w="405" w:type="dxa"/>
            <w:tcBorders>
              <w:top w:val="single" w:color="000000" w:sz="6" w:space="0"/>
              <w:left w:val="nil"/>
              <w:bottom w:val="single" w:color="000000" w:sz="6" w:space="0"/>
              <w:right w:val="nil"/>
            </w:tcBorders>
            <w:noWrap w:val="0"/>
            <w:vAlign w:val="top"/>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rPr>
            </w:pPr>
          </w:p>
        </w:tc>
        <w:tc>
          <w:tcPr>
            <w:tcW w:w="557" w:type="dxa"/>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18"/>
                <w:szCs w:val="18"/>
              </w:rPr>
            </w:pPr>
          </w:p>
        </w:tc>
        <w:tc>
          <w:tcPr>
            <w:tcW w:w="1079" w:type="dxa"/>
            <w:tcBorders>
              <w:top w:val="single" w:color="000000" w:sz="6" w:space="0"/>
              <w:left w:val="nil"/>
              <w:bottom w:val="single" w:color="000000" w:sz="6" w:space="0"/>
              <w:right w:val="nil"/>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jc w:val="center"/>
        </w:trPr>
        <w:tc>
          <w:tcPr>
            <w:tcW w:w="399" w:type="dxa"/>
            <w:vMerge w:val="continue"/>
            <w:tcBorders>
              <w:top w:val="nil"/>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rPr>
            </w:pPr>
          </w:p>
        </w:tc>
        <w:tc>
          <w:tcPr>
            <w:tcW w:w="1573" w:type="dxa"/>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影响途径</w:t>
            </w:r>
          </w:p>
        </w:tc>
        <w:tc>
          <w:tcPr>
            <w:tcW w:w="4714" w:type="dxa"/>
            <w:gridSpan w:val="6"/>
            <w:tcBorders>
              <w:top w:val="single" w:color="000000" w:sz="6" w:space="0"/>
              <w:left w:val="nil"/>
              <w:bottom w:val="single" w:color="000000" w:sz="6" w:space="0"/>
              <w:right w:val="nil"/>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大气沉降□；地面漫流□；垂直入渗；地下水位□；其他（</w:t>
            </w:r>
          </w:p>
        </w:tc>
        <w:tc>
          <w:tcPr>
            <w:tcW w:w="405" w:type="dxa"/>
            <w:tcBorders>
              <w:top w:val="single" w:color="000000" w:sz="6" w:space="0"/>
              <w:left w:val="nil"/>
              <w:bottom w:val="single" w:color="000000" w:sz="6" w:space="0"/>
              <w:right w:val="nil"/>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57" w:type="dxa"/>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18"/>
                <w:szCs w:val="18"/>
              </w:rPr>
            </w:pPr>
          </w:p>
        </w:tc>
        <w:tc>
          <w:tcPr>
            <w:tcW w:w="1079" w:type="dxa"/>
            <w:tcBorders>
              <w:top w:val="single" w:color="000000" w:sz="6" w:space="0"/>
              <w:left w:val="nil"/>
              <w:bottom w:val="single" w:color="000000" w:sz="6" w:space="0"/>
              <w:right w:val="nil"/>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jc w:val="center"/>
        </w:trPr>
        <w:tc>
          <w:tcPr>
            <w:tcW w:w="399" w:type="dxa"/>
            <w:vMerge w:val="continue"/>
            <w:tcBorders>
              <w:top w:val="nil"/>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rPr>
            </w:pPr>
          </w:p>
        </w:tc>
        <w:tc>
          <w:tcPr>
            <w:tcW w:w="1573" w:type="dxa"/>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全部污染物</w:t>
            </w:r>
          </w:p>
        </w:tc>
        <w:tc>
          <w:tcPr>
            <w:tcW w:w="5676" w:type="dxa"/>
            <w:gridSpan w:val="8"/>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H</w:t>
            </w:r>
            <w:r>
              <w:rPr>
                <w:rFonts w:hint="default" w:ascii="Times New Roman" w:hAnsi="Times New Roman" w:cs="Times New Roman"/>
                <w:color w:val="auto"/>
                <w:sz w:val="18"/>
                <w:szCs w:val="18"/>
                <w:vertAlign w:val="subscript"/>
              </w:rPr>
              <w:t>2</w:t>
            </w:r>
            <w:r>
              <w:rPr>
                <w:rFonts w:hint="default" w:ascii="Times New Roman" w:hAnsi="Times New Roman" w:cs="Times New Roman"/>
                <w:color w:val="auto"/>
                <w:sz w:val="18"/>
                <w:szCs w:val="18"/>
              </w:rPr>
              <w:t>S、HN</w:t>
            </w:r>
            <w:r>
              <w:rPr>
                <w:rFonts w:hint="default" w:ascii="Times New Roman" w:hAnsi="Times New Roman" w:cs="Times New Roman"/>
                <w:color w:val="auto"/>
                <w:sz w:val="18"/>
                <w:szCs w:val="18"/>
                <w:vertAlign w:val="subscript"/>
              </w:rPr>
              <w:t>3</w:t>
            </w:r>
            <w:r>
              <w:rPr>
                <w:rFonts w:hint="default" w:ascii="Times New Roman" w:hAnsi="Times New Roman" w:cs="Times New Roman"/>
                <w:color w:val="auto"/>
                <w:sz w:val="18"/>
                <w:szCs w:val="18"/>
              </w:rPr>
              <w:t>、SO</w:t>
            </w:r>
            <w:r>
              <w:rPr>
                <w:rFonts w:hint="default" w:ascii="Times New Roman" w:hAnsi="Times New Roman" w:cs="Times New Roman"/>
                <w:color w:val="auto"/>
                <w:sz w:val="18"/>
                <w:szCs w:val="18"/>
                <w:vertAlign w:val="subscript"/>
              </w:rPr>
              <w:t>2</w:t>
            </w:r>
            <w:r>
              <w:rPr>
                <w:rFonts w:hint="default" w:ascii="Times New Roman" w:hAnsi="Times New Roman" w:cs="Times New Roman"/>
                <w:color w:val="auto"/>
                <w:sz w:val="18"/>
                <w:szCs w:val="18"/>
              </w:rPr>
              <w:t>、NO</w:t>
            </w:r>
            <w:r>
              <w:rPr>
                <w:rFonts w:hint="default" w:ascii="Times New Roman" w:hAnsi="Times New Roman" w:cs="Times New Roman"/>
                <w:color w:val="auto"/>
                <w:sz w:val="18"/>
                <w:szCs w:val="18"/>
                <w:vertAlign w:val="subscript"/>
              </w:rPr>
              <w:t>X</w:t>
            </w:r>
            <w:r>
              <w:rPr>
                <w:rFonts w:hint="default" w:ascii="Times New Roman" w:hAnsi="Times New Roman" w:cs="Times New Roman"/>
                <w:color w:val="auto"/>
                <w:sz w:val="18"/>
                <w:szCs w:val="18"/>
              </w:rPr>
              <w:t>、烟尘、COD、氨氮</w:t>
            </w:r>
          </w:p>
        </w:tc>
        <w:tc>
          <w:tcPr>
            <w:tcW w:w="1079" w:type="dxa"/>
            <w:tcBorders>
              <w:top w:val="single" w:color="000000" w:sz="6" w:space="0"/>
              <w:left w:val="nil"/>
              <w:bottom w:val="single" w:color="000000" w:sz="6" w:space="0"/>
              <w:right w:val="nil"/>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jc w:val="center"/>
        </w:trPr>
        <w:tc>
          <w:tcPr>
            <w:tcW w:w="399" w:type="dxa"/>
            <w:vMerge w:val="continue"/>
            <w:tcBorders>
              <w:top w:val="nil"/>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rPr>
            </w:pPr>
          </w:p>
        </w:tc>
        <w:tc>
          <w:tcPr>
            <w:tcW w:w="1573" w:type="dxa"/>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特征因子</w:t>
            </w:r>
          </w:p>
        </w:tc>
        <w:tc>
          <w:tcPr>
            <w:tcW w:w="5676" w:type="dxa"/>
            <w:gridSpan w:val="8"/>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COD、氨氮</w:t>
            </w:r>
          </w:p>
        </w:tc>
        <w:tc>
          <w:tcPr>
            <w:tcW w:w="1079" w:type="dxa"/>
            <w:tcBorders>
              <w:top w:val="single" w:color="000000" w:sz="6" w:space="0"/>
              <w:left w:val="nil"/>
              <w:bottom w:val="single" w:color="000000" w:sz="6" w:space="0"/>
              <w:right w:val="nil"/>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jc w:val="center"/>
        </w:trPr>
        <w:tc>
          <w:tcPr>
            <w:tcW w:w="399" w:type="dxa"/>
            <w:vMerge w:val="continue"/>
            <w:tcBorders>
              <w:top w:val="nil"/>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rPr>
            </w:pPr>
          </w:p>
        </w:tc>
        <w:tc>
          <w:tcPr>
            <w:tcW w:w="1573" w:type="dxa"/>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所属土壤环境影响</w:t>
            </w:r>
          </w:p>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评价项目类别</w:t>
            </w:r>
          </w:p>
        </w:tc>
        <w:tc>
          <w:tcPr>
            <w:tcW w:w="5676" w:type="dxa"/>
            <w:gridSpan w:val="8"/>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Ⅰ类□；Ⅱ类□；Ⅲ类</w:t>
            </w:r>
            <w:r>
              <w:rPr>
                <w:rFonts w:hint="default" w:ascii="Times New Roman" w:hAnsi="Times New Roman" w:cs="Times New Roman"/>
                <w:color w:val="auto"/>
                <w:sz w:val="18"/>
                <w:szCs w:val="18"/>
              </w:rPr>
              <w:sym w:font="Wingdings 2" w:char="00A3"/>
            </w:r>
            <w:r>
              <w:rPr>
                <w:rFonts w:hint="default" w:ascii="Times New Roman" w:hAnsi="Times New Roman" w:cs="Times New Roman"/>
                <w:color w:val="auto"/>
                <w:sz w:val="18"/>
                <w:szCs w:val="18"/>
              </w:rPr>
              <w:t>；Ⅳ类□</w:t>
            </w:r>
          </w:p>
        </w:tc>
        <w:tc>
          <w:tcPr>
            <w:tcW w:w="1079" w:type="dxa"/>
            <w:tcBorders>
              <w:top w:val="single" w:color="000000" w:sz="6" w:space="0"/>
              <w:left w:val="nil"/>
              <w:bottom w:val="single" w:color="000000" w:sz="6" w:space="0"/>
              <w:right w:val="nil"/>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jc w:val="center"/>
        </w:trPr>
        <w:tc>
          <w:tcPr>
            <w:tcW w:w="399" w:type="dxa"/>
            <w:vMerge w:val="continue"/>
            <w:tcBorders>
              <w:top w:val="nil"/>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rPr>
            </w:pPr>
          </w:p>
        </w:tc>
        <w:tc>
          <w:tcPr>
            <w:tcW w:w="1573" w:type="dxa"/>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敏感程度</w:t>
            </w:r>
          </w:p>
        </w:tc>
        <w:tc>
          <w:tcPr>
            <w:tcW w:w="5676" w:type="dxa"/>
            <w:gridSpan w:val="8"/>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敏感；较敏感□；不敏感□</w:t>
            </w:r>
          </w:p>
        </w:tc>
        <w:tc>
          <w:tcPr>
            <w:tcW w:w="1079" w:type="dxa"/>
            <w:tcBorders>
              <w:top w:val="single" w:color="000000" w:sz="6" w:space="0"/>
              <w:left w:val="nil"/>
              <w:bottom w:val="single" w:color="000000" w:sz="6" w:space="0"/>
              <w:right w:val="nil"/>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jc w:val="center"/>
        </w:trPr>
        <w:tc>
          <w:tcPr>
            <w:tcW w:w="1972" w:type="dxa"/>
            <w:gridSpan w:val="2"/>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评价工作等级</w:t>
            </w:r>
          </w:p>
        </w:tc>
        <w:tc>
          <w:tcPr>
            <w:tcW w:w="5676" w:type="dxa"/>
            <w:gridSpan w:val="8"/>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一级□；二级□；三级</w:t>
            </w:r>
            <w:r>
              <w:rPr>
                <w:rFonts w:hint="default" w:ascii="Times New Roman" w:hAnsi="Times New Roman" w:cs="Times New Roman"/>
                <w:color w:val="auto"/>
                <w:sz w:val="18"/>
                <w:szCs w:val="18"/>
              </w:rPr>
              <w:sym w:font="Wingdings 2" w:char="00A3"/>
            </w:r>
          </w:p>
        </w:tc>
        <w:tc>
          <w:tcPr>
            <w:tcW w:w="1079" w:type="dxa"/>
            <w:tcBorders>
              <w:top w:val="single" w:color="000000" w:sz="6" w:space="0"/>
              <w:left w:val="nil"/>
              <w:bottom w:val="single" w:color="000000" w:sz="6" w:space="0"/>
              <w:right w:val="nil"/>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jc w:val="center"/>
        </w:trPr>
        <w:tc>
          <w:tcPr>
            <w:tcW w:w="399" w:type="dxa"/>
            <w:vMerge w:val="restart"/>
            <w:tcBorders>
              <w:top w:val="nil"/>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现状调查内容</w:t>
            </w:r>
          </w:p>
        </w:tc>
        <w:tc>
          <w:tcPr>
            <w:tcW w:w="1573" w:type="dxa"/>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资料收集</w:t>
            </w:r>
          </w:p>
        </w:tc>
        <w:tc>
          <w:tcPr>
            <w:tcW w:w="5676" w:type="dxa"/>
            <w:gridSpan w:val="8"/>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a）</w:t>
            </w:r>
            <w:r>
              <w:rPr>
                <w:rFonts w:hint="default" w:ascii="Times New Roman" w:hAnsi="Times New Roman" w:cs="Times New Roman"/>
                <w:color w:val="auto"/>
                <w:sz w:val="18"/>
                <w:szCs w:val="18"/>
              </w:rPr>
              <w:sym w:font="Wingdings 2" w:char="00A3"/>
            </w:r>
            <w:r>
              <w:rPr>
                <w:rFonts w:hint="default" w:ascii="Times New Roman" w:hAnsi="Times New Roman" w:cs="Times New Roman"/>
                <w:color w:val="auto"/>
                <w:sz w:val="18"/>
                <w:szCs w:val="18"/>
              </w:rPr>
              <w:t>；b）</w:t>
            </w:r>
            <w:r>
              <w:rPr>
                <w:rFonts w:hint="default" w:ascii="Times New Roman" w:hAnsi="Times New Roman" w:cs="Times New Roman"/>
                <w:color w:val="auto"/>
                <w:sz w:val="18"/>
                <w:szCs w:val="18"/>
              </w:rPr>
              <w:sym w:font="Wingdings 2" w:char="00A3"/>
            </w:r>
            <w:r>
              <w:rPr>
                <w:rFonts w:hint="default" w:ascii="Times New Roman" w:hAnsi="Times New Roman" w:cs="Times New Roman"/>
                <w:color w:val="auto"/>
                <w:sz w:val="18"/>
                <w:szCs w:val="18"/>
              </w:rPr>
              <w:t>；c）</w:t>
            </w:r>
            <w:r>
              <w:rPr>
                <w:rFonts w:hint="default" w:ascii="Times New Roman" w:hAnsi="Times New Roman" w:cs="Times New Roman"/>
                <w:color w:val="auto"/>
                <w:sz w:val="18"/>
                <w:szCs w:val="18"/>
              </w:rPr>
              <w:sym w:font="Wingdings 2" w:char="00A3"/>
            </w:r>
            <w:r>
              <w:rPr>
                <w:rFonts w:hint="default" w:ascii="Times New Roman" w:hAnsi="Times New Roman" w:cs="Times New Roman"/>
                <w:color w:val="auto"/>
                <w:sz w:val="18"/>
                <w:szCs w:val="18"/>
              </w:rPr>
              <w:t>；d）</w:t>
            </w:r>
            <w:r>
              <w:rPr>
                <w:rFonts w:hint="default" w:ascii="Times New Roman" w:hAnsi="Times New Roman" w:cs="Times New Roman"/>
                <w:color w:val="auto"/>
                <w:sz w:val="18"/>
                <w:szCs w:val="18"/>
              </w:rPr>
              <w:sym w:font="Wingdings 2" w:char="00A3"/>
            </w:r>
          </w:p>
        </w:tc>
        <w:tc>
          <w:tcPr>
            <w:tcW w:w="1079" w:type="dxa"/>
            <w:tcBorders>
              <w:top w:val="single" w:color="000000" w:sz="6" w:space="0"/>
              <w:left w:val="nil"/>
              <w:bottom w:val="single" w:color="000000" w:sz="6" w:space="0"/>
              <w:right w:val="nil"/>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jc w:val="center"/>
        </w:trPr>
        <w:tc>
          <w:tcPr>
            <w:tcW w:w="399" w:type="dxa"/>
            <w:vMerge w:val="continue"/>
            <w:tcBorders>
              <w:top w:val="nil"/>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rPr>
            </w:pPr>
          </w:p>
        </w:tc>
        <w:tc>
          <w:tcPr>
            <w:tcW w:w="1573" w:type="dxa"/>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理化特性</w:t>
            </w:r>
          </w:p>
        </w:tc>
        <w:tc>
          <w:tcPr>
            <w:tcW w:w="5676" w:type="dxa"/>
            <w:gridSpan w:val="8"/>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p>
        </w:tc>
        <w:tc>
          <w:tcPr>
            <w:tcW w:w="1079" w:type="dxa"/>
            <w:tcBorders>
              <w:top w:val="single" w:color="000000" w:sz="6" w:space="0"/>
              <w:left w:val="nil"/>
              <w:bottom w:val="single" w:color="000000" w:sz="6" w:space="0"/>
              <w:right w:val="nil"/>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9" w:hRule="atLeast"/>
          <w:jc w:val="center"/>
        </w:trPr>
        <w:tc>
          <w:tcPr>
            <w:tcW w:w="399" w:type="dxa"/>
            <w:vMerge w:val="continue"/>
            <w:tcBorders>
              <w:top w:val="nil"/>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rPr>
            </w:pPr>
          </w:p>
        </w:tc>
        <w:tc>
          <w:tcPr>
            <w:tcW w:w="1573" w:type="dxa"/>
            <w:vMerge w:val="restart"/>
            <w:tcBorders>
              <w:top w:val="nil"/>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现状监测点位</w:t>
            </w:r>
          </w:p>
        </w:tc>
        <w:tc>
          <w:tcPr>
            <w:tcW w:w="1327" w:type="dxa"/>
            <w:tcBorders>
              <w:top w:val="single" w:color="000000" w:sz="6" w:space="0"/>
              <w:left w:val="nil"/>
              <w:bottom w:val="single" w:color="000000" w:sz="4" w:space="0"/>
              <w:right w:val="single" w:color="000000" w:sz="4"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p>
        </w:tc>
        <w:tc>
          <w:tcPr>
            <w:tcW w:w="1314" w:type="dxa"/>
            <w:tcBorders>
              <w:top w:val="single" w:color="000000" w:sz="6" w:space="0"/>
              <w:left w:val="nil"/>
              <w:bottom w:val="single" w:color="000000" w:sz="4" w:space="0"/>
              <w:right w:val="single" w:color="000000" w:sz="4"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占地范围内</w:t>
            </w:r>
          </w:p>
        </w:tc>
        <w:tc>
          <w:tcPr>
            <w:tcW w:w="1190" w:type="dxa"/>
            <w:gridSpan w:val="2"/>
            <w:tcBorders>
              <w:top w:val="single" w:color="000000" w:sz="6" w:space="0"/>
              <w:left w:val="nil"/>
              <w:bottom w:val="single" w:color="000000" w:sz="4" w:space="0"/>
              <w:right w:val="single" w:color="000000" w:sz="4"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占地范围外</w:t>
            </w:r>
          </w:p>
        </w:tc>
        <w:tc>
          <w:tcPr>
            <w:tcW w:w="1845" w:type="dxa"/>
            <w:gridSpan w:val="4"/>
            <w:tcBorders>
              <w:top w:val="single" w:color="000000" w:sz="6" w:space="0"/>
              <w:left w:val="nil"/>
              <w:bottom w:val="single" w:color="000000" w:sz="4"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深度</w:t>
            </w:r>
          </w:p>
        </w:tc>
        <w:tc>
          <w:tcPr>
            <w:tcW w:w="1079" w:type="dxa"/>
            <w:vMerge w:val="restart"/>
            <w:tcBorders>
              <w:top w:val="single" w:color="000000" w:sz="6" w:space="0"/>
              <w:left w:val="nil"/>
              <w:bottom w:val="single" w:color="000000" w:sz="6" w:space="0"/>
              <w:right w:val="nil"/>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p>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jc w:val="center"/>
        </w:trPr>
        <w:tc>
          <w:tcPr>
            <w:tcW w:w="399" w:type="dxa"/>
            <w:vMerge w:val="continue"/>
            <w:tcBorders>
              <w:top w:val="nil"/>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rPr>
            </w:pPr>
          </w:p>
        </w:tc>
        <w:tc>
          <w:tcPr>
            <w:tcW w:w="1573" w:type="dxa"/>
            <w:vMerge w:val="continue"/>
            <w:tcBorders>
              <w:top w:val="nil"/>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rPr>
            </w:pPr>
          </w:p>
        </w:tc>
        <w:tc>
          <w:tcPr>
            <w:tcW w:w="1327" w:type="dxa"/>
            <w:tcBorders>
              <w:top w:val="single" w:color="000000" w:sz="4" w:space="0"/>
              <w:left w:val="nil"/>
              <w:bottom w:val="single" w:color="000000" w:sz="4" w:space="0"/>
              <w:right w:val="single" w:color="000000" w:sz="4"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表层样点数</w:t>
            </w:r>
          </w:p>
        </w:tc>
        <w:tc>
          <w:tcPr>
            <w:tcW w:w="1314" w:type="dxa"/>
            <w:tcBorders>
              <w:top w:val="single" w:color="000000" w:sz="4" w:space="0"/>
              <w:left w:val="nil"/>
              <w:bottom w:val="single" w:color="000000" w:sz="4" w:space="0"/>
              <w:right w:val="single" w:color="000000" w:sz="4"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3</w:t>
            </w:r>
          </w:p>
        </w:tc>
        <w:tc>
          <w:tcPr>
            <w:tcW w:w="1190" w:type="dxa"/>
            <w:gridSpan w:val="2"/>
            <w:tcBorders>
              <w:top w:val="single" w:color="000000" w:sz="4" w:space="0"/>
              <w:left w:val="nil"/>
              <w:bottom w:val="single" w:color="000000" w:sz="4" w:space="0"/>
              <w:right w:val="single" w:color="000000" w:sz="4"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0</w:t>
            </w:r>
          </w:p>
        </w:tc>
        <w:tc>
          <w:tcPr>
            <w:tcW w:w="1845" w:type="dxa"/>
            <w:gridSpan w:val="4"/>
            <w:tcBorders>
              <w:top w:val="single" w:color="000000" w:sz="4" w:space="0"/>
              <w:left w:val="nil"/>
              <w:bottom w:val="single" w:color="000000" w:sz="4"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0~0.2m</w:t>
            </w:r>
          </w:p>
        </w:tc>
        <w:tc>
          <w:tcPr>
            <w:tcW w:w="1079" w:type="dxa"/>
            <w:vMerge w:val="continue"/>
            <w:tcBorders>
              <w:top w:val="single" w:color="000000" w:sz="6" w:space="0"/>
              <w:left w:val="nil"/>
              <w:bottom w:val="single" w:color="000000" w:sz="6" w:space="0"/>
              <w:righ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4" w:hRule="atLeast"/>
          <w:jc w:val="center"/>
        </w:trPr>
        <w:tc>
          <w:tcPr>
            <w:tcW w:w="399" w:type="dxa"/>
            <w:vMerge w:val="continue"/>
            <w:tcBorders>
              <w:top w:val="nil"/>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rPr>
            </w:pPr>
          </w:p>
        </w:tc>
        <w:tc>
          <w:tcPr>
            <w:tcW w:w="1573" w:type="dxa"/>
            <w:vMerge w:val="continue"/>
            <w:tcBorders>
              <w:top w:val="nil"/>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rPr>
            </w:pPr>
          </w:p>
        </w:tc>
        <w:tc>
          <w:tcPr>
            <w:tcW w:w="1327" w:type="dxa"/>
            <w:tcBorders>
              <w:top w:val="single" w:color="000000" w:sz="4" w:space="0"/>
              <w:left w:val="nil"/>
              <w:bottom w:val="single" w:color="000000" w:sz="6" w:space="0"/>
              <w:right w:val="single" w:color="000000" w:sz="4"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柱状样点数</w:t>
            </w:r>
          </w:p>
        </w:tc>
        <w:tc>
          <w:tcPr>
            <w:tcW w:w="1314" w:type="dxa"/>
            <w:tcBorders>
              <w:top w:val="single" w:color="000000" w:sz="4" w:space="0"/>
              <w:left w:val="nil"/>
              <w:bottom w:val="single" w:color="000000" w:sz="6" w:space="0"/>
              <w:right w:val="single" w:color="000000" w:sz="4"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w:t>
            </w:r>
          </w:p>
        </w:tc>
        <w:tc>
          <w:tcPr>
            <w:tcW w:w="1190" w:type="dxa"/>
            <w:gridSpan w:val="2"/>
            <w:tcBorders>
              <w:top w:val="single" w:color="000000" w:sz="4" w:space="0"/>
              <w:left w:val="nil"/>
              <w:bottom w:val="single" w:color="000000" w:sz="6" w:space="0"/>
              <w:right w:val="single" w:color="000000" w:sz="4"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845" w:type="dxa"/>
            <w:gridSpan w:val="4"/>
            <w:tcBorders>
              <w:top w:val="single" w:color="000000" w:sz="4"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p>
        </w:tc>
        <w:tc>
          <w:tcPr>
            <w:tcW w:w="1079" w:type="dxa"/>
            <w:vMerge w:val="continue"/>
            <w:tcBorders>
              <w:top w:val="single" w:color="000000" w:sz="6" w:space="0"/>
              <w:left w:val="nil"/>
              <w:bottom w:val="single" w:color="000000" w:sz="6" w:space="0"/>
              <w:righ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jc w:val="center"/>
        </w:trPr>
        <w:tc>
          <w:tcPr>
            <w:tcW w:w="399" w:type="dxa"/>
            <w:vMerge w:val="continue"/>
            <w:tcBorders>
              <w:top w:val="nil"/>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rPr>
            </w:pPr>
          </w:p>
        </w:tc>
        <w:tc>
          <w:tcPr>
            <w:tcW w:w="1573" w:type="dxa"/>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现状监测因子</w:t>
            </w:r>
          </w:p>
        </w:tc>
        <w:tc>
          <w:tcPr>
            <w:tcW w:w="5676" w:type="dxa"/>
            <w:gridSpan w:val="8"/>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pH、镉、汞、砷、铅、铬、铜、锌、镍、</w:t>
            </w:r>
          </w:p>
        </w:tc>
        <w:tc>
          <w:tcPr>
            <w:tcW w:w="1079" w:type="dxa"/>
            <w:tcBorders>
              <w:top w:val="single" w:color="000000" w:sz="6" w:space="0"/>
              <w:left w:val="nil"/>
              <w:bottom w:val="single" w:color="000000" w:sz="6" w:space="0"/>
              <w:right w:val="nil"/>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jc w:val="center"/>
        </w:trPr>
        <w:tc>
          <w:tcPr>
            <w:tcW w:w="399" w:type="dxa"/>
            <w:vMerge w:val="restart"/>
            <w:tcBorders>
              <w:top w:val="nil"/>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现状评价</w:t>
            </w:r>
          </w:p>
        </w:tc>
        <w:tc>
          <w:tcPr>
            <w:tcW w:w="1573" w:type="dxa"/>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评价因子</w:t>
            </w:r>
          </w:p>
        </w:tc>
        <w:tc>
          <w:tcPr>
            <w:tcW w:w="5676" w:type="dxa"/>
            <w:gridSpan w:val="8"/>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pH、镉、汞、砷、铅、铬、铜、锌、镍</w:t>
            </w:r>
          </w:p>
        </w:tc>
        <w:tc>
          <w:tcPr>
            <w:tcW w:w="1079" w:type="dxa"/>
            <w:tcBorders>
              <w:top w:val="single" w:color="000000" w:sz="6" w:space="0"/>
              <w:left w:val="nil"/>
              <w:bottom w:val="single" w:color="000000" w:sz="6" w:space="0"/>
              <w:right w:val="nil"/>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jc w:val="center"/>
        </w:trPr>
        <w:tc>
          <w:tcPr>
            <w:tcW w:w="399" w:type="dxa"/>
            <w:vMerge w:val="continue"/>
            <w:tcBorders>
              <w:top w:val="nil"/>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rPr>
            </w:pPr>
          </w:p>
        </w:tc>
        <w:tc>
          <w:tcPr>
            <w:tcW w:w="1573" w:type="dxa"/>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评价标准</w:t>
            </w:r>
          </w:p>
        </w:tc>
        <w:tc>
          <w:tcPr>
            <w:tcW w:w="4714" w:type="dxa"/>
            <w:gridSpan w:val="6"/>
            <w:tcBorders>
              <w:top w:val="single" w:color="000000" w:sz="6" w:space="0"/>
              <w:left w:val="nil"/>
              <w:bottom w:val="single" w:color="000000" w:sz="6" w:space="0"/>
              <w:right w:val="nil"/>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GB 15618；GB 36600□；表D.1□；表 D.2□；其他（</w:t>
            </w:r>
          </w:p>
        </w:tc>
        <w:tc>
          <w:tcPr>
            <w:tcW w:w="405" w:type="dxa"/>
            <w:tcBorders>
              <w:top w:val="single" w:color="000000" w:sz="6" w:space="0"/>
              <w:left w:val="nil"/>
              <w:bottom w:val="single" w:color="000000" w:sz="6" w:space="0"/>
              <w:right w:val="nil"/>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557" w:type="dxa"/>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18"/>
                <w:szCs w:val="18"/>
              </w:rPr>
            </w:pPr>
          </w:p>
        </w:tc>
        <w:tc>
          <w:tcPr>
            <w:tcW w:w="1079" w:type="dxa"/>
            <w:tcBorders>
              <w:top w:val="single" w:color="000000" w:sz="6" w:space="0"/>
              <w:left w:val="nil"/>
              <w:bottom w:val="single" w:color="000000" w:sz="6" w:space="0"/>
              <w:right w:val="nil"/>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4" w:hRule="atLeast"/>
          <w:jc w:val="center"/>
        </w:trPr>
        <w:tc>
          <w:tcPr>
            <w:tcW w:w="399" w:type="dxa"/>
            <w:vMerge w:val="continue"/>
            <w:tcBorders>
              <w:top w:val="nil"/>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rPr>
            </w:pPr>
          </w:p>
        </w:tc>
        <w:tc>
          <w:tcPr>
            <w:tcW w:w="1573" w:type="dxa"/>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现状评价结论</w:t>
            </w:r>
          </w:p>
        </w:tc>
        <w:tc>
          <w:tcPr>
            <w:tcW w:w="5676" w:type="dxa"/>
            <w:gridSpan w:val="8"/>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各项因子均能满足《土壤环境质量 农用地土壤污染风险管控标准》（GB15618-2018）标准要求</w:t>
            </w:r>
            <w:r>
              <w:rPr>
                <w:rFonts w:hint="default" w:ascii="Times New Roman" w:hAnsi="Times New Roman" w:cs="Times New Roman"/>
                <w:color w:val="auto"/>
                <w:sz w:val="24"/>
                <w:szCs w:val="24"/>
              </w:rPr>
              <w:t>，</w:t>
            </w:r>
            <w:r>
              <w:rPr>
                <w:rFonts w:hint="default" w:ascii="Times New Roman" w:hAnsi="Times New Roman" w:cs="Times New Roman"/>
                <w:color w:val="auto"/>
                <w:sz w:val="18"/>
                <w:szCs w:val="18"/>
              </w:rPr>
              <w:t>项目所在区域土壤环境较好</w:t>
            </w:r>
          </w:p>
        </w:tc>
        <w:tc>
          <w:tcPr>
            <w:tcW w:w="1079" w:type="dxa"/>
            <w:tcBorders>
              <w:top w:val="single" w:color="000000" w:sz="6" w:space="0"/>
              <w:left w:val="nil"/>
              <w:bottom w:val="single" w:color="000000" w:sz="6" w:space="0"/>
              <w:right w:val="nil"/>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jc w:val="center"/>
        </w:trPr>
        <w:tc>
          <w:tcPr>
            <w:tcW w:w="399" w:type="dxa"/>
            <w:vMerge w:val="restart"/>
            <w:tcBorders>
              <w:top w:val="nil"/>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影响预测</w:t>
            </w:r>
          </w:p>
        </w:tc>
        <w:tc>
          <w:tcPr>
            <w:tcW w:w="1573" w:type="dxa"/>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预测因子</w:t>
            </w:r>
          </w:p>
        </w:tc>
        <w:tc>
          <w:tcPr>
            <w:tcW w:w="5676" w:type="dxa"/>
            <w:gridSpan w:val="8"/>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w:t>
            </w:r>
          </w:p>
        </w:tc>
        <w:tc>
          <w:tcPr>
            <w:tcW w:w="1079" w:type="dxa"/>
            <w:tcBorders>
              <w:top w:val="single" w:color="000000" w:sz="6" w:space="0"/>
              <w:left w:val="nil"/>
              <w:bottom w:val="single" w:color="000000" w:sz="6" w:space="0"/>
              <w:right w:val="nil"/>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jc w:val="center"/>
        </w:trPr>
        <w:tc>
          <w:tcPr>
            <w:tcW w:w="399" w:type="dxa"/>
            <w:vMerge w:val="continue"/>
            <w:tcBorders>
              <w:top w:val="nil"/>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rPr>
            </w:pPr>
          </w:p>
        </w:tc>
        <w:tc>
          <w:tcPr>
            <w:tcW w:w="1573" w:type="dxa"/>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预测方法</w:t>
            </w:r>
          </w:p>
        </w:tc>
        <w:tc>
          <w:tcPr>
            <w:tcW w:w="5676" w:type="dxa"/>
            <w:gridSpan w:val="8"/>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附录</w:t>
            </w:r>
            <w:r>
              <w:rPr>
                <w:rFonts w:hint="default" w:ascii="Times New Roman" w:hAnsi="Times New Roman" w:cs="Times New Roman"/>
                <w:color w:val="auto"/>
                <w:spacing w:val="-46"/>
                <w:sz w:val="18"/>
                <w:szCs w:val="18"/>
              </w:rPr>
              <w:t> </w:t>
            </w:r>
            <w:r>
              <w:rPr>
                <w:rFonts w:hint="default" w:ascii="Times New Roman" w:hAnsi="Times New Roman" w:cs="Times New Roman"/>
                <w:color w:val="auto"/>
                <w:sz w:val="18"/>
                <w:szCs w:val="18"/>
              </w:rPr>
              <w:t>E□；附录</w:t>
            </w:r>
            <w:r>
              <w:rPr>
                <w:rFonts w:hint="default" w:ascii="Times New Roman" w:hAnsi="Times New Roman" w:cs="Times New Roman"/>
                <w:color w:val="auto"/>
                <w:spacing w:val="-45"/>
                <w:sz w:val="18"/>
                <w:szCs w:val="18"/>
              </w:rPr>
              <w:t> </w:t>
            </w:r>
            <w:r>
              <w:rPr>
                <w:rFonts w:hint="default" w:ascii="Times New Roman" w:hAnsi="Times New Roman" w:cs="Times New Roman"/>
                <w:color w:val="auto"/>
                <w:sz w:val="18"/>
                <w:szCs w:val="18"/>
              </w:rPr>
              <w:t>F□；其他（定性分析）</w:t>
            </w:r>
          </w:p>
        </w:tc>
        <w:tc>
          <w:tcPr>
            <w:tcW w:w="1079" w:type="dxa"/>
            <w:tcBorders>
              <w:top w:val="single" w:color="000000" w:sz="6" w:space="0"/>
              <w:left w:val="nil"/>
              <w:bottom w:val="single" w:color="000000" w:sz="6" w:space="0"/>
              <w:right w:val="nil"/>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jc w:val="center"/>
        </w:trPr>
        <w:tc>
          <w:tcPr>
            <w:tcW w:w="399" w:type="dxa"/>
            <w:vMerge w:val="continue"/>
            <w:tcBorders>
              <w:top w:val="nil"/>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rPr>
            </w:pPr>
          </w:p>
        </w:tc>
        <w:tc>
          <w:tcPr>
            <w:tcW w:w="1573" w:type="dxa"/>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预测分析内容</w:t>
            </w:r>
          </w:p>
        </w:tc>
        <w:tc>
          <w:tcPr>
            <w:tcW w:w="5676" w:type="dxa"/>
            <w:gridSpan w:val="8"/>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影响范围（</w:t>
            </w:r>
            <w:r>
              <w:rPr>
                <w:rFonts w:hint="default" w:ascii="Times New Roman" w:hAnsi="Times New Roman" w:cs="Times New Roman"/>
                <w:color w:val="auto"/>
                <w:sz w:val="18"/>
                <w:szCs w:val="18"/>
              </w:rPr>
              <w:tab/>
            </w:r>
            <w:r>
              <w:rPr>
                <w:rFonts w:hint="default" w:ascii="Times New Roman" w:hAnsi="Times New Roman" w:cs="Times New Roman"/>
                <w:color w:val="auto"/>
                <w:sz w:val="18"/>
                <w:szCs w:val="18"/>
              </w:rPr>
              <w:t>）</w:t>
            </w:r>
          </w:p>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影响程度（</w:t>
            </w:r>
            <w:r>
              <w:rPr>
                <w:rFonts w:hint="default" w:ascii="Times New Roman" w:hAnsi="Times New Roman" w:cs="Times New Roman"/>
                <w:color w:val="auto"/>
                <w:sz w:val="18"/>
                <w:szCs w:val="18"/>
              </w:rPr>
              <w:tab/>
            </w:r>
            <w:r>
              <w:rPr>
                <w:rFonts w:hint="default" w:ascii="Times New Roman" w:hAnsi="Times New Roman" w:cs="Times New Roman"/>
                <w:color w:val="auto"/>
                <w:sz w:val="18"/>
                <w:szCs w:val="18"/>
              </w:rPr>
              <w:t>）</w:t>
            </w:r>
          </w:p>
        </w:tc>
        <w:tc>
          <w:tcPr>
            <w:tcW w:w="1079" w:type="dxa"/>
            <w:tcBorders>
              <w:top w:val="single" w:color="000000" w:sz="6" w:space="0"/>
              <w:left w:val="nil"/>
              <w:bottom w:val="single" w:color="000000" w:sz="6" w:space="0"/>
              <w:right w:val="nil"/>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jc w:val="center"/>
        </w:trPr>
        <w:tc>
          <w:tcPr>
            <w:tcW w:w="399" w:type="dxa"/>
            <w:vMerge w:val="continue"/>
            <w:tcBorders>
              <w:top w:val="nil"/>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rPr>
            </w:pPr>
          </w:p>
        </w:tc>
        <w:tc>
          <w:tcPr>
            <w:tcW w:w="1573" w:type="dxa"/>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预测结论</w:t>
            </w:r>
          </w:p>
        </w:tc>
        <w:tc>
          <w:tcPr>
            <w:tcW w:w="5676" w:type="dxa"/>
            <w:gridSpan w:val="8"/>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达标结论：a）；b）□；c）□</w:t>
            </w:r>
          </w:p>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不达标结论：a）□；b）□</w:t>
            </w:r>
          </w:p>
        </w:tc>
        <w:tc>
          <w:tcPr>
            <w:tcW w:w="1079" w:type="dxa"/>
            <w:tcBorders>
              <w:top w:val="single" w:color="000000" w:sz="6" w:space="0"/>
              <w:left w:val="nil"/>
              <w:bottom w:val="single" w:color="000000" w:sz="6" w:space="0"/>
              <w:right w:val="nil"/>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jc w:val="center"/>
        </w:trPr>
        <w:tc>
          <w:tcPr>
            <w:tcW w:w="399" w:type="dxa"/>
            <w:vMerge w:val="restart"/>
            <w:tcBorders>
              <w:top w:val="nil"/>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防治措施</w:t>
            </w:r>
          </w:p>
        </w:tc>
        <w:tc>
          <w:tcPr>
            <w:tcW w:w="1573" w:type="dxa"/>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防控措施</w:t>
            </w:r>
          </w:p>
        </w:tc>
        <w:tc>
          <w:tcPr>
            <w:tcW w:w="4714" w:type="dxa"/>
            <w:gridSpan w:val="6"/>
            <w:tcBorders>
              <w:top w:val="single" w:color="000000" w:sz="6" w:space="0"/>
              <w:left w:val="nil"/>
              <w:bottom w:val="single" w:color="000000" w:sz="6" w:space="0"/>
              <w:right w:val="nil"/>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土壤环境质量现状保障□；源头控制；过程防控□；其他（</w:t>
            </w:r>
          </w:p>
        </w:tc>
        <w:tc>
          <w:tcPr>
            <w:tcW w:w="405" w:type="dxa"/>
            <w:tcBorders>
              <w:top w:val="single" w:color="000000" w:sz="6" w:space="0"/>
              <w:left w:val="nil"/>
              <w:bottom w:val="single" w:color="000000" w:sz="6" w:space="0"/>
              <w:right w:val="nil"/>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18"/>
                <w:szCs w:val="18"/>
              </w:rPr>
            </w:pPr>
          </w:p>
        </w:tc>
        <w:tc>
          <w:tcPr>
            <w:tcW w:w="557" w:type="dxa"/>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079" w:type="dxa"/>
            <w:tcBorders>
              <w:top w:val="single" w:color="000000" w:sz="6" w:space="0"/>
              <w:left w:val="nil"/>
              <w:bottom w:val="single" w:color="000000" w:sz="6" w:space="0"/>
              <w:right w:val="nil"/>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jc w:val="center"/>
        </w:trPr>
        <w:tc>
          <w:tcPr>
            <w:tcW w:w="399" w:type="dxa"/>
            <w:vMerge w:val="continue"/>
            <w:tcBorders>
              <w:top w:val="nil"/>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rPr>
            </w:pPr>
          </w:p>
        </w:tc>
        <w:tc>
          <w:tcPr>
            <w:tcW w:w="1573" w:type="dxa"/>
            <w:vMerge w:val="restart"/>
            <w:tcBorders>
              <w:top w:val="nil"/>
              <w:left w:val="nil"/>
              <w:bottom w:val="single" w:color="000000" w:sz="4"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跟踪监测</w:t>
            </w:r>
          </w:p>
        </w:tc>
        <w:tc>
          <w:tcPr>
            <w:tcW w:w="2763" w:type="dxa"/>
            <w:gridSpan w:val="3"/>
            <w:tcBorders>
              <w:top w:val="single" w:color="000000" w:sz="6" w:space="0"/>
              <w:left w:val="nil"/>
              <w:bottom w:val="single" w:color="000000" w:sz="6" w:space="0"/>
              <w:right w:val="single" w:color="000000" w:sz="4"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监测点数</w:t>
            </w:r>
          </w:p>
        </w:tc>
        <w:tc>
          <w:tcPr>
            <w:tcW w:w="1522" w:type="dxa"/>
            <w:gridSpan w:val="2"/>
            <w:tcBorders>
              <w:top w:val="single" w:color="000000" w:sz="6" w:space="0"/>
              <w:left w:val="nil"/>
              <w:bottom w:val="single" w:color="000000" w:sz="6" w:space="0"/>
              <w:right w:val="single" w:color="000000" w:sz="4"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监测指标</w:t>
            </w:r>
          </w:p>
        </w:tc>
        <w:tc>
          <w:tcPr>
            <w:tcW w:w="1391" w:type="dxa"/>
            <w:gridSpan w:val="3"/>
            <w:tcBorders>
              <w:top w:val="single" w:color="000000" w:sz="6"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监测频次</w:t>
            </w:r>
          </w:p>
        </w:tc>
        <w:tc>
          <w:tcPr>
            <w:tcW w:w="1079" w:type="dxa"/>
            <w:vMerge w:val="restart"/>
            <w:tcBorders>
              <w:top w:val="nil"/>
              <w:left w:val="nil"/>
              <w:bottom w:val="single" w:color="000000" w:sz="6" w:space="0"/>
              <w:right w:val="nil"/>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9" w:hRule="atLeast"/>
          <w:jc w:val="center"/>
        </w:trPr>
        <w:tc>
          <w:tcPr>
            <w:tcW w:w="399" w:type="dxa"/>
            <w:vMerge w:val="continue"/>
            <w:tcBorders>
              <w:top w:val="nil"/>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rPr>
            </w:pPr>
          </w:p>
        </w:tc>
        <w:tc>
          <w:tcPr>
            <w:tcW w:w="1573" w:type="dxa"/>
            <w:vMerge w:val="continue"/>
            <w:tcBorders>
              <w:top w:val="nil"/>
              <w:left w:val="nil"/>
              <w:bottom w:val="single" w:color="000000" w:sz="4"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rPr>
            </w:pPr>
          </w:p>
        </w:tc>
        <w:tc>
          <w:tcPr>
            <w:tcW w:w="2763" w:type="dxa"/>
            <w:gridSpan w:val="3"/>
            <w:tcBorders>
              <w:top w:val="single" w:color="000000" w:sz="6" w:space="0"/>
              <w:left w:val="nil"/>
              <w:bottom w:val="single" w:color="000000" w:sz="4" w:space="0"/>
              <w:right w:val="single" w:color="000000" w:sz="4"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522" w:type="dxa"/>
            <w:gridSpan w:val="2"/>
            <w:tcBorders>
              <w:top w:val="single" w:color="000000" w:sz="6" w:space="0"/>
              <w:left w:val="nil"/>
              <w:bottom w:val="nil"/>
              <w:right w:val="single" w:color="000000" w:sz="4"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p>
        </w:tc>
        <w:tc>
          <w:tcPr>
            <w:tcW w:w="1391" w:type="dxa"/>
            <w:gridSpan w:val="3"/>
            <w:tcBorders>
              <w:top w:val="single" w:color="000000" w:sz="6" w:space="0"/>
              <w:left w:val="nil"/>
              <w:bottom w:val="single" w:color="000000" w:sz="4"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1次/3年</w:t>
            </w:r>
          </w:p>
        </w:tc>
        <w:tc>
          <w:tcPr>
            <w:tcW w:w="1079" w:type="dxa"/>
            <w:vMerge w:val="continue"/>
            <w:tcBorders>
              <w:top w:val="nil"/>
              <w:left w:val="nil"/>
              <w:bottom w:val="single" w:color="000000" w:sz="6" w:space="0"/>
              <w:righ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3" w:hRule="atLeast"/>
          <w:jc w:val="center"/>
        </w:trPr>
        <w:tc>
          <w:tcPr>
            <w:tcW w:w="399" w:type="dxa"/>
            <w:vMerge w:val="continue"/>
            <w:tcBorders>
              <w:top w:val="nil"/>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rPr>
            </w:pPr>
          </w:p>
        </w:tc>
        <w:tc>
          <w:tcPr>
            <w:tcW w:w="1573" w:type="dxa"/>
            <w:tcBorders>
              <w:top w:val="single" w:color="000000" w:sz="4"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信息公开指标</w:t>
            </w:r>
          </w:p>
        </w:tc>
        <w:tc>
          <w:tcPr>
            <w:tcW w:w="5676" w:type="dxa"/>
            <w:gridSpan w:val="8"/>
            <w:tcBorders>
              <w:top w:val="single" w:color="000000" w:sz="4" w:space="0"/>
              <w:left w:val="nil"/>
              <w:bottom w:val="single" w:color="000000" w:sz="6"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p>
        </w:tc>
        <w:tc>
          <w:tcPr>
            <w:tcW w:w="1079" w:type="dxa"/>
            <w:vMerge w:val="continue"/>
            <w:tcBorders>
              <w:top w:val="nil"/>
              <w:left w:val="nil"/>
              <w:bottom w:val="single" w:color="000000" w:sz="6" w:space="0"/>
              <w:righ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jc w:val="center"/>
        </w:trPr>
        <w:tc>
          <w:tcPr>
            <w:tcW w:w="1972" w:type="dxa"/>
            <w:gridSpan w:val="2"/>
            <w:tcBorders>
              <w:top w:val="single" w:color="000000" w:sz="6" w:space="0"/>
              <w:left w:val="nil"/>
              <w:bottom w:val="single" w:color="000000" w:sz="8" w:space="0"/>
              <w:right w:val="single" w:color="000000" w:sz="6" w:space="0"/>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评价结论</w:t>
            </w:r>
          </w:p>
        </w:tc>
        <w:tc>
          <w:tcPr>
            <w:tcW w:w="5676" w:type="dxa"/>
            <w:gridSpan w:val="8"/>
            <w:tcBorders>
              <w:top w:val="single" w:color="000000" w:sz="6" w:space="0"/>
              <w:left w:val="nil"/>
              <w:bottom w:val="single" w:color="000000" w:sz="8" w:space="0"/>
              <w:right w:val="single" w:color="000000" w:sz="6"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本项目产生的废水属于有机废水不存在重金属等污染物，不涉及土壤持久性污染，废水中污染物易吸附降解，不会对土壤质量产生明显恶化影响，在采取保护措施后影响可以接受</w:t>
            </w:r>
          </w:p>
        </w:tc>
        <w:tc>
          <w:tcPr>
            <w:tcW w:w="1079" w:type="dxa"/>
            <w:tcBorders>
              <w:top w:val="single" w:color="000000" w:sz="6" w:space="0"/>
              <w:left w:val="nil"/>
              <w:bottom w:val="single" w:color="000000" w:sz="8" w:space="0"/>
              <w:right w:val="nil"/>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18"/>
                <w:szCs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jc w:val="center"/>
        </w:trPr>
        <w:tc>
          <w:tcPr>
            <w:tcW w:w="8727" w:type="dxa"/>
            <w:gridSpan w:val="11"/>
            <w:tcBorders>
              <w:top w:val="single" w:color="000000" w:sz="8" w:space="0"/>
              <w:left w:val="nil"/>
              <w:bottom w:val="single" w:color="000000" w:sz="8" w:space="0"/>
              <w:right w:val="nil"/>
            </w:tcBorders>
            <w:noWrap w:val="0"/>
            <w:vAlign w:val="center"/>
          </w:tcPr>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注 1：“□”为勾选项，可√；“（ ）”为内容填写项；“备注”为其他补充内容。</w:t>
            </w:r>
          </w:p>
          <w:p>
            <w:pPr>
              <w:pStyle w:val="40"/>
              <w:keepNext w:val="0"/>
              <w:keepLines w:val="0"/>
              <w:pageBreakBefore w:val="0"/>
              <w:kinsoku/>
              <w:wordWrap/>
              <w:overflowPunct/>
              <w:topLinePunct w:val="0"/>
              <w:autoSpaceDE/>
              <w:autoSpaceDN/>
              <w:bidi w:val="0"/>
              <w:adjustRightInd w:val="0"/>
              <w:snapToGrid w:val="0"/>
              <w:spacing w:line="240" w:lineRule="auto"/>
              <w:ind w:left="0" w:leftChars="0" w:firstLine="0" w:firstLineChars="0"/>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注 2：需要分别开展土壤环境影响评级工作的，分别填写自查表。</w:t>
            </w:r>
          </w:p>
        </w:tc>
      </w:tr>
    </w:tbl>
    <w:p>
      <w:pPr>
        <w:ind w:firstLine="0" w:firstLineChars="0"/>
        <w:jc w:val="left"/>
        <w:rPr>
          <w:rFonts w:hint="default" w:ascii="Times New Roman" w:hAnsi="Times New Roman" w:cs="Times New Roman"/>
          <w:b/>
          <w:bCs/>
          <w:color w:val="auto"/>
        </w:rPr>
      </w:pPr>
      <w:r>
        <w:rPr>
          <w:rFonts w:hint="default" w:ascii="Times New Roman" w:hAnsi="Times New Roman" w:cs="Times New Roman"/>
          <w:b/>
          <w:bCs/>
          <w:color w:val="auto"/>
        </w:rPr>
        <w:t>5.2.7 项目生态环境影响分析</w:t>
      </w:r>
      <w:bookmarkEnd w:id="564"/>
    </w:p>
    <w:p>
      <w:pPr>
        <w:ind w:firstLine="480"/>
        <w:rPr>
          <w:rFonts w:hint="default" w:ascii="Times New Roman" w:hAnsi="Times New Roman" w:cs="Times New Roman"/>
          <w:color w:val="auto"/>
        </w:rPr>
      </w:pPr>
      <w:r>
        <w:rPr>
          <w:rFonts w:hint="default" w:ascii="Times New Roman" w:hAnsi="Times New Roman" w:cs="Times New Roman"/>
          <w:color w:val="auto"/>
        </w:rPr>
        <w:t>本项目区地势平坦，在施工过程中因降雨、地表开挖和弃土弃渣处置不当，可能会引起不同程度的水土流失及生态破坏。</w:t>
      </w:r>
    </w:p>
    <w:p>
      <w:pPr>
        <w:ind w:firstLine="482"/>
        <w:rPr>
          <w:rFonts w:hint="default" w:ascii="Times New Roman" w:hAnsi="Times New Roman" w:cs="Times New Roman"/>
          <w:b/>
          <w:bCs/>
          <w:color w:val="auto"/>
        </w:rPr>
      </w:pPr>
      <w:r>
        <w:rPr>
          <w:rFonts w:hint="default" w:ascii="Times New Roman" w:hAnsi="Times New Roman" w:cs="Times New Roman"/>
          <w:b/>
          <w:bCs/>
          <w:color w:val="auto"/>
        </w:rPr>
        <w:t>5.2.7.1项目对周围的生态破坏</w:t>
      </w:r>
    </w:p>
    <w:p>
      <w:pPr>
        <w:ind w:firstLine="480"/>
        <w:rPr>
          <w:rFonts w:hint="default" w:ascii="Times New Roman" w:hAnsi="Times New Roman" w:cs="Times New Roman"/>
          <w:color w:val="auto"/>
        </w:rPr>
      </w:pPr>
      <w:r>
        <w:rPr>
          <w:rFonts w:hint="default" w:ascii="Times New Roman" w:hAnsi="Times New Roman" w:cs="Times New Roman"/>
          <w:color w:val="auto"/>
        </w:rPr>
        <w:t>在项目建设过程中，评价区的植被（主要为农作物）将受到不同程度的占压或毁坏。在施工过程中，开挖处或者清理的植被均遭到永久性毁坏，对生物环境造成破坏，影响动物的正常生长。同时，项目建成后，由于永久占地的影响，使得项目占地范围内的土地用途发生改变，场区内原有植被破坏，原有野生动物环境发生改变。经分析，项目生态破坏主要表现在以下几个方面：</w:t>
      </w:r>
    </w:p>
    <w:p>
      <w:pPr>
        <w:pStyle w:val="11"/>
        <w:adjustRightInd/>
        <w:snapToGrid/>
        <w:spacing w:after="0"/>
        <w:ind w:firstLine="480"/>
        <w:jc w:val="left"/>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eastAsia="Times New Roman" w:cs="Times New Roman"/>
          <w:color w:val="auto"/>
        </w:rPr>
        <w:t>1</w:t>
      </w:r>
      <w:r>
        <w:rPr>
          <w:rFonts w:hint="default" w:ascii="Times New Roman" w:hAnsi="Times New Roman" w:cs="Times New Roman"/>
          <w:color w:val="auto"/>
        </w:rPr>
        <w:t>）土地功能变化</w:t>
      </w:r>
      <w:r>
        <w:rPr>
          <w:rFonts w:hint="default" w:ascii="Times New Roman" w:hAnsi="Times New Roman" w:cs="Times New Roman"/>
          <w:color w:val="auto"/>
          <w:spacing w:val="-3"/>
        </w:rPr>
        <w:t>根据现状调查，本项目用地原为一般</w:t>
      </w:r>
      <w:r>
        <w:rPr>
          <w:rFonts w:hint="default" w:ascii="Times New Roman" w:hAnsi="Times New Roman" w:cs="Times New Roman"/>
          <w:color w:val="auto"/>
          <w:spacing w:val="-3"/>
          <w:lang w:eastAsia="zh-CN"/>
        </w:rPr>
        <w:t>耕地</w:t>
      </w:r>
      <w:r>
        <w:rPr>
          <w:rFonts w:hint="default" w:ascii="Times New Roman" w:hAnsi="Times New Roman" w:cs="Times New Roman"/>
          <w:color w:val="auto"/>
          <w:spacing w:val="-3"/>
        </w:rPr>
        <w:t>，项目建成后将完全改变土地利用</w:t>
      </w:r>
      <w:r>
        <w:rPr>
          <w:rFonts w:hint="default" w:ascii="Times New Roman" w:hAnsi="Times New Roman" w:cs="Times New Roman"/>
          <w:color w:val="auto"/>
        </w:rPr>
        <w:t>状况，变为养殖场区建设用地，失去其原有功能。</w:t>
      </w:r>
    </w:p>
    <w:p>
      <w:pPr>
        <w:pStyle w:val="11"/>
        <w:adjustRightInd/>
        <w:snapToGrid/>
        <w:ind w:firstLine="480"/>
        <w:jc w:val="left"/>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eastAsia="Times New Roman" w:cs="Times New Roman"/>
          <w:color w:val="auto"/>
        </w:rPr>
        <w:t>2</w:t>
      </w:r>
      <w:r>
        <w:rPr>
          <w:rFonts w:hint="default" w:ascii="Times New Roman" w:hAnsi="Times New Roman" w:cs="Times New Roman"/>
          <w:color w:val="auto"/>
        </w:rPr>
        <w:t xml:space="preserve">）对植被的影响 </w:t>
      </w:r>
      <w:r>
        <w:rPr>
          <w:rFonts w:hint="default" w:ascii="Times New Roman" w:hAnsi="Times New Roman" w:cs="Times New Roman"/>
          <w:color w:val="auto"/>
          <w:spacing w:val="-3"/>
        </w:rPr>
        <w:t>项目建设过程中场地开挖和清理及建成后各建筑物的占用，对项目区内及附</w:t>
      </w:r>
      <w:r>
        <w:rPr>
          <w:rFonts w:hint="default" w:ascii="Times New Roman" w:hAnsi="Times New Roman" w:cs="Times New Roman"/>
          <w:color w:val="auto"/>
          <w:spacing w:val="3"/>
        </w:rPr>
        <w:t>近的植被将造成不同程度的占压和毁坏，致使区内原有的植被生态系统不复存</w:t>
      </w:r>
      <w:r>
        <w:rPr>
          <w:rFonts w:hint="default" w:ascii="Times New Roman" w:hAnsi="Times New Roman" w:cs="Times New Roman"/>
          <w:color w:val="auto"/>
          <w:spacing w:val="-3"/>
        </w:rPr>
        <w:t>在，造成永久性的毁坏。项目建成后，将对场区内进行绿化，能在一定程度上补</w:t>
      </w:r>
      <w:r>
        <w:rPr>
          <w:rFonts w:hint="default" w:ascii="Times New Roman" w:hAnsi="Times New Roman" w:cs="Times New Roman"/>
          <w:color w:val="auto"/>
        </w:rPr>
        <w:t>偿对原有生态的影响，并能使项目与周围环境更加协调，起到美化环境的效果。</w:t>
      </w:r>
    </w:p>
    <w:p>
      <w:pPr>
        <w:adjustRightInd/>
        <w:snapToGrid/>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eastAsia="Times New Roman" w:cs="Times New Roman"/>
          <w:color w:val="auto"/>
        </w:rPr>
        <w:t>3</w:t>
      </w:r>
      <w:r>
        <w:rPr>
          <w:rFonts w:hint="default" w:ascii="Times New Roman" w:hAnsi="Times New Roman" w:cs="Times New Roman"/>
          <w:color w:val="auto"/>
        </w:rPr>
        <w:t>）对动物的影响</w:t>
      </w:r>
      <w:r>
        <w:rPr>
          <w:rFonts w:hint="default" w:ascii="Times New Roman" w:hAnsi="Times New Roman" w:cs="Times New Roman"/>
          <w:color w:val="auto"/>
          <w:spacing w:val="-3"/>
        </w:rPr>
        <w:t>项目的建设，引起项目区及周边人员活动增加，交通噪声、废气、废水等污染物的排放增加，必然使原有野生动物生境发生改变，对区域原有的动物产生严重的影响，同时，项目永久占地促使当地原有对环境比较敏感的野生动物将进行</w:t>
      </w:r>
      <w:r>
        <w:rPr>
          <w:rFonts w:hint="default" w:ascii="Times New Roman" w:hAnsi="Times New Roman" w:cs="Times New Roman"/>
          <w:color w:val="auto"/>
          <w:spacing w:val="-105"/>
        </w:rPr>
        <w:t xml:space="preserve"> </w:t>
      </w:r>
      <w:r>
        <w:rPr>
          <w:rFonts w:hint="default" w:ascii="Times New Roman" w:hAnsi="Times New Roman" w:cs="Times New Roman"/>
          <w:color w:val="auto"/>
          <w:spacing w:val="-3"/>
        </w:rPr>
        <w:t>迁移，远离该区域，但一些适应能力较强的野生动物则会增加，对当地的野生生</w:t>
      </w:r>
      <w:r>
        <w:rPr>
          <w:rFonts w:hint="default" w:ascii="Times New Roman" w:hAnsi="Times New Roman" w:cs="Times New Roman"/>
          <w:color w:val="auto"/>
          <w:spacing w:val="-107"/>
        </w:rPr>
        <w:t xml:space="preserve"> </w:t>
      </w:r>
      <w:r>
        <w:rPr>
          <w:rFonts w:hint="default" w:ascii="Times New Roman" w:hAnsi="Times New Roman" w:cs="Times New Roman"/>
          <w:color w:val="auto"/>
          <w:spacing w:val="-3"/>
        </w:rPr>
        <w:t>态系统产生一定程度的影响，并改变区域生态系统结构，但由于项目场区所占面</w:t>
      </w:r>
      <w:r>
        <w:rPr>
          <w:rFonts w:hint="default" w:ascii="Times New Roman" w:hAnsi="Times New Roman" w:cs="Times New Roman"/>
          <w:color w:val="auto"/>
          <w:spacing w:val="-105"/>
        </w:rPr>
        <w:t xml:space="preserve"> </w:t>
      </w:r>
      <w:r>
        <w:rPr>
          <w:rFonts w:hint="default" w:ascii="Times New Roman" w:hAnsi="Times New Roman" w:cs="Times New Roman"/>
          <w:color w:val="auto"/>
        </w:rPr>
        <w:t>积相对区域面积而言，比例很小，因此对动物生态系统影响有限。</w:t>
      </w:r>
    </w:p>
    <w:p>
      <w:pPr>
        <w:pStyle w:val="11"/>
        <w:adjustRightInd/>
        <w:snapToGrid/>
        <w:spacing w:after="0"/>
        <w:ind w:firstLine="480"/>
        <w:jc w:val="left"/>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eastAsia="Times New Roman" w:cs="Times New Roman"/>
          <w:color w:val="auto"/>
        </w:rPr>
        <w:t>4</w:t>
      </w:r>
      <w:r>
        <w:rPr>
          <w:rFonts w:hint="default" w:ascii="Times New Roman" w:hAnsi="Times New Roman" w:cs="Times New Roman"/>
          <w:color w:val="auto"/>
        </w:rPr>
        <w:t>）生态结构与功能变化</w:t>
      </w:r>
      <w:r>
        <w:rPr>
          <w:rFonts w:hint="default" w:ascii="Times New Roman" w:hAnsi="Times New Roman" w:cs="Times New Roman"/>
          <w:color w:val="auto"/>
          <w:spacing w:val="-3"/>
        </w:rPr>
        <w:t>项目建成后，局部地块农业生态系统消失，系统中原有的以种植农作物产生的能流、物流、信息流将消失，取而代之的是新的系统，并将超过原有农业生态系统，更超过自然生态系统。根据对当地种植情况的</w:t>
      </w:r>
      <w:r>
        <w:rPr>
          <w:rFonts w:hint="default" w:ascii="Times New Roman" w:hAnsi="Times New Roman" w:cs="Times New Roman"/>
          <w:color w:val="auto"/>
          <w:spacing w:val="-3"/>
          <w:highlight w:val="none"/>
        </w:rPr>
        <w:t>调查，目前</w:t>
      </w:r>
      <w:r>
        <w:rPr>
          <w:rFonts w:hint="default" w:ascii="Times New Roman" w:hAnsi="Times New Roman" w:cs="Times New Roman"/>
          <w:color w:val="auto"/>
          <w:spacing w:val="-3"/>
          <w:highlight w:val="none"/>
          <w:lang w:eastAsia="zh-CN"/>
        </w:rPr>
        <w:t>清丰县</w:t>
      </w:r>
      <w:r>
        <w:rPr>
          <w:rFonts w:hint="default" w:ascii="Times New Roman" w:hAnsi="Times New Roman" w:cs="Times New Roman"/>
          <w:color w:val="auto"/>
          <w:spacing w:val="-3"/>
          <w:highlight w:val="none"/>
        </w:rPr>
        <w:t>地区种植为</w:t>
      </w:r>
      <w:r>
        <w:rPr>
          <w:rFonts w:hint="default" w:ascii="Times New Roman" w:hAnsi="Times New Roman" w:cs="Times New Roman"/>
          <w:color w:val="auto"/>
          <w:spacing w:val="3"/>
          <w:highlight w:val="none"/>
        </w:rPr>
        <w:t>一年两熟，夏季收获以小麦为主、</w:t>
      </w:r>
      <w:r>
        <w:rPr>
          <w:rFonts w:hint="default" w:ascii="Times New Roman" w:hAnsi="Times New Roman" w:cs="Times New Roman"/>
          <w:color w:val="auto"/>
          <w:spacing w:val="3"/>
        </w:rPr>
        <w:t>秋季收获以</w:t>
      </w:r>
      <w:r>
        <w:rPr>
          <w:rFonts w:hint="default" w:ascii="Times New Roman" w:hAnsi="Times New Roman" w:cs="Times New Roman"/>
          <w:color w:val="auto"/>
          <w:spacing w:val="3"/>
          <w:lang w:eastAsia="zh-CN"/>
        </w:rPr>
        <w:t>玉米</w:t>
      </w:r>
      <w:r>
        <w:rPr>
          <w:rFonts w:hint="default" w:ascii="Times New Roman" w:hAnsi="Times New Roman" w:cs="Times New Roman"/>
          <w:color w:val="auto"/>
          <w:spacing w:val="3"/>
        </w:rPr>
        <w:t>为主，每亩土地年产值约为</w:t>
      </w:r>
      <w:r>
        <w:rPr>
          <w:rFonts w:hint="default" w:ascii="Times New Roman" w:hAnsi="Times New Roman" w:eastAsia="Times New Roman" w:cs="Times New Roman"/>
          <w:color w:val="auto"/>
        </w:rPr>
        <w:t>2700</w:t>
      </w:r>
      <w:r>
        <w:rPr>
          <w:rFonts w:hint="default" w:ascii="Times New Roman" w:hAnsi="Times New Roman" w:cs="Times New Roman"/>
          <w:color w:val="auto"/>
          <w:spacing w:val="2"/>
        </w:rPr>
        <w:t>元。根据公司预测，本项目建成后，每亩地年产值约为</w:t>
      </w:r>
      <w:r>
        <w:rPr>
          <w:rFonts w:hint="default" w:ascii="Times New Roman" w:hAnsi="Times New Roman" w:eastAsia="Times New Roman" w:cs="Times New Roman"/>
          <w:color w:val="auto"/>
        </w:rPr>
        <w:t>4</w:t>
      </w:r>
      <w:r>
        <w:rPr>
          <w:rFonts w:hint="default" w:ascii="Times New Roman" w:hAnsi="Times New Roman" w:cs="Times New Roman"/>
          <w:color w:val="auto"/>
        </w:rPr>
        <w:t>万元，大大提高了单位面积土地的生产能力。</w:t>
      </w:r>
    </w:p>
    <w:p>
      <w:pPr>
        <w:pStyle w:val="11"/>
        <w:adjustRightInd/>
        <w:snapToGrid/>
        <w:spacing w:after="0"/>
        <w:ind w:firstLine="468"/>
        <w:rPr>
          <w:rFonts w:hint="default" w:ascii="Times New Roman" w:hAnsi="Times New Roman" w:cs="Times New Roman"/>
          <w:color w:val="auto"/>
        </w:rPr>
      </w:pPr>
      <w:r>
        <w:rPr>
          <w:rFonts w:hint="default" w:ascii="Times New Roman" w:hAnsi="Times New Roman" w:cs="Times New Roman"/>
          <w:color w:val="auto"/>
          <w:spacing w:val="-3"/>
        </w:rPr>
        <w:t>原来农业生态系统施肥可能破坏水体功能，施肥过量将会污染土壤，改变土地结构，传播疫病，随着项目生态系统开放度扩大，能量、物质信息的输入、输</w:t>
      </w:r>
      <w:r>
        <w:rPr>
          <w:rFonts w:hint="default" w:ascii="Times New Roman" w:hAnsi="Times New Roman" w:cs="Times New Roman"/>
          <w:color w:val="auto"/>
          <w:spacing w:val="-107"/>
        </w:rPr>
        <w:t xml:space="preserve"> </w:t>
      </w:r>
      <w:r>
        <w:rPr>
          <w:rFonts w:hint="default" w:ascii="Times New Roman" w:hAnsi="Times New Roman" w:cs="Times New Roman"/>
          <w:color w:val="auto"/>
          <w:spacing w:val="-3"/>
        </w:rPr>
        <w:t>出与城市生态系统各组分之间都存在很大的联系性和依赖性，系统的功能和生产</w:t>
      </w:r>
      <w:r>
        <w:rPr>
          <w:rFonts w:hint="default" w:ascii="Times New Roman" w:hAnsi="Times New Roman" w:cs="Times New Roman"/>
          <w:color w:val="auto"/>
          <w:spacing w:val="-104"/>
        </w:rPr>
        <w:t xml:space="preserve"> </w:t>
      </w:r>
      <w:r>
        <w:rPr>
          <w:rFonts w:hint="default" w:ascii="Times New Roman" w:hAnsi="Times New Roman" w:cs="Times New Roman"/>
          <w:color w:val="auto"/>
        </w:rPr>
        <w:t>力将大大增强，同时能源、物质的消耗，向环境排放的污染物也会增多。</w:t>
      </w:r>
    </w:p>
    <w:p>
      <w:pPr>
        <w:pStyle w:val="11"/>
        <w:adjustRightInd/>
        <w:snapToGrid/>
        <w:spacing w:after="0"/>
        <w:ind w:firstLine="468"/>
        <w:rPr>
          <w:rFonts w:hint="default" w:ascii="Times New Roman" w:hAnsi="Times New Roman" w:cs="Times New Roman"/>
          <w:color w:val="auto"/>
        </w:rPr>
      </w:pPr>
      <w:r>
        <w:rPr>
          <w:rFonts w:hint="default" w:ascii="Times New Roman" w:hAnsi="Times New Roman" w:cs="Times New Roman"/>
          <w:color w:val="auto"/>
          <w:spacing w:val="-3"/>
        </w:rPr>
        <w:t>农业生态系统是一个开放的系统，依靠灌溉、施肥等物质和能量的输入；农产品的输出维持其系统，它将经济再生产、自然再生产交织在一起，构成与社会</w:t>
      </w:r>
      <w:r>
        <w:rPr>
          <w:rFonts w:hint="default" w:ascii="Times New Roman" w:hAnsi="Times New Roman" w:cs="Times New Roman"/>
          <w:color w:val="auto"/>
          <w:spacing w:val="-105"/>
        </w:rPr>
        <w:t xml:space="preserve"> </w:t>
      </w:r>
      <w:r>
        <w:rPr>
          <w:rFonts w:hint="default" w:ascii="Times New Roman" w:hAnsi="Times New Roman" w:cs="Times New Roman"/>
          <w:color w:val="auto"/>
          <w:spacing w:val="-3"/>
        </w:rPr>
        <w:t>经济区互相反馈的生态经济系统。养殖场按照科学管理进行施肥，合理安排施肥</w:t>
      </w:r>
      <w:r>
        <w:rPr>
          <w:rFonts w:hint="default" w:ascii="Times New Roman" w:hAnsi="Times New Roman" w:cs="Times New Roman"/>
          <w:color w:val="auto"/>
          <w:spacing w:val="-105"/>
        </w:rPr>
        <w:t xml:space="preserve"> </w:t>
      </w:r>
      <w:r>
        <w:rPr>
          <w:rFonts w:hint="default" w:ascii="Times New Roman" w:hAnsi="Times New Roman" w:cs="Times New Roman"/>
          <w:color w:val="auto"/>
        </w:rPr>
        <w:t>时间和频次，能够避免对区域造成污染危害。</w:t>
      </w:r>
    </w:p>
    <w:p>
      <w:pPr>
        <w:adjustRightInd/>
        <w:snapToGrid/>
        <w:ind w:firstLine="482"/>
        <w:rPr>
          <w:rFonts w:hint="default" w:ascii="Times New Roman" w:hAnsi="Times New Roman" w:cs="Times New Roman"/>
          <w:b/>
          <w:bCs/>
          <w:color w:val="auto"/>
        </w:rPr>
      </w:pPr>
      <w:r>
        <w:rPr>
          <w:rFonts w:hint="default" w:ascii="Times New Roman" w:hAnsi="Times New Roman" w:cs="Times New Roman"/>
          <w:b/>
          <w:bCs/>
          <w:color w:val="auto"/>
        </w:rPr>
        <w:t>5.2.7.2 水土流失及保护措施</w:t>
      </w:r>
    </w:p>
    <w:p>
      <w:pPr>
        <w:adjustRightInd/>
        <w:snapToGrid/>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eastAsia="Times New Roman" w:cs="Times New Roman"/>
          <w:color w:val="auto"/>
        </w:rPr>
        <w:t>1</w:t>
      </w:r>
      <w:r>
        <w:rPr>
          <w:rFonts w:hint="default" w:ascii="Times New Roman" w:hAnsi="Times New Roman" w:cs="Times New Roman"/>
          <w:color w:val="auto"/>
        </w:rPr>
        <w:t xml:space="preserve">）工程建设区水土流失概况 </w:t>
      </w:r>
      <w:r>
        <w:rPr>
          <w:rFonts w:hint="default" w:ascii="Times New Roman" w:hAnsi="Times New Roman" w:cs="Times New Roman"/>
          <w:color w:val="auto"/>
          <w:spacing w:val="-7"/>
        </w:rPr>
        <w:t>本项目区内地形较平坦，水土流失形式主要为水力侵蚀，主要类型包括面蚀、</w:t>
      </w:r>
      <w:r>
        <w:rPr>
          <w:rFonts w:hint="default" w:ascii="Times New Roman" w:hAnsi="Times New Roman" w:cs="Times New Roman"/>
          <w:color w:val="auto"/>
        </w:rPr>
        <w:t>雨滴溅蚀等。</w:t>
      </w:r>
    </w:p>
    <w:p>
      <w:pPr>
        <w:pStyle w:val="11"/>
        <w:adjustRightInd/>
        <w:snapToGrid/>
        <w:spacing w:after="0"/>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eastAsia="Times New Roman" w:cs="Times New Roman"/>
          <w:color w:val="auto"/>
        </w:rPr>
        <w:t>2</w:t>
      </w:r>
      <w:r>
        <w:rPr>
          <w:rFonts w:hint="default" w:ascii="Times New Roman" w:hAnsi="Times New Roman" w:cs="Times New Roman"/>
          <w:color w:val="auto"/>
        </w:rPr>
        <w:t>）引起水土流失的原因 自然因素和人为因素是造成该区水土流失的主要原因。</w:t>
      </w:r>
      <w:r>
        <w:rPr>
          <w:rFonts w:hint="default" w:ascii="Times New Roman" w:hAnsi="Times New Roman" w:cs="Times New Roman"/>
          <w:color w:val="auto"/>
          <w:spacing w:val="-7"/>
        </w:rPr>
        <w:t>自然因素有地形地貌、地面组成物质、植被及降雨等。项目区地势较为平坦，</w:t>
      </w:r>
      <w:r>
        <w:rPr>
          <w:rFonts w:hint="default" w:ascii="Times New Roman" w:hAnsi="Times New Roman" w:cs="Times New Roman"/>
          <w:color w:val="auto"/>
          <w:spacing w:val="-3"/>
        </w:rPr>
        <w:t>林草植被覆盖多，年内分布很不均匀，多集中在数次暴雨。形成水土流失的主要</w:t>
      </w:r>
      <w:r>
        <w:rPr>
          <w:rFonts w:hint="default" w:ascii="Times New Roman" w:hAnsi="Times New Roman" w:cs="Times New Roman"/>
          <w:color w:val="auto"/>
        </w:rPr>
        <w:t>自然因素是暴雨。</w:t>
      </w:r>
      <w:r>
        <w:rPr>
          <w:rFonts w:hint="default" w:ascii="Times New Roman" w:hAnsi="Times New Roman" w:cs="Times New Roman"/>
          <w:color w:val="auto"/>
          <w:spacing w:val="-3"/>
        </w:rPr>
        <w:t>人为因素：由于项目工程建设，土方开挖和料物堆砌损坏了原有的地形地貌和植被，施工活动扰动了原有的土体结构，致使土体抗侵蚀能力降低，造成区域</w:t>
      </w:r>
      <w:r>
        <w:rPr>
          <w:rFonts w:hint="default" w:ascii="Times New Roman" w:hAnsi="Times New Roman" w:cs="Times New Roman"/>
          <w:color w:val="auto"/>
          <w:spacing w:val="-106"/>
        </w:rPr>
        <w:t xml:space="preserve"> </w:t>
      </w:r>
      <w:r>
        <w:rPr>
          <w:rFonts w:hint="default" w:ascii="Times New Roman" w:hAnsi="Times New Roman" w:cs="Times New Roman"/>
          <w:color w:val="auto"/>
        </w:rPr>
        <w:t>加速侵蚀。</w:t>
      </w:r>
    </w:p>
    <w:p>
      <w:pPr>
        <w:pStyle w:val="11"/>
        <w:adjustRightInd/>
        <w:snapToGrid/>
        <w:spacing w:after="0"/>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eastAsia="Times New Roman" w:cs="Times New Roman"/>
          <w:color w:val="auto"/>
        </w:rPr>
        <w:t>3</w:t>
      </w:r>
      <w:r>
        <w:rPr>
          <w:rFonts w:hint="default" w:ascii="Times New Roman" w:hAnsi="Times New Roman" w:cs="Times New Roman"/>
          <w:color w:val="auto"/>
        </w:rPr>
        <w:t xml:space="preserve">）可能产生的水土流失预测 </w:t>
      </w:r>
      <w:r>
        <w:rPr>
          <w:rFonts w:hint="default" w:ascii="Times New Roman" w:hAnsi="Times New Roman" w:cs="Times New Roman"/>
          <w:color w:val="auto"/>
          <w:spacing w:val="-3"/>
        </w:rPr>
        <w:t>由于工程建设过程中破坏地貌植被，对该区生态环境造成破坏，同时使自然状况下的土体稳定平衡和土壤结构遭到破坏，土体疏散，土壤可蚀性增加，必然</w:t>
      </w:r>
      <w:r>
        <w:rPr>
          <w:rFonts w:hint="default" w:ascii="Times New Roman" w:hAnsi="Times New Roman" w:cs="Times New Roman"/>
          <w:color w:val="auto"/>
          <w:spacing w:val="-105"/>
        </w:rPr>
        <w:t xml:space="preserve"> </w:t>
      </w:r>
      <w:r>
        <w:rPr>
          <w:rFonts w:hint="default" w:ascii="Times New Roman" w:hAnsi="Times New Roman" w:cs="Times New Roman"/>
          <w:color w:val="auto"/>
        </w:rPr>
        <w:t>导致水土流失增加。</w:t>
      </w:r>
    </w:p>
    <w:p>
      <w:pPr>
        <w:pStyle w:val="11"/>
        <w:adjustRightInd/>
        <w:snapToGrid/>
        <w:spacing w:after="0"/>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eastAsia="Times New Roman" w:cs="Times New Roman"/>
          <w:color w:val="auto"/>
        </w:rPr>
        <w:t>4</w:t>
      </w:r>
      <w:r>
        <w:rPr>
          <w:rFonts w:hint="default" w:ascii="Times New Roman" w:hAnsi="Times New Roman" w:cs="Times New Roman"/>
          <w:color w:val="auto"/>
        </w:rPr>
        <w:t>）水土保持措施</w:t>
      </w:r>
    </w:p>
    <w:p>
      <w:pPr>
        <w:pStyle w:val="11"/>
        <w:adjustRightInd/>
        <w:snapToGrid/>
        <w:spacing w:after="0"/>
        <w:ind w:firstLine="496" w:firstLineChars="207"/>
        <w:rPr>
          <w:rFonts w:hint="default" w:ascii="Times New Roman" w:hAnsi="Times New Roman" w:cs="Times New Roman"/>
          <w:color w:val="auto"/>
        </w:rPr>
      </w:pPr>
      <w:r>
        <w:rPr>
          <w:rFonts w:hint="default" w:ascii="Times New Roman" w:hAnsi="Times New Roman" w:cs="Times New Roman"/>
          <w:color w:val="auto"/>
        </w:rPr>
        <w:t xml:space="preserve">①主体工程防治区 </w:t>
      </w:r>
      <w:r>
        <w:rPr>
          <w:rFonts w:hint="default" w:ascii="Times New Roman" w:hAnsi="Times New Roman" w:cs="Times New Roman"/>
          <w:color w:val="auto"/>
          <w:spacing w:val="-10"/>
        </w:rPr>
        <w:t>主体及辅助工程开挖完工后及时对边坡进行固化护坡，在坡脚撒播草籽对裸露</w:t>
      </w:r>
      <w:r>
        <w:rPr>
          <w:rFonts w:hint="default" w:ascii="Times New Roman" w:hAnsi="Times New Roman" w:cs="Times New Roman"/>
          <w:color w:val="auto"/>
          <w:spacing w:val="-9"/>
        </w:rPr>
        <w:t>地表进行绿化，对进厂道路进行固化，完善排水设施，使水土流失降到最低水平。</w:t>
      </w:r>
    </w:p>
    <w:p>
      <w:pPr>
        <w:pStyle w:val="11"/>
        <w:adjustRightInd/>
        <w:snapToGrid/>
        <w:spacing w:after="0"/>
        <w:ind w:firstLine="480"/>
        <w:rPr>
          <w:rFonts w:hint="default" w:ascii="Times New Roman" w:hAnsi="Times New Roman" w:cs="Times New Roman"/>
          <w:color w:val="auto"/>
        </w:rPr>
      </w:pPr>
      <w:r>
        <w:rPr>
          <w:rFonts w:hint="default" w:ascii="Times New Roman" w:hAnsi="Times New Roman" w:cs="Times New Roman"/>
          <w:color w:val="auto"/>
        </w:rPr>
        <w:t xml:space="preserve">②施工临时工程防治区 </w:t>
      </w:r>
      <w:r>
        <w:rPr>
          <w:rFonts w:hint="default" w:ascii="Times New Roman" w:hAnsi="Times New Roman" w:cs="Times New Roman"/>
          <w:color w:val="auto"/>
          <w:spacing w:val="-3"/>
        </w:rPr>
        <w:t>施工临时工程主要包括施工道路和施工生产区。施工完工后，应对临时地面建筑进行清理，对土地进行平整并硬化，同时设置必要的绿化带来缓解水土流失</w:t>
      </w:r>
      <w:r>
        <w:rPr>
          <w:rFonts w:hint="default" w:ascii="Times New Roman" w:hAnsi="Times New Roman" w:cs="Times New Roman"/>
          <w:color w:val="auto"/>
          <w:spacing w:val="-105"/>
        </w:rPr>
        <w:t xml:space="preserve"> </w:t>
      </w:r>
      <w:r>
        <w:rPr>
          <w:rFonts w:hint="default" w:ascii="Times New Roman" w:hAnsi="Times New Roman" w:cs="Times New Roman"/>
          <w:color w:val="auto"/>
        </w:rPr>
        <w:t>的影响。</w:t>
      </w:r>
    </w:p>
    <w:p>
      <w:pPr>
        <w:pStyle w:val="11"/>
        <w:adjustRightInd/>
        <w:snapToGrid/>
        <w:spacing w:after="0"/>
        <w:ind w:firstLine="480"/>
        <w:rPr>
          <w:rFonts w:hint="default" w:ascii="Times New Roman" w:hAnsi="Times New Roman" w:cs="Times New Roman"/>
          <w:color w:val="auto"/>
        </w:rPr>
      </w:pPr>
      <w:r>
        <w:rPr>
          <w:rFonts w:hint="default" w:ascii="Times New Roman" w:hAnsi="Times New Roman" w:cs="Times New Roman"/>
          <w:color w:val="auto"/>
        </w:rPr>
        <w:t xml:space="preserve">③进场道路区 </w:t>
      </w:r>
      <w:r>
        <w:rPr>
          <w:rFonts w:hint="default" w:ascii="Times New Roman" w:hAnsi="Times New Roman" w:cs="Times New Roman"/>
          <w:color w:val="auto"/>
          <w:spacing w:val="-3"/>
        </w:rPr>
        <w:t>本工程设永久进场道路，进场道路进行硬化，两侧设混凝土路边排水沟，并</w:t>
      </w:r>
      <w:r>
        <w:rPr>
          <w:rFonts w:hint="default" w:ascii="Times New Roman" w:hAnsi="Times New Roman" w:cs="Times New Roman"/>
          <w:color w:val="auto"/>
        </w:rPr>
        <w:t>种植高大植物予以绿化。</w:t>
      </w:r>
      <w:r>
        <w:rPr>
          <w:rFonts w:hint="default" w:ascii="Times New Roman" w:hAnsi="Times New Roman" w:cs="Times New Roman"/>
          <w:color w:val="auto"/>
          <w:spacing w:val="-3"/>
        </w:rPr>
        <w:t>通过水土流失治理措施的实施，可基本控制项目建设责任范围内因工程活动引起的水土流失，项目区域的绿化可为项目责任范围内经济的可持续发展创造良</w:t>
      </w:r>
      <w:r>
        <w:rPr>
          <w:rFonts w:hint="default" w:ascii="Times New Roman" w:hAnsi="Times New Roman" w:cs="Times New Roman"/>
          <w:color w:val="auto"/>
        </w:rPr>
        <w:t>好的生态环境基础。</w:t>
      </w:r>
    </w:p>
    <w:p>
      <w:pPr>
        <w:pStyle w:val="11"/>
        <w:adjustRightInd/>
        <w:snapToGrid/>
        <w:spacing w:after="0"/>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4 \* GB3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④</w:t>
      </w:r>
      <w:r>
        <w:rPr>
          <w:rFonts w:hint="default" w:ascii="Times New Roman" w:hAnsi="Times New Roman" w:cs="Times New Roman"/>
          <w:color w:val="auto"/>
        </w:rPr>
        <w:fldChar w:fldCharType="end"/>
      </w:r>
      <w:r>
        <w:rPr>
          <w:rFonts w:hint="default" w:ascii="Times New Roman" w:hAnsi="Times New Roman" w:cs="Times New Roman"/>
          <w:color w:val="auto"/>
        </w:rPr>
        <w:t xml:space="preserve">沼液管网施工区 </w:t>
      </w:r>
      <w:r>
        <w:rPr>
          <w:rFonts w:hint="default" w:ascii="Times New Roman" w:hAnsi="Times New Roman" w:cs="Times New Roman"/>
          <w:color w:val="auto"/>
          <w:spacing w:val="3"/>
        </w:rPr>
        <w:t>本项目配套建设有沼液消纳管网将场内处理过的沼液作为农肥输送到周边</w:t>
      </w:r>
      <w:r>
        <w:rPr>
          <w:rFonts w:hint="default" w:ascii="Times New Roman" w:hAnsi="Times New Roman" w:cs="Times New Roman"/>
          <w:color w:val="auto"/>
          <w:spacing w:val="-6"/>
        </w:rPr>
        <w:t>农田。管网采用</w:t>
      </w:r>
      <w:r>
        <w:rPr>
          <w:rFonts w:hint="default" w:ascii="Times New Roman" w:hAnsi="Times New Roman" w:eastAsia="Times New Roman" w:cs="Times New Roman"/>
          <w:color w:val="auto"/>
          <w:spacing w:val="-5"/>
        </w:rPr>
        <w:t>160mm</w:t>
      </w:r>
      <w:r>
        <w:rPr>
          <w:rFonts w:hint="default" w:ascii="Times New Roman" w:hAnsi="Times New Roman" w:cs="Times New Roman"/>
          <w:color w:val="auto"/>
          <w:spacing w:val="-5"/>
        </w:rPr>
        <w:t>、</w:t>
      </w:r>
      <w:r>
        <w:rPr>
          <w:rFonts w:hint="default" w:ascii="Times New Roman" w:hAnsi="Times New Roman" w:eastAsia="Times New Roman" w:cs="Times New Roman"/>
          <w:color w:val="auto"/>
          <w:spacing w:val="-5"/>
        </w:rPr>
        <w:t>110mm</w:t>
      </w:r>
      <w:r>
        <w:rPr>
          <w:rFonts w:hint="default" w:ascii="Times New Roman" w:hAnsi="Times New Roman" w:cs="Times New Roman"/>
          <w:color w:val="auto"/>
        </w:rPr>
        <w:t>和</w:t>
      </w:r>
      <w:r>
        <w:rPr>
          <w:rFonts w:hint="default" w:ascii="Times New Roman" w:hAnsi="Times New Roman" w:eastAsia="Times New Roman" w:cs="Times New Roman"/>
          <w:color w:val="auto"/>
        </w:rPr>
        <w:t>75mm</w:t>
      </w:r>
      <w:r>
        <w:rPr>
          <w:rFonts w:hint="default" w:ascii="Times New Roman" w:hAnsi="Times New Roman" w:cs="Times New Roman"/>
          <w:color w:val="auto"/>
        </w:rPr>
        <w:t>的</w:t>
      </w:r>
      <w:r>
        <w:rPr>
          <w:rFonts w:hint="default" w:ascii="Times New Roman" w:hAnsi="Times New Roman" w:eastAsia="Times New Roman" w:cs="Times New Roman"/>
          <w:color w:val="auto"/>
        </w:rPr>
        <w:t>PVC</w:t>
      </w:r>
      <w:r>
        <w:rPr>
          <w:rFonts w:hint="default" w:ascii="Times New Roman" w:hAnsi="Times New Roman" w:cs="Times New Roman"/>
          <w:color w:val="auto"/>
          <w:spacing w:val="-3"/>
        </w:rPr>
        <w:t>管为主，管网的铺设采用人工</w:t>
      </w:r>
      <w:r>
        <w:rPr>
          <w:rFonts w:hint="default" w:ascii="Times New Roman" w:hAnsi="Times New Roman" w:cs="Times New Roman"/>
          <w:color w:val="auto"/>
        </w:rPr>
        <w:t>开挖管渠</w:t>
      </w:r>
      <w:r>
        <w:rPr>
          <w:rFonts w:hint="default" w:ascii="Times New Roman" w:hAnsi="Times New Roman" w:eastAsia="Times New Roman" w:cs="Times New Roman"/>
          <w:color w:val="auto"/>
        </w:rPr>
        <w:t>-</w:t>
      </w:r>
      <w:r>
        <w:rPr>
          <w:rFonts w:hint="default" w:ascii="Times New Roman" w:hAnsi="Times New Roman" w:cs="Times New Roman"/>
          <w:color w:val="auto"/>
        </w:rPr>
        <w:t>放管</w:t>
      </w:r>
      <w:r>
        <w:rPr>
          <w:rFonts w:hint="default" w:ascii="Times New Roman" w:hAnsi="Times New Roman" w:eastAsia="Times New Roman" w:cs="Times New Roman"/>
          <w:color w:val="auto"/>
        </w:rPr>
        <w:t>-</w:t>
      </w:r>
      <w:r>
        <w:rPr>
          <w:rFonts w:hint="default" w:ascii="Times New Roman" w:hAnsi="Times New Roman" w:cs="Times New Roman"/>
          <w:color w:val="auto"/>
        </w:rPr>
        <w:t>覆土的方法进行。由于管径较小，工程量不大并且采用人工开挖施工，为尽量减少与防止施工期造成水土流失的影响，建议采取以下措施：</w:t>
      </w:r>
    </w:p>
    <w:p>
      <w:pPr>
        <w:pStyle w:val="11"/>
        <w:adjustRightInd/>
        <w:snapToGrid/>
        <w:spacing w:after="0"/>
        <w:ind w:firstLine="480"/>
        <w:rPr>
          <w:rFonts w:hint="default" w:ascii="Times New Roman" w:hAnsi="Times New Roman" w:cs="Times New Roman"/>
          <w:color w:val="auto"/>
        </w:rPr>
      </w:pPr>
      <w:r>
        <w:rPr>
          <w:rFonts w:hint="default" w:ascii="Times New Roman" w:hAnsi="Times New Roman" w:eastAsia="Times New Roman" w:cs="Times New Roman"/>
          <w:color w:val="auto"/>
        </w:rPr>
        <w:t>A</w:t>
      </w:r>
      <w:r>
        <w:rPr>
          <w:rFonts w:hint="default" w:ascii="Times New Roman" w:hAnsi="Times New Roman" w:cs="Times New Roman"/>
          <w:color w:val="auto"/>
        </w:rPr>
        <w:t>、工程施工时注意合理分配施工时段，尽量避开降雨集中时段施工。</w:t>
      </w:r>
    </w:p>
    <w:p>
      <w:pPr>
        <w:pStyle w:val="11"/>
        <w:adjustRightInd/>
        <w:snapToGrid/>
        <w:spacing w:after="0"/>
        <w:ind w:firstLine="480"/>
        <w:rPr>
          <w:rFonts w:hint="default" w:ascii="Times New Roman" w:hAnsi="Times New Roman" w:cs="Times New Roman"/>
          <w:color w:val="auto"/>
        </w:rPr>
      </w:pPr>
      <w:r>
        <w:rPr>
          <w:rFonts w:hint="default" w:ascii="Times New Roman" w:hAnsi="Times New Roman" w:eastAsia="Times New Roman" w:cs="Times New Roman"/>
          <w:color w:val="auto"/>
        </w:rPr>
        <w:t>B</w:t>
      </w:r>
      <w:r>
        <w:rPr>
          <w:rFonts w:hint="default" w:ascii="Times New Roman" w:hAnsi="Times New Roman" w:cs="Times New Roman"/>
          <w:color w:val="auto"/>
        </w:rPr>
        <w:t>、加强施工人员的环保意识，规范其在施工当中的行为，严禁肆意破坏与 工程无关的土壤、植被。</w:t>
      </w:r>
    </w:p>
    <w:p>
      <w:pPr>
        <w:pStyle w:val="11"/>
        <w:adjustRightInd/>
        <w:snapToGrid/>
        <w:spacing w:after="0"/>
        <w:ind w:firstLine="480"/>
        <w:rPr>
          <w:rFonts w:hint="default" w:ascii="Times New Roman" w:hAnsi="Times New Roman" w:cs="Times New Roman"/>
          <w:color w:val="auto"/>
        </w:rPr>
      </w:pPr>
      <w:r>
        <w:rPr>
          <w:rFonts w:hint="default" w:ascii="Times New Roman" w:hAnsi="Times New Roman" w:eastAsia="Times New Roman" w:cs="Times New Roman"/>
          <w:color w:val="auto"/>
        </w:rPr>
        <w:t>C</w:t>
      </w:r>
      <w:r>
        <w:rPr>
          <w:rFonts w:hint="default" w:ascii="Times New Roman" w:hAnsi="Times New Roman" w:cs="Times New Roman"/>
          <w:color w:val="auto"/>
        </w:rPr>
        <w:t xml:space="preserve">、施工期间，开挖的土石方、裸露土做好防治措施，减少开挖断面宽度， </w:t>
      </w:r>
      <w:r>
        <w:rPr>
          <w:rFonts w:hint="default" w:ascii="Times New Roman" w:hAnsi="Times New Roman" w:cs="Times New Roman"/>
          <w:color w:val="auto"/>
          <w:spacing w:val="-3"/>
        </w:rPr>
        <w:t>禁止肆意破坏；施工结束后，做好施工便道等临时占地的平整工作，以原有土壤</w:t>
      </w:r>
      <w:r>
        <w:rPr>
          <w:rFonts w:hint="default" w:ascii="Times New Roman" w:hAnsi="Times New Roman" w:cs="Times New Roman"/>
          <w:color w:val="auto"/>
          <w:spacing w:val="-105"/>
        </w:rPr>
        <w:t xml:space="preserve"> </w:t>
      </w:r>
      <w:r>
        <w:rPr>
          <w:rFonts w:hint="default" w:ascii="Times New Roman" w:hAnsi="Times New Roman" w:cs="Times New Roman"/>
          <w:color w:val="auto"/>
        </w:rPr>
        <w:t>表层作为表层回填、平整，以保持土壤肥力。</w:t>
      </w:r>
    </w:p>
    <w:p>
      <w:pPr>
        <w:pStyle w:val="11"/>
        <w:adjustRightInd/>
        <w:snapToGrid/>
        <w:spacing w:after="0"/>
        <w:ind w:firstLine="468"/>
        <w:rPr>
          <w:rFonts w:hint="default" w:ascii="Times New Roman" w:hAnsi="Times New Roman" w:cs="Times New Roman"/>
          <w:color w:val="auto"/>
        </w:rPr>
      </w:pPr>
      <w:r>
        <w:rPr>
          <w:rFonts w:hint="default" w:ascii="Times New Roman" w:hAnsi="Times New Roman" w:cs="Times New Roman"/>
          <w:color w:val="auto"/>
          <w:spacing w:val="-3"/>
        </w:rPr>
        <w:t>综上所述，经落实评价提出的污染防治措施后，项目营运期对区域生态环境</w:t>
      </w:r>
      <w:r>
        <w:rPr>
          <w:rFonts w:hint="default" w:ascii="Times New Roman" w:hAnsi="Times New Roman" w:cs="Times New Roman"/>
          <w:color w:val="auto"/>
        </w:rPr>
        <w:t>影响较小。</w:t>
      </w:r>
    </w:p>
    <w:p>
      <w:pPr>
        <w:pStyle w:val="31"/>
        <w:spacing w:line="360" w:lineRule="auto"/>
        <w:jc w:val="both"/>
        <w:rPr>
          <w:rFonts w:hint="default" w:ascii="Times New Roman" w:hAnsi="Times New Roman" w:eastAsia="黑体" w:cs="Times New Roman"/>
          <w:color w:val="auto"/>
        </w:rPr>
      </w:pPr>
      <w:bookmarkStart w:id="565" w:name="_Toc29803"/>
      <w:bookmarkStart w:id="566" w:name="_Toc28928"/>
      <w:r>
        <w:rPr>
          <w:rFonts w:hint="default" w:ascii="Times New Roman" w:hAnsi="Times New Roman" w:eastAsia="黑体" w:cs="Times New Roman"/>
          <w:color w:val="auto"/>
        </w:rPr>
        <w:t>5.3  环境风险分析</w:t>
      </w:r>
      <w:bookmarkEnd w:id="556"/>
      <w:bookmarkEnd w:id="557"/>
      <w:bookmarkEnd w:id="558"/>
      <w:bookmarkEnd w:id="559"/>
      <w:bookmarkEnd w:id="560"/>
      <w:bookmarkEnd w:id="561"/>
      <w:bookmarkEnd w:id="562"/>
      <w:bookmarkEnd w:id="563"/>
      <w:bookmarkEnd w:id="565"/>
      <w:bookmarkEnd w:id="566"/>
    </w:p>
    <w:bookmarkEnd w:id="547"/>
    <w:bookmarkEnd w:id="548"/>
    <w:bookmarkEnd w:id="549"/>
    <w:p>
      <w:pPr>
        <w:keepNext/>
        <w:keepLines/>
        <w:numPr>
          <w:ilvl w:val="2"/>
          <w:numId w:val="0"/>
        </w:numPr>
        <w:tabs>
          <w:tab w:val="left" w:pos="709"/>
        </w:tabs>
        <w:spacing w:line="360" w:lineRule="auto"/>
        <w:outlineLvl w:val="2"/>
        <w:rPr>
          <w:rFonts w:hint="default" w:ascii="Times New Roman" w:hAnsi="Times New Roman" w:eastAsia="黑体" w:cs="Times New Roman"/>
          <w:bCs/>
          <w:color w:val="auto"/>
          <w:sz w:val="26"/>
          <w:szCs w:val="26"/>
          <w:lang w:val="en-GB"/>
        </w:rPr>
      </w:pPr>
      <w:bookmarkStart w:id="567" w:name="_Toc519865172"/>
      <w:r>
        <w:rPr>
          <w:rFonts w:hint="default" w:ascii="Times New Roman" w:hAnsi="Times New Roman" w:eastAsia="黑体" w:cs="Times New Roman"/>
          <w:bCs/>
          <w:color w:val="auto"/>
          <w:sz w:val="26"/>
          <w:szCs w:val="26"/>
          <w:lang w:val="en-GB"/>
        </w:rPr>
        <w:t>5.3.1</w:t>
      </w:r>
      <w:bookmarkEnd w:id="567"/>
      <w:r>
        <w:rPr>
          <w:rFonts w:hint="default" w:ascii="Times New Roman" w:hAnsi="Times New Roman" w:eastAsia="黑体" w:cs="Times New Roman"/>
          <w:bCs/>
          <w:color w:val="auto"/>
          <w:sz w:val="26"/>
          <w:szCs w:val="26"/>
          <w:lang w:val="en-GB"/>
        </w:rPr>
        <w:t>风险调查</w:t>
      </w:r>
    </w:p>
    <w:p>
      <w:pPr>
        <w:keepNext/>
        <w:keepLines/>
        <w:numPr>
          <w:ilvl w:val="3"/>
          <w:numId w:val="0"/>
        </w:numPr>
        <w:spacing w:before="120" w:beforeLines="50"/>
        <w:jc w:val="left"/>
        <w:outlineLvl w:val="3"/>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5.3.1.1建设项目风险源调查</w:t>
      </w:r>
    </w:p>
    <w:p>
      <w:pPr>
        <w:spacing w:line="460" w:lineRule="exact"/>
        <w:ind w:firstLine="480" w:firstLineChars="200"/>
        <w:rPr>
          <w:rFonts w:hint="default" w:ascii="Times New Roman" w:hAnsi="Times New Roman" w:cs="Times New Roman"/>
          <w:bCs/>
          <w:color w:val="auto"/>
          <w:sz w:val="24"/>
          <w:szCs w:val="24"/>
          <w:lang w:val="de-DE"/>
        </w:rPr>
      </w:pPr>
      <w:r>
        <w:rPr>
          <w:rFonts w:hint="default" w:ascii="Times New Roman" w:hAnsi="Times New Roman" w:cs="Times New Roman"/>
          <w:bCs/>
          <w:color w:val="auto"/>
          <w:sz w:val="24"/>
          <w:szCs w:val="24"/>
          <w:lang w:val="de-DE"/>
        </w:rPr>
        <w:t>根据对项目使用原料、产生污染物的分析，涉及的主要危险性物质为污水处理系统产生的沼气及养殖过程产生的高浓度有机废水。</w:t>
      </w:r>
    </w:p>
    <w:p>
      <w:pPr>
        <w:spacing w:line="460" w:lineRule="exact"/>
        <w:ind w:firstLine="480" w:firstLineChars="200"/>
        <w:rPr>
          <w:rFonts w:hint="default" w:ascii="Times New Roman" w:hAnsi="Times New Roman" w:cs="Times New Roman"/>
          <w:bCs/>
          <w:color w:val="auto"/>
          <w:sz w:val="24"/>
          <w:szCs w:val="24"/>
          <w:lang w:val="de-DE"/>
        </w:rPr>
      </w:pPr>
      <w:r>
        <w:rPr>
          <w:rFonts w:hint="default" w:ascii="Times New Roman" w:hAnsi="Times New Roman" w:cs="Times New Roman"/>
          <w:bCs/>
          <w:color w:val="auto"/>
          <w:sz w:val="24"/>
          <w:szCs w:val="24"/>
          <w:lang w:val="de-DE"/>
        </w:rPr>
        <w:t>根据《建设项目环境风险评价技术导则》（HJ 169-2018）“附录B 重点关注危险物质判定标准”，本项目主要原料、辅料、燃料、污染物中的涉及的危险物质调查结果见表5.3-1。</w:t>
      </w:r>
    </w:p>
    <w:p>
      <w:pPr>
        <w:pStyle w:val="8"/>
        <w:numPr>
          <w:ilvl w:val="0"/>
          <w:numId w:val="9"/>
        </w:numPr>
        <w:spacing w:before="120" w:beforeLines="50"/>
        <w:ind w:left="0" w:firstLine="843" w:firstLineChars="400"/>
        <w:jc w:val="left"/>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eastAsia="zh-CN"/>
        </w:rPr>
        <w:t xml:space="preserve">                   </w:t>
      </w:r>
      <w:r>
        <w:rPr>
          <w:rFonts w:hint="default" w:ascii="Times New Roman" w:hAnsi="Times New Roman" w:eastAsia="宋体" w:cs="Times New Roman"/>
          <w:b/>
          <w:color w:val="auto"/>
          <w:sz w:val="21"/>
          <w:szCs w:val="21"/>
        </w:rPr>
        <w:t>风险物质调查表</w:t>
      </w:r>
    </w:p>
    <w:tbl>
      <w:tblPr>
        <w:tblStyle w:val="25"/>
        <w:tblW w:w="878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87"/>
        <w:gridCol w:w="1758"/>
        <w:gridCol w:w="796"/>
        <w:gridCol w:w="1091"/>
        <w:gridCol w:w="1835"/>
        <w:gridCol w:w="945"/>
        <w:gridCol w:w="167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序号</w:t>
            </w:r>
          </w:p>
        </w:tc>
        <w:tc>
          <w:tcPr>
            <w:tcW w:w="17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物质名称</w:t>
            </w:r>
          </w:p>
        </w:tc>
        <w:tc>
          <w:tcPr>
            <w:tcW w:w="7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形态</w:t>
            </w:r>
          </w:p>
        </w:tc>
        <w:tc>
          <w:tcPr>
            <w:tcW w:w="10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CAS号</w:t>
            </w:r>
          </w:p>
        </w:tc>
        <w:tc>
          <w:tcPr>
            <w:tcW w:w="18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分布</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最大储存量</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（t）</w:t>
            </w:r>
          </w:p>
        </w:tc>
        <w:tc>
          <w:tcPr>
            <w:tcW w:w="167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危险特性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17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沼气</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（甲烷）</w:t>
            </w:r>
          </w:p>
        </w:tc>
        <w:tc>
          <w:tcPr>
            <w:tcW w:w="7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气体</w:t>
            </w:r>
          </w:p>
        </w:tc>
        <w:tc>
          <w:tcPr>
            <w:tcW w:w="10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74-82-8</w:t>
            </w:r>
          </w:p>
        </w:tc>
        <w:tc>
          <w:tcPr>
            <w:tcW w:w="18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黑膜沼气池</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3.8</w:t>
            </w:r>
          </w:p>
        </w:tc>
        <w:tc>
          <w:tcPr>
            <w:tcW w:w="167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易燃易爆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w:t>
            </w:r>
          </w:p>
        </w:tc>
        <w:tc>
          <w:tcPr>
            <w:tcW w:w="17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CODcr≥10000mg/L的有机废液</w:t>
            </w:r>
          </w:p>
        </w:tc>
        <w:tc>
          <w:tcPr>
            <w:tcW w:w="7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液态</w:t>
            </w:r>
          </w:p>
        </w:tc>
        <w:tc>
          <w:tcPr>
            <w:tcW w:w="10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18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黑膜沼气池</w:t>
            </w:r>
          </w:p>
        </w:tc>
        <w:tc>
          <w:tcPr>
            <w:tcW w:w="9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val="en-US" w:eastAsia="zh-CN"/>
              </w:rPr>
              <w:t>2234.4</w:t>
            </w:r>
          </w:p>
        </w:tc>
        <w:tc>
          <w:tcPr>
            <w:tcW w:w="167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高浓度有机废液</w:t>
            </w:r>
          </w:p>
        </w:tc>
      </w:tr>
    </w:tbl>
    <w:p>
      <w:pPr>
        <w:keepNext/>
        <w:keepLines/>
        <w:pageBreakBefore w:val="0"/>
        <w:widowControl w:val="0"/>
        <w:numPr>
          <w:ilvl w:val="3"/>
          <w:numId w:val="0"/>
        </w:numPr>
        <w:kinsoku/>
        <w:wordWrap/>
        <w:overflowPunct/>
        <w:topLinePunct w:val="0"/>
        <w:autoSpaceDE/>
        <w:autoSpaceDN/>
        <w:bidi w:val="0"/>
        <w:adjustRightInd w:val="0"/>
        <w:snapToGrid w:val="0"/>
        <w:spacing w:line="360" w:lineRule="auto"/>
        <w:jc w:val="left"/>
        <w:textAlignment w:val="auto"/>
        <w:outlineLvl w:val="3"/>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5.3.1.2环境敏感目标调查</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厂区所在区域属大气环境二类功能区，执行大气环境质量标准的二级标准。大气环境风险受体主要为周边的居民点。</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根据调查，在项目所在地附近区域内附近无集中饮用水源保护区，也没有自然保护区和珍稀水生生物保护区。拟建项目废水经处理后，全部用于施肥。项目所在地区存在分散式地下水饮用水取水点等敏感目标。</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项目周边环境风险敏感调查结果见表5.3-2。</w:t>
      </w:r>
    </w:p>
    <w:p>
      <w:pPr>
        <w:pStyle w:val="8"/>
        <w:pageBreakBefore w:val="0"/>
        <w:widowControl w:val="0"/>
        <w:numPr>
          <w:ilvl w:val="0"/>
          <w:numId w:val="9"/>
        </w:numPr>
        <w:kinsoku/>
        <w:wordWrap/>
        <w:overflowPunct/>
        <w:topLinePunct w:val="0"/>
        <w:autoSpaceDE/>
        <w:autoSpaceDN/>
        <w:bidi w:val="0"/>
        <w:adjustRightInd w:val="0"/>
        <w:snapToGrid w:val="0"/>
        <w:spacing w:line="360" w:lineRule="auto"/>
        <w:ind w:left="0" w:firstLine="843" w:firstLineChars="400"/>
        <w:jc w:val="left"/>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 xml:space="preserve">                拟建项目环境风险敏感特征表</w:t>
      </w:r>
    </w:p>
    <w:tbl>
      <w:tblPr>
        <w:tblStyle w:val="25"/>
        <w:tblW w:w="872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252"/>
        <w:gridCol w:w="1983"/>
        <w:gridCol w:w="1886"/>
        <w:gridCol w:w="1065"/>
        <w:gridCol w:w="15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6" w:hRule="atLeast"/>
          <w:tblHeader/>
          <w:jc w:val="center"/>
        </w:trPr>
        <w:tc>
          <w:tcPr>
            <w:tcW w:w="2252" w:type="dxa"/>
            <w:vMerge w:val="restart"/>
            <w:tcBorders>
              <w:tl2br w:val="nil"/>
              <w:tr2bl w:val="nil"/>
            </w:tcBorders>
            <w:vAlign w:val="center"/>
          </w:tcPr>
          <w:p>
            <w:pPr>
              <w:pStyle w:val="33"/>
              <w:spacing w:line="240" w:lineRule="auto"/>
              <w:ind w:firstLine="0" w:firstLineChars="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保护目标</w:t>
            </w:r>
          </w:p>
        </w:tc>
        <w:tc>
          <w:tcPr>
            <w:tcW w:w="3869" w:type="dxa"/>
            <w:gridSpan w:val="2"/>
            <w:tcBorders>
              <w:tl2br w:val="nil"/>
              <w:tr2bl w:val="nil"/>
            </w:tcBorders>
            <w:vAlign w:val="center"/>
          </w:tcPr>
          <w:p>
            <w:pPr>
              <w:pStyle w:val="33"/>
              <w:spacing w:line="240" w:lineRule="auto"/>
              <w:ind w:firstLine="0" w:firstLineChars="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位置</w:t>
            </w:r>
          </w:p>
        </w:tc>
        <w:tc>
          <w:tcPr>
            <w:tcW w:w="1065" w:type="dxa"/>
            <w:vMerge w:val="restart"/>
            <w:tcBorders>
              <w:tl2br w:val="nil"/>
              <w:tr2bl w:val="nil"/>
            </w:tcBorders>
            <w:vAlign w:val="center"/>
          </w:tcPr>
          <w:p>
            <w:pPr>
              <w:pStyle w:val="33"/>
              <w:spacing w:line="240" w:lineRule="auto"/>
              <w:ind w:firstLine="0" w:firstLineChars="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方位</w:t>
            </w:r>
          </w:p>
        </w:tc>
        <w:tc>
          <w:tcPr>
            <w:tcW w:w="1541" w:type="dxa"/>
            <w:vMerge w:val="restart"/>
            <w:tcBorders>
              <w:tl2br w:val="nil"/>
              <w:tr2bl w:val="nil"/>
            </w:tcBorders>
            <w:vAlign w:val="center"/>
          </w:tcPr>
          <w:p>
            <w:pPr>
              <w:pStyle w:val="33"/>
              <w:spacing w:line="240" w:lineRule="auto"/>
              <w:ind w:firstLine="0" w:firstLineChars="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距厂界距离（m）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5" w:hRule="atLeast"/>
          <w:tblHeader/>
          <w:jc w:val="center"/>
        </w:trPr>
        <w:tc>
          <w:tcPr>
            <w:tcW w:w="2252" w:type="dxa"/>
            <w:vMerge w:val="continue"/>
            <w:tcBorders>
              <w:tl2br w:val="nil"/>
              <w:tr2bl w:val="nil"/>
            </w:tcBorders>
            <w:vAlign w:val="center"/>
          </w:tcPr>
          <w:p>
            <w:pPr>
              <w:pStyle w:val="33"/>
              <w:spacing w:line="240" w:lineRule="auto"/>
              <w:ind w:firstLine="0" w:firstLineChars="0"/>
              <w:rPr>
                <w:rFonts w:hint="default" w:ascii="Times New Roman" w:hAnsi="Times New Roman" w:cs="Times New Roman"/>
                <w:b/>
                <w:color w:val="auto"/>
                <w:sz w:val="21"/>
                <w:szCs w:val="21"/>
              </w:rPr>
            </w:pPr>
          </w:p>
        </w:tc>
        <w:tc>
          <w:tcPr>
            <w:tcW w:w="1983" w:type="dxa"/>
            <w:tcBorders>
              <w:tl2br w:val="nil"/>
              <w:tr2bl w:val="nil"/>
            </w:tcBorders>
            <w:vAlign w:val="center"/>
          </w:tcPr>
          <w:p>
            <w:pPr>
              <w:pStyle w:val="33"/>
              <w:spacing w:line="240" w:lineRule="auto"/>
              <w:ind w:firstLine="0" w:firstLineChars="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经度</w:t>
            </w:r>
          </w:p>
        </w:tc>
        <w:tc>
          <w:tcPr>
            <w:tcW w:w="1886" w:type="dxa"/>
            <w:tcBorders>
              <w:tl2br w:val="nil"/>
              <w:tr2bl w:val="nil"/>
            </w:tcBorders>
            <w:vAlign w:val="center"/>
          </w:tcPr>
          <w:p>
            <w:pPr>
              <w:pStyle w:val="33"/>
              <w:spacing w:line="240" w:lineRule="auto"/>
              <w:ind w:firstLine="0" w:firstLineChars="0"/>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纬度</w:t>
            </w:r>
          </w:p>
        </w:tc>
        <w:tc>
          <w:tcPr>
            <w:tcW w:w="1065" w:type="dxa"/>
            <w:vMerge w:val="continue"/>
            <w:tcBorders>
              <w:tl2br w:val="nil"/>
              <w:tr2bl w:val="nil"/>
            </w:tcBorders>
            <w:vAlign w:val="center"/>
          </w:tcPr>
          <w:p>
            <w:pPr>
              <w:pStyle w:val="33"/>
              <w:spacing w:line="240" w:lineRule="auto"/>
              <w:ind w:firstLine="0" w:firstLineChars="0"/>
              <w:rPr>
                <w:rFonts w:hint="default" w:ascii="Times New Roman" w:hAnsi="Times New Roman" w:cs="Times New Roman"/>
                <w:b/>
                <w:color w:val="auto"/>
                <w:sz w:val="21"/>
                <w:szCs w:val="21"/>
              </w:rPr>
            </w:pPr>
          </w:p>
        </w:tc>
        <w:tc>
          <w:tcPr>
            <w:tcW w:w="1541" w:type="dxa"/>
            <w:vMerge w:val="continue"/>
            <w:tcBorders>
              <w:tl2br w:val="nil"/>
              <w:tr2bl w:val="nil"/>
            </w:tcBorders>
            <w:vAlign w:val="center"/>
          </w:tcPr>
          <w:p>
            <w:pPr>
              <w:pStyle w:val="33"/>
              <w:spacing w:line="240" w:lineRule="auto"/>
              <w:ind w:firstLine="0" w:firstLineChars="0"/>
              <w:rPr>
                <w:rFonts w:hint="default" w:ascii="Times New Roman" w:hAnsi="Times New Roman" w:cs="Times New Roman"/>
                <w:b/>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2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杨韩村</w:t>
            </w:r>
          </w:p>
        </w:tc>
        <w:tc>
          <w:tcPr>
            <w:tcW w:w="198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115.017757</w:t>
            </w:r>
          </w:p>
        </w:tc>
        <w:tc>
          <w:tcPr>
            <w:tcW w:w="188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35.923706</w:t>
            </w:r>
          </w:p>
        </w:tc>
        <w:tc>
          <w:tcPr>
            <w:tcW w:w="106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w:t>
            </w:r>
          </w:p>
        </w:tc>
        <w:tc>
          <w:tcPr>
            <w:tcW w:w="1541"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510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4" w:hRule="atLeast"/>
          <w:jc w:val="center"/>
        </w:trPr>
        <w:tc>
          <w:tcPr>
            <w:tcW w:w="22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库韩村</w:t>
            </w:r>
          </w:p>
        </w:tc>
        <w:tc>
          <w:tcPr>
            <w:tcW w:w="198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115.012565</w:t>
            </w:r>
          </w:p>
        </w:tc>
        <w:tc>
          <w:tcPr>
            <w:tcW w:w="188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35.917416</w:t>
            </w:r>
          </w:p>
        </w:tc>
        <w:tc>
          <w:tcPr>
            <w:tcW w:w="106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w:t>
            </w:r>
          </w:p>
        </w:tc>
        <w:tc>
          <w:tcPr>
            <w:tcW w:w="1541"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1320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4" w:hRule="atLeast"/>
          <w:jc w:val="center"/>
        </w:trPr>
        <w:tc>
          <w:tcPr>
            <w:tcW w:w="22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苏二庄村</w:t>
            </w:r>
          </w:p>
        </w:tc>
        <w:tc>
          <w:tcPr>
            <w:tcW w:w="198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114.996557</w:t>
            </w:r>
          </w:p>
        </w:tc>
        <w:tc>
          <w:tcPr>
            <w:tcW w:w="188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35.915052</w:t>
            </w:r>
          </w:p>
        </w:tc>
        <w:tc>
          <w:tcPr>
            <w:tcW w:w="106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SW</w:t>
            </w:r>
          </w:p>
        </w:tc>
        <w:tc>
          <w:tcPr>
            <w:tcW w:w="1541"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1900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4" w:hRule="atLeast"/>
          <w:jc w:val="center"/>
        </w:trPr>
        <w:tc>
          <w:tcPr>
            <w:tcW w:w="22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杨庄窑村</w:t>
            </w:r>
          </w:p>
        </w:tc>
        <w:tc>
          <w:tcPr>
            <w:tcW w:w="198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114.996471</w:t>
            </w:r>
          </w:p>
        </w:tc>
        <w:tc>
          <w:tcPr>
            <w:tcW w:w="188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35.933402</w:t>
            </w:r>
          </w:p>
        </w:tc>
        <w:tc>
          <w:tcPr>
            <w:tcW w:w="106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w:t>
            </w:r>
          </w:p>
        </w:tc>
        <w:tc>
          <w:tcPr>
            <w:tcW w:w="1541"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7" w:hRule="atLeast"/>
          <w:jc w:val="center"/>
        </w:trPr>
        <w:tc>
          <w:tcPr>
            <w:tcW w:w="22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雷家村</w:t>
            </w:r>
          </w:p>
        </w:tc>
        <w:tc>
          <w:tcPr>
            <w:tcW w:w="198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115.009775</w:t>
            </w:r>
          </w:p>
        </w:tc>
        <w:tc>
          <w:tcPr>
            <w:tcW w:w="188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35.956054</w:t>
            </w:r>
          </w:p>
        </w:tc>
        <w:tc>
          <w:tcPr>
            <w:tcW w:w="106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w:t>
            </w:r>
          </w:p>
        </w:tc>
        <w:tc>
          <w:tcPr>
            <w:tcW w:w="1541"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6" w:hRule="atLeast"/>
          <w:jc w:val="center"/>
        </w:trPr>
        <w:tc>
          <w:tcPr>
            <w:tcW w:w="22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南召市村</w:t>
            </w:r>
          </w:p>
        </w:tc>
        <w:tc>
          <w:tcPr>
            <w:tcW w:w="198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115.015011</w:t>
            </w:r>
          </w:p>
        </w:tc>
        <w:tc>
          <w:tcPr>
            <w:tcW w:w="188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35.948203</w:t>
            </w:r>
          </w:p>
        </w:tc>
        <w:tc>
          <w:tcPr>
            <w:tcW w:w="106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w:t>
            </w:r>
          </w:p>
        </w:tc>
        <w:tc>
          <w:tcPr>
            <w:tcW w:w="1541"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22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北召市村</w:t>
            </w:r>
          </w:p>
        </w:tc>
        <w:tc>
          <w:tcPr>
            <w:tcW w:w="198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115.020418</w:t>
            </w:r>
          </w:p>
        </w:tc>
        <w:tc>
          <w:tcPr>
            <w:tcW w:w="188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35.957097</w:t>
            </w:r>
          </w:p>
        </w:tc>
        <w:tc>
          <w:tcPr>
            <w:tcW w:w="106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w:t>
            </w:r>
          </w:p>
        </w:tc>
        <w:tc>
          <w:tcPr>
            <w:tcW w:w="1541"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6" w:hRule="atLeast"/>
          <w:jc w:val="center"/>
        </w:trPr>
        <w:tc>
          <w:tcPr>
            <w:tcW w:w="22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贺庄村</w:t>
            </w:r>
          </w:p>
        </w:tc>
        <w:tc>
          <w:tcPr>
            <w:tcW w:w="198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115.029774</w:t>
            </w:r>
          </w:p>
        </w:tc>
        <w:tc>
          <w:tcPr>
            <w:tcW w:w="188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35.941949</w:t>
            </w:r>
          </w:p>
        </w:tc>
        <w:tc>
          <w:tcPr>
            <w:tcW w:w="106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NE</w:t>
            </w:r>
          </w:p>
        </w:tc>
        <w:tc>
          <w:tcPr>
            <w:tcW w:w="1541"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960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22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刘庄村</w:t>
            </w:r>
          </w:p>
        </w:tc>
        <w:tc>
          <w:tcPr>
            <w:tcW w:w="198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115.033636</w:t>
            </w:r>
          </w:p>
        </w:tc>
        <w:tc>
          <w:tcPr>
            <w:tcW w:w="188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35.953692</w:t>
            </w:r>
          </w:p>
        </w:tc>
        <w:tc>
          <w:tcPr>
            <w:tcW w:w="106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NE</w:t>
            </w:r>
          </w:p>
        </w:tc>
        <w:tc>
          <w:tcPr>
            <w:tcW w:w="1541"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252"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王韩村</w:t>
            </w:r>
          </w:p>
        </w:tc>
        <w:tc>
          <w:tcPr>
            <w:tcW w:w="198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115.030031</w:t>
            </w:r>
          </w:p>
        </w:tc>
        <w:tc>
          <w:tcPr>
            <w:tcW w:w="188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35.912133</w:t>
            </w:r>
          </w:p>
        </w:tc>
        <w:tc>
          <w:tcPr>
            <w:tcW w:w="1065"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w:t>
            </w:r>
          </w:p>
        </w:tc>
        <w:tc>
          <w:tcPr>
            <w:tcW w:w="1541" w:type="dxa"/>
            <w:tcBorders>
              <w:tl2br w:val="nil"/>
              <w:tr2bl w:val="nil"/>
            </w:tcBorders>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1840</w:t>
            </w:r>
          </w:p>
        </w:tc>
      </w:tr>
    </w:tbl>
    <w:p>
      <w:pPr>
        <w:keepNext/>
        <w:keepLines/>
        <w:pageBreakBefore w:val="0"/>
        <w:widowControl w:val="0"/>
        <w:numPr>
          <w:ilvl w:val="2"/>
          <w:numId w:val="0"/>
        </w:numPr>
        <w:tabs>
          <w:tab w:val="left" w:pos="709"/>
        </w:tabs>
        <w:kinsoku/>
        <w:wordWrap/>
        <w:overflowPunct/>
        <w:topLinePunct w:val="0"/>
        <w:autoSpaceDE/>
        <w:autoSpaceDN/>
        <w:bidi w:val="0"/>
        <w:adjustRightInd w:val="0"/>
        <w:snapToGrid w:val="0"/>
        <w:spacing w:line="360" w:lineRule="auto"/>
        <w:textAlignment w:val="auto"/>
        <w:outlineLvl w:val="2"/>
        <w:rPr>
          <w:rFonts w:hint="default" w:ascii="Times New Roman" w:hAnsi="Times New Roman" w:eastAsia="黑体" w:cs="Times New Roman"/>
          <w:bCs/>
          <w:color w:val="auto"/>
          <w:sz w:val="26"/>
          <w:szCs w:val="26"/>
          <w:lang w:val="en-GB"/>
        </w:rPr>
      </w:pPr>
      <w:r>
        <w:rPr>
          <w:rFonts w:hint="default" w:ascii="Times New Roman" w:hAnsi="Times New Roman" w:eastAsia="黑体" w:cs="Times New Roman"/>
          <w:bCs/>
          <w:color w:val="auto"/>
          <w:sz w:val="26"/>
          <w:szCs w:val="26"/>
          <w:lang w:val="en-GB"/>
        </w:rPr>
        <w:t>5.3.2环境风险潜势初判</w:t>
      </w:r>
    </w:p>
    <w:p>
      <w:pPr>
        <w:keepNext/>
        <w:keepLines/>
        <w:pageBreakBefore w:val="0"/>
        <w:widowControl w:val="0"/>
        <w:numPr>
          <w:ilvl w:val="3"/>
          <w:numId w:val="0"/>
        </w:numPr>
        <w:kinsoku/>
        <w:wordWrap/>
        <w:overflowPunct/>
        <w:topLinePunct w:val="0"/>
        <w:autoSpaceDE/>
        <w:autoSpaceDN/>
        <w:bidi w:val="0"/>
        <w:adjustRightInd w:val="0"/>
        <w:snapToGrid w:val="0"/>
        <w:spacing w:line="360" w:lineRule="auto"/>
        <w:jc w:val="left"/>
        <w:textAlignment w:val="auto"/>
        <w:outlineLvl w:val="3"/>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5.3.2.1P值确定</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szCs w:val="24"/>
          <w:lang w:val="de-DE"/>
        </w:rPr>
      </w:pPr>
      <w:r>
        <w:rPr>
          <w:rFonts w:hint="default" w:ascii="Times New Roman" w:hAnsi="Times New Roman" w:cs="Times New Roman"/>
          <w:bCs/>
          <w:color w:val="auto"/>
          <w:sz w:val="24"/>
          <w:szCs w:val="24"/>
          <w:lang w:val="de-DE"/>
        </w:rPr>
        <w:t>（1）危险物质数量与临界量比值Q</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szCs w:val="24"/>
          <w:lang w:val="de-DE"/>
        </w:rPr>
      </w:pPr>
      <w:r>
        <w:rPr>
          <w:rFonts w:hint="default" w:ascii="Times New Roman" w:hAnsi="Times New Roman" w:cs="Times New Roman"/>
          <w:bCs/>
          <w:color w:val="auto"/>
          <w:sz w:val="24"/>
          <w:szCs w:val="24"/>
          <w:lang w:val="de-DE"/>
        </w:rPr>
        <w:t>根据《建设项目环境风险评价导则》（HJ169-2018）附录B物质及临界量来进行筛选。</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szCs w:val="24"/>
          <w:lang w:val="de-DE"/>
        </w:rPr>
      </w:pPr>
      <w:r>
        <w:rPr>
          <w:rFonts w:hint="default" w:ascii="Times New Roman" w:hAnsi="Times New Roman" w:cs="Times New Roman"/>
          <w:bCs/>
          <w:color w:val="auto"/>
          <w:sz w:val="24"/>
          <w:szCs w:val="24"/>
          <w:lang w:val="de-DE"/>
        </w:rPr>
        <w:t>计算所涉及的每种危险物质在厂界内的最大存在总量与其在附录B中对应临界量的比值。在不同厂区的同一种物质，按其在厂界内的最大存在总量计算。当只涉及一种危险物质时，计算该物质的总量与其临界量比值，即为Q。当存在多种危险物质时，则按下式计算物质总量与其临界量比值。</w:t>
      </w:r>
    </w:p>
    <w:p>
      <w:pPr>
        <w:spacing w:line="360" w:lineRule="auto"/>
        <w:ind w:firstLine="1276" w:firstLineChars="532"/>
        <w:rPr>
          <w:rFonts w:hint="default" w:ascii="Times New Roman" w:hAnsi="Times New Roman" w:cs="Times New Roman"/>
          <w:bCs/>
          <w:color w:val="auto"/>
          <w:sz w:val="24"/>
          <w:szCs w:val="24"/>
          <w:lang w:val="de-DE"/>
        </w:rPr>
      </w:pPr>
      <w:r>
        <w:rPr>
          <w:rFonts w:hint="default" w:ascii="Times New Roman" w:hAnsi="Times New Roman" w:cs="Times New Roman"/>
          <w:bCs/>
          <w:color w:val="auto"/>
          <w:sz w:val="24"/>
          <w:szCs w:val="24"/>
          <w:lang w:val="de-DE"/>
        </w:rPr>
        <w:t>Q=q</w:t>
      </w:r>
      <w:r>
        <w:rPr>
          <w:rFonts w:hint="default" w:ascii="Times New Roman" w:hAnsi="Times New Roman" w:cs="Times New Roman"/>
          <w:bCs/>
          <w:color w:val="auto"/>
          <w:sz w:val="24"/>
          <w:szCs w:val="24"/>
          <w:vertAlign w:val="subscript"/>
          <w:lang w:val="de-DE"/>
        </w:rPr>
        <w:t>1</w:t>
      </w:r>
      <w:r>
        <w:rPr>
          <w:rFonts w:hint="default" w:ascii="Times New Roman" w:hAnsi="Times New Roman" w:cs="Times New Roman"/>
          <w:bCs/>
          <w:color w:val="auto"/>
          <w:sz w:val="24"/>
          <w:szCs w:val="24"/>
          <w:lang w:val="de-DE"/>
        </w:rPr>
        <w:t>/Q</w:t>
      </w:r>
      <w:r>
        <w:rPr>
          <w:rFonts w:hint="default" w:ascii="Times New Roman" w:hAnsi="Times New Roman" w:cs="Times New Roman"/>
          <w:bCs/>
          <w:color w:val="auto"/>
          <w:sz w:val="24"/>
          <w:szCs w:val="24"/>
          <w:vertAlign w:val="subscript"/>
          <w:lang w:val="de-DE"/>
        </w:rPr>
        <w:t>1</w:t>
      </w:r>
      <w:r>
        <w:rPr>
          <w:rFonts w:hint="default" w:ascii="Times New Roman" w:hAnsi="Times New Roman" w:cs="Times New Roman"/>
          <w:bCs/>
          <w:color w:val="auto"/>
          <w:sz w:val="24"/>
          <w:szCs w:val="24"/>
          <w:lang w:val="de-DE"/>
        </w:rPr>
        <w:t xml:space="preserve"> + q</w:t>
      </w:r>
      <w:r>
        <w:rPr>
          <w:rFonts w:hint="default" w:ascii="Times New Roman" w:hAnsi="Times New Roman" w:cs="Times New Roman"/>
          <w:bCs/>
          <w:color w:val="auto"/>
          <w:sz w:val="24"/>
          <w:szCs w:val="24"/>
          <w:vertAlign w:val="subscript"/>
          <w:lang w:val="de-DE"/>
        </w:rPr>
        <w:t>2</w:t>
      </w:r>
      <w:r>
        <w:rPr>
          <w:rFonts w:hint="default" w:ascii="Times New Roman" w:hAnsi="Times New Roman" w:cs="Times New Roman"/>
          <w:bCs/>
          <w:color w:val="auto"/>
          <w:sz w:val="24"/>
          <w:szCs w:val="24"/>
          <w:lang w:val="de-DE"/>
        </w:rPr>
        <w:t>/Q</w:t>
      </w:r>
      <w:r>
        <w:rPr>
          <w:rFonts w:hint="default" w:ascii="Times New Roman" w:hAnsi="Times New Roman" w:cs="Times New Roman"/>
          <w:bCs/>
          <w:color w:val="auto"/>
          <w:sz w:val="24"/>
          <w:szCs w:val="24"/>
          <w:vertAlign w:val="subscript"/>
          <w:lang w:val="de-DE"/>
        </w:rPr>
        <w:t>2</w:t>
      </w:r>
      <w:r>
        <w:rPr>
          <w:rFonts w:hint="default" w:ascii="Times New Roman" w:hAnsi="Times New Roman" w:cs="Times New Roman"/>
          <w:bCs/>
          <w:color w:val="auto"/>
          <w:sz w:val="24"/>
          <w:szCs w:val="24"/>
          <w:lang w:val="de-DE"/>
        </w:rPr>
        <w:t xml:space="preserve"> …… + q</w:t>
      </w:r>
      <w:r>
        <w:rPr>
          <w:rFonts w:hint="default" w:ascii="Times New Roman" w:hAnsi="Times New Roman" w:cs="Times New Roman"/>
          <w:bCs/>
          <w:color w:val="auto"/>
          <w:sz w:val="24"/>
          <w:szCs w:val="24"/>
          <w:vertAlign w:val="subscript"/>
          <w:lang w:val="de-DE"/>
        </w:rPr>
        <w:t>n</w:t>
      </w:r>
      <w:r>
        <w:rPr>
          <w:rFonts w:hint="default" w:ascii="Times New Roman" w:hAnsi="Times New Roman" w:cs="Times New Roman"/>
          <w:bCs/>
          <w:color w:val="auto"/>
          <w:sz w:val="24"/>
          <w:szCs w:val="24"/>
          <w:lang w:val="de-DE"/>
        </w:rPr>
        <w:t>/Q</w:t>
      </w:r>
      <w:r>
        <w:rPr>
          <w:rFonts w:hint="default" w:ascii="Times New Roman" w:hAnsi="Times New Roman" w:cs="Times New Roman"/>
          <w:bCs/>
          <w:color w:val="auto"/>
          <w:sz w:val="24"/>
          <w:szCs w:val="24"/>
          <w:vertAlign w:val="subscript"/>
          <w:lang w:val="de-DE"/>
        </w:rPr>
        <w:t>n</w:t>
      </w:r>
      <w:r>
        <w:rPr>
          <w:rFonts w:hint="default" w:ascii="Times New Roman" w:hAnsi="Times New Roman" w:cs="Times New Roman"/>
          <w:bCs/>
          <w:color w:val="auto"/>
          <w:sz w:val="24"/>
          <w:szCs w:val="24"/>
          <w:lang w:val="de-DE"/>
        </w:rPr>
        <w:t xml:space="preserve"> </w:t>
      </w:r>
    </w:p>
    <w:p>
      <w:pPr>
        <w:spacing w:line="360" w:lineRule="auto"/>
        <w:ind w:firstLine="200"/>
        <w:rPr>
          <w:rFonts w:hint="default" w:ascii="Times New Roman" w:hAnsi="Times New Roman" w:cs="Times New Roman"/>
          <w:bCs/>
          <w:color w:val="auto"/>
          <w:sz w:val="24"/>
          <w:szCs w:val="24"/>
          <w:lang w:val="de-DE"/>
        </w:rPr>
      </w:pPr>
      <w:r>
        <w:rPr>
          <w:rFonts w:hint="default" w:ascii="Times New Roman" w:hAnsi="Times New Roman" w:cs="Times New Roman"/>
          <w:bCs/>
          <w:color w:val="auto"/>
          <w:sz w:val="24"/>
          <w:szCs w:val="24"/>
          <w:lang w:val="de-DE"/>
        </w:rPr>
        <w:t>式中：   q</w:t>
      </w:r>
      <w:r>
        <w:rPr>
          <w:rFonts w:hint="default" w:ascii="Times New Roman" w:hAnsi="Times New Roman" w:cs="Times New Roman"/>
          <w:bCs/>
          <w:color w:val="auto"/>
          <w:sz w:val="24"/>
          <w:szCs w:val="24"/>
          <w:vertAlign w:val="subscript"/>
          <w:lang w:val="de-DE"/>
        </w:rPr>
        <w:t>1</w:t>
      </w:r>
      <w:r>
        <w:rPr>
          <w:rFonts w:hint="default" w:ascii="Times New Roman" w:hAnsi="Times New Roman" w:cs="Times New Roman"/>
          <w:bCs/>
          <w:color w:val="auto"/>
          <w:sz w:val="24"/>
          <w:szCs w:val="24"/>
          <w:lang w:val="de-DE"/>
        </w:rPr>
        <w:t>、q</w:t>
      </w:r>
      <w:r>
        <w:rPr>
          <w:rFonts w:hint="default" w:ascii="Times New Roman" w:hAnsi="Times New Roman" w:cs="Times New Roman"/>
          <w:bCs/>
          <w:color w:val="auto"/>
          <w:sz w:val="24"/>
          <w:szCs w:val="24"/>
          <w:vertAlign w:val="subscript"/>
          <w:lang w:val="de-DE"/>
        </w:rPr>
        <w:t>2</w:t>
      </w:r>
      <w:r>
        <w:rPr>
          <w:rFonts w:hint="default" w:ascii="Times New Roman" w:hAnsi="Times New Roman" w:cs="Times New Roman"/>
          <w:bCs/>
          <w:color w:val="auto"/>
          <w:sz w:val="24"/>
          <w:szCs w:val="24"/>
          <w:lang w:val="de-DE"/>
        </w:rPr>
        <w:t>…qn — 每种危险物质的最大存在总量，t。</w:t>
      </w:r>
    </w:p>
    <w:p>
      <w:pPr>
        <w:spacing w:line="360" w:lineRule="auto"/>
        <w:ind w:firstLine="1200" w:firstLineChars="500"/>
        <w:rPr>
          <w:rFonts w:hint="default" w:ascii="Times New Roman" w:hAnsi="Times New Roman" w:cs="Times New Roman"/>
          <w:bCs/>
          <w:color w:val="auto"/>
          <w:sz w:val="24"/>
          <w:szCs w:val="24"/>
          <w:lang w:val="de-DE"/>
        </w:rPr>
      </w:pPr>
      <w:r>
        <w:rPr>
          <w:rFonts w:hint="default" w:ascii="Times New Roman" w:hAnsi="Times New Roman" w:cs="Times New Roman"/>
          <w:bCs/>
          <w:color w:val="auto"/>
          <w:sz w:val="24"/>
          <w:szCs w:val="24"/>
          <w:lang w:val="de-DE"/>
        </w:rPr>
        <w:t>Q</w:t>
      </w:r>
      <w:r>
        <w:rPr>
          <w:rFonts w:hint="default" w:ascii="Times New Roman" w:hAnsi="Times New Roman" w:cs="Times New Roman"/>
          <w:bCs/>
          <w:color w:val="auto"/>
          <w:sz w:val="24"/>
          <w:szCs w:val="24"/>
          <w:vertAlign w:val="subscript"/>
          <w:lang w:val="de-DE"/>
        </w:rPr>
        <w:t>1</w:t>
      </w:r>
      <w:r>
        <w:rPr>
          <w:rFonts w:hint="default" w:ascii="Times New Roman" w:hAnsi="Times New Roman" w:cs="Times New Roman"/>
          <w:bCs/>
          <w:color w:val="auto"/>
          <w:sz w:val="24"/>
          <w:szCs w:val="24"/>
          <w:lang w:val="de-DE"/>
        </w:rPr>
        <w:t>、Q</w:t>
      </w:r>
      <w:r>
        <w:rPr>
          <w:rFonts w:hint="default" w:ascii="Times New Roman" w:hAnsi="Times New Roman" w:cs="Times New Roman"/>
          <w:bCs/>
          <w:color w:val="auto"/>
          <w:sz w:val="24"/>
          <w:szCs w:val="24"/>
          <w:vertAlign w:val="subscript"/>
          <w:lang w:val="de-DE"/>
        </w:rPr>
        <w:t>2</w:t>
      </w:r>
      <w:r>
        <w:rPr>
          <w:rFonts w:hint="default" w:ascii="Times New Roman" w:hAnsi="Times New Roman" w:cs="Times New Roman"/>
          <w:bCs/>
          <w:color w:val="auto"/>
          <w:sz w:val="24"/>
          <w:szCs w:val="24"/>
          <w:lang w:val="de-DE"/>
        </w:rPr>
        <w:t>…Qn — 每种危险物质相对应的临界量，t。</w:t>
      </w:r>
    </w:p>
    <w:p>
      <w:pPr>
        <w:spacing w:line="360" w:lineRule="auto"/>
        <w:ind w:firstLine="1200" w:firstLineChars="500"/>
        <w:rPr>
          <w:rFonts w:hint="default" w:ascii="Times New Roman" w:hAnsi="Times New Roman" w:cs="Times New Roman"/>
          <w:bCs/>
          <w:color w:val="auto"/>
          <w:sz w:val="24"/>
          <w:szCs w:val="24"/>
          <w:lang w:val="de-DE"/>
        </w:rPr>
      </w:pPr>
      <w:r>
        <w:rPr>
          <w:rFonts w:hint="default" w:ascii="Times New Roman" w:hAnsi="Times New Roman" w:cs="Times New Roman"/>
          <w:bCs/>
          <w:color w:val="auto"/>
          <w:sz w:val="24"/>
          <w:szCs w:val="24"/>
          <w:lang w:val="de-DE"/>
        </w:rPr>
        <w:t>当Q＜1时，该项目环境风险潜势为I。</w:t>
      </w:r>
    </w:p>
    <w:p>
      <w:pPr>
        <w:spacing w:line="360" w:lineRule="auto"/>
        <w:ind w:firstLine="1200" w:firstLineChars="500"/>
        <w:rPr>
          <w:rFonts w:hint="default" w:ascii="Times New Roman" w:hAnsi="Times New Roman" w:cs="Times New Roman"/>
          <w:bCs/>
          <w:color w:val="auto"/>
          <w:sz w:val="24"/>
          <w:szCs w:val="24"/>
          <w:lang w:val="de-DE"/>
        </w:rPr>
      </w:pPr>
      <w:r>
        <w:rPr>
          <w:rFonts w:hint="default" w:ascii="Times New Roman" w:hAnsi="Times New Roman" w:cs="Times New Roman"/>
          <w:bCs/>
          <w:color w:val="auto"/>
          <w:sz w:val="24"/>
          <w:szCs w:val="24"/>
          <w:lang w:val="de-DE"/>
        </w:rPr>
        <w:t>当Q≥1时，将Q值划分为：（1）1≤Q＜10：（2）10≤Q＜100（3）Q≥100</w:t>
      </w:r>
    </w:p>
    <w:p>
      <w:pPr>
        <w:spacing w:line="360" w:lineRule="auto"/>
        <w:ind w:firstLine="200"/>
        <w:rPr>
          <w:rFonts w:hint="default" w:ascii="Times New Roman" w:hAnsi="Times New Roman" w:cs="Times New Roman"/>
          <w:bCs/>
          <w:color w:val="auto"/>
          <w:sz w:val="24"/>
          <w:szCs w:val="24"/>
          <w:lang w:val="de-DE"/>
        </w:rPr>
      </w:pPr>
      <w:r>
        <w:rPr>
          <w:rFonts w:hint="default" w:ascii="Times New Roman" w:hAnsi="Times New Roman" w:cs="Times New Roman"/>
          <w:bCs/>
          <w:color w:val="auto"/>
          <w:sz w:val="24"/>
          <w:szCs w:val="24"/>
          <w:lang w:val="de-DE"/>
        </w:rPr>
        <w:t xml:space="preserve">本项目黑膜沼气池集发酵、贮气于一体，不需另外设置沼气贮存设施，沼气最大日产量为 </w:t>
      </w:r>
      <w:r>
        <w:rPr>
          <w:rFonts w:hint="default" w:ascii="Times New Roman" w:hAnsi="Times New Roman" w:cs="Times New Roman"/>
          <w:bCs/>
          <w:color w:val="auto"/>
          <w:sz w:val="24"/>
          <w:szCs w:val="24"/>
          <w:lang w:val="en-US" w:eastAsia="zh-CN"/>
        </w:rPr>
        <w:t>522.56</w:t>
      </w:r>
      <w:r>
        <w:rPr>
          <w:rFonts w:hint="default" w:ascii="Times New Roman" w:hAnsi="Times New Roman" w:cs="Times New Roman"/>
          <w:bCs/>
          <w:color w:val="auto"/>
          <w:sz w:val="24"/>
          <w:szCs w:val="24"/>
          <w:lang w:val="de-DE"/>
        </w:rPr>
        <w:t>m</w:t>
      </w:r>
      <w:r>
        <w:rPr>
          <w:rFonts w:hint="default" w:ascii="Times New Roman" w:hAnsi="Times New Roman" w:cs="Times New Roman"/>
          <w:bCs/>
          <w:color w:val="auto"/>
          <w:sz w:val="24"/>
          <w:szCs w:val="24"/>
          <w:vertAlign w:val="superscript"/>
          <w:lang w:val="de-DE"/>
        </w:rPr>
        <w:t>3</w:t>
      </w:r>
      <w:r>
        <w:rPr>
          <w:rFonts w:hint="default" w:ascii="Times New Roman" w:hAnsi="Times New Roman" w:cs="Times New Roman"/>
          <w:bCs/>
          <w:color w:val="auto"/>
          <w:sz w:val="24"/>
          <w:szCs w:val="24"/>
          <w:lang w:val="de-DE"/>
        </w:rPr>
        <w:t>（夏季），产生的沼气用于食堂</w:t>
      </w:r>
      <w:r>
        <w:rPr>
          <w:rFonts w:hint="eastAsia" w:cs="Times New Roman"/>
          <w:bCs/>
          <w:color w:val="auto"/>
          <w:sz w:val="24"/>
          <w:szCs w:val="24"/>
          <w:lang w:val="de-DE" w:eastAsia="zh-CN"/>
        </w:rPr>
        <w:t>、沼气热水炉</w:t>
      </w:r>
      <w:r>
        <w:rPr>
          <w:rFonts w:hint="default" w:ascii="Times New Roman" w:hAnsi="Times New Roman" w:cs="Times New Roman"/>
          <w:bCs/>
          <w:color w:val="auto"/>
          <w:sz w:val="24"/>
          <w:szCs w:val="24"/>
          <w:lang w:val="de-DE"/>
        </w:rPr>
        <w:t>。沼气最大储存量为</w:t>
      </w:r>
      <w:r>
        <w:rPr>
          <w:rFonts w:hint="default" w:ascii="Times New Roman" w:hAnsi="Times New Roman" w:cs="Times New Roman"/>
          <w:bCs/>
          <w:color w:val="auto"/>
          <w:sz w:val="24"/>
          <w:szCs w:val="24"/>
          <w:lang w:val="en-US" w:eastAsia="zh-CN"/>
        </w:rPr>
        <w:t>5225.6</w:t>
      </w:r>
      <w:r>
        <w:rPr>
          <w:rFonts w:hint="default" w:ascii="Times New Roman" w:hAnsi="Times New Roman" w:cs="Times New Roman"/>
          <w:bCs/>
          <w:color w:val="auto"/>
          <w:sz w:val="24"/>
          <w:szCs w:val="24"/>
          <w:lang w:val="de-DE"/>
        </w:rPr>
        <w:t>m</w:t>
      </w:r>
      <w:r>
        <w:rPr>
          <w:rFonts w:hint="default" w:ascii="Times New Roman" w:hAnsi="Times New Roman" w:cs="Times New Roman"/>
          <w:bCs/>
          <w:color w:val="auto"/>
          <w:sz w:val="24"/>
          <w:szCs w:val="24"/>
          <w:vertAlign w:val="superscript"/>
          <w:lang w:val="de-DE"/>
        </w:rPr>
        <w:t>3</w:t>
      </w:r>
      <w:r>
        <w:rPr>
          <w:rFonts w:hint="default" w:ascii="Times New Roman" w:hAnsi="Times New Roman" w:cs="Times New Roman"/>
          <w:bCs/>
          <w:color w:val="auto"/>
          <w:sz w:val="24"/>
          <w:szCs w:val="24"/>
          <w:lang w:val="de-DE"/>
        </w:rPr>
        <w:t>（储存量以单日沼气最大产生量的10倍进行计算，沼气密度1.221kg/m</w:t>
      </w:r>
      <w:r>
        <w:rPr>
          <w:rFonts w:hint="default" w:ascii="Times New Roman" w:hAnsi="Times New Roman" w:cs="Times New Roman"/>
          <w:bCs/>
          <w:color w:val="auto"/>
          <w:sz w:val="24"/>
          <w:szCs w:val="24"/>
          <w:vertAlign w:val="superscript"/>
          <w:lang w:val="de-DE"/>
        </w:rPr>
        <w:t>3</w:t>
      </w:r>
      <w:r>
        <w:rPr>
          <w:rFonts w:hint="default" w:ascii="Times New Roman" w:hAnsi="Times New Roman" w:cs="Times New Roman"/>
          <w:bCs/>
          <w:color w:val="auto"/>
          <w:sz w:val="24"/>
          <w:szCs w:val="24"/>
          <w:lang w:val="de-DE"/>
        </w:rPr>
        <w:t>），折合</w:t>
      </w:r>
      <w:r>
        <w:rPr>
          <w:rFonts w:hint="default" w:ascii="Times New Roman" w:hAnsi="Times New Roman" w:cs="Times New Roman"/>
          <w:bCs/>
          <w:color w:val="auto"/>
          <w:sz w:val="24"/>
          <w:szCs w:val="24"/>
          <w:lang w:val="en-US" w:eastAsia="zh-CN"/>
        </w:rPr>
        <w:t>6.38</w:t>
      </w:r>
      <w:r>
        <w:rPr>
          <w:rFonts w:hint="default" w:ascii="Times New Roman" w:hAnsi="Times New Roman" w:cs="Times New Roman"/>
          <w:bCs/>
          <w:color w:val="auto"/>
          <w:sz w:val="24"/>
          <w:szCs w:val="24"/>
          <w:lang w:val="de-DE"/>
        </w:rPr>
        <w:t>t，沼气中甲烷含量为60%，则甲烷最大储存量为</w:t>
      </w:r>
      <w:r>
        <w:rPr>
          <w:rFonts w:hint="default" w:ascii="Times New Roman" w:hAnsi="Times New Roman" w:cs="Times New Roman"/>
          <w:bCs/>
          <w:color w:val="auto"/>
          <w:sz w:val="24"/>
          <w:szCs w:val="24"/>
          <w:lang w:val="en-US" w:eastAsia="zh-CN"/>
        </w:rPr>
        <w:t>3.8</w:t>
      </w:r>
      <w:r>
        <w:rPr>
          <w:rFonts w:hint="default" w:ascii="Times New Roman" w:hAnsi="Times New Roman" w:cs="Times New Roman"/>
          <w:bCs/>
          <w:color w:val="auto"/>
          <w:sz w:val="24"/>
          <w:szCs w:val="24"/>
          <w:lang w:val="de-DE"/>
        </w:rPr>
        <w:t>t。</w:t>
      </w:r>
    </w:p>
    <w:p>
      <w:pPr>
        <w:spacing w:line="360" w:lineRule="auto"/>
        <w:ind w:firstLine="200"/>
        <w:rPr>
          <w:rFonts w:hint="default" w:ascii="Times New Roman" w:hAnsi="Times New Roman" w:cs="Times New Roman"/>
          <w:bCs/>
          <w:color w:val="auto"/>
          <w:sz w:val="24"/>
          <w:szCs w:val="24"/>
          <w:lang w:val="de-DE"/>
        </w:rPr>
      </w:pPr>
      <w:r>
        <w:rPr>
          <w:rFonts w:hint="default" w:ascii="Times New Roman" w:hAnsi="Times New Roman" w:cs="Times New Roman"/>
          <w:bCs/>
          <w:color w:val="auto"/>
          <w:sz w:val="24"/>
          <w:szCs w:val="24"/>
          <w:lang w:val="de-DE"/>
        </w:rPr>
        <w:t>本项目黑膜沼气池进水COD15000mg/L，出水COD</w:t>
      </w:r>
      <w:r>
        <w:rPr>
          <w:rFonts w:hint="default" w:ascii="Times New Roman" w:hAnsi="Times New Roman" w:cs="Times New Roman"/>
          <w:bCs/>
          <w:color w:val="auto"/>
          <w:sz w:val="24"/>
          <w:szCs w:val="24"/>
          <w:lang w:val="en-US" w:eastAsia="zh-CN"/>
        </w:rPr>
        <w:t>1913.1</w:t>
      </w:r>
      <w:r>
        <w:rPr>
          <w:rFonts w:hint="default" w:ascii="Times New Roman" w:hAnsi="Times New Roman" w:cs="Times New Roman"/>
          <w:bCs/>
          <w:color w:val="auto"/>
          <w:sz w:val="24"/>
          <w:szCs w:val="24"/>
          <w:lang w:val="de-DE"/>
        </w:rPr>
        <w:t>mg/L，设计发酵周期为35天，因此COD≥10000mg/L的有机废液最大储存量以黑膜沼气池20天夏季进水量计，则最大储存量为</w:t>
      </w:r>
      <w:r>
        <w:rPr>
          <w:rFonts w:hint="default" w:ascii="Times New Roman" w:hAnsi="Times New Roman" w:cs="Times New Roman"/>
          <w:bCs/>
          <w:color w:val="auto"/>
          <w:sz w:val="24"/>
          <w:szCs w:val="24"/>
          <w:lang w:val="en-US" w:eastAsia="zh-CN"/>
        </w:rPr>
        <w:t>2234.4</w:t>
      </w:r>
      <w:r>
        <w:rPr>
          <w:rFonts w:hint="default" w:ascii="Times New Roman" w:hAnsi="Times New Roman" w:cs="Times New Roman"/>
          <w:bCs/>
          <w:color w:val="auto"/>
          <w:sz w:val="24"/>
          <w:szCs w:val="24"/>
          <w:lang w:val="de-DE"/>
        </w:rPr>
        <w:t>t。</w:t>
      </w:r>
    </w:p>
    <w:p>
      <w:pPr>
        <w:spacing w:line="460" w:lineRule="exact"/>
        <w:ind w:firstLine="200"/>
        <w:rPr>
          <w:rFonts w:hint="default" w:ascii="Times New Roman" w:hAnsi="Times New Roman" w:cs="Times New Roman"/>
          <w:bCs/>
          <w:color w:val="auto"/>
          <w:sz w:val="24"/>
          <w:szCs w:val="24"/>
          <w:lang w:val="de-DE"/>
        </w:rPr>
      </w:pPr>
      <w:r>
        <w:rPr>
          <w:rFonts w:hint="default" w:ascii="Times New Roman" w:hAnsi="Times New Roman" w:cs="Times New Roman"/>
          <w:bCs/>
          <w:color w:val="auto"/>
          <w:sz w:val="24"/>
          <w:szCs w:val="24"/>
          <w:lang w:val="de-DE"/>
        </w:rPr>
        <w:t>拟建工程危险物质Q值计算见表5.3-3。</w:t>
      </w:r>
    </w:p>
    <w:p>
      <w:pPr>
        <w:pStyle w:val="8"/>
        <w:numPr>
          <w:ilvl w:val="0"/>
          <w:numId w:val="9"/>
        </w:numPr>
        <w:spacing w:before="120" w:beforeLines="50"/>
        <w:ind w:left="0" w:firstLine="843" w:firstLineChars="400"/>
        <w:jc w:val="left"/>
        <w:rPr>
          <w:rFonts w:hint="default" w:ascii="Times New Roman" w:hAnsi="Times New Roman" w:eastAsia="宋体" w:cs="Times New Roman"/>
          <w:b/>
          <w:color w:val="auto"/>
        </w:rPr>
      </w:pPr>
      <w:r>
        <w:rPr>
          <w:rFonts w:hint="default" w:ascii="Times New Roman" w:hAnsi="Times New Roman" w:eastAsia="宋体" w:cs="Times New Roman"/>
          <w:b/>
          <w:color w:val="auto"/>
          <w:sz w:val="21"/>
          <w:szCs w:val="21"/>
        </w:rPr>
        <w:t xml:space="preserve">                      </w:t>
      </w:r>
      <w:r>
        <w:rPr>
          <w:rFonts w:hint="default" w:ascii="Times New Roman" w:hAnsi="Times New Roman" w:eastAsia="宋体" w:cs="Times New Roman"/>
          <w:b/>
          <w:color w:val="auto"/>
          <w:sz w:val="21"/>
          <w:szCs w:val="21"/>
          <w:lang w:eastAsia="zh-CN"/>
        </w:rPr>
        <w:t>危险源辨识</w:t>
      </w:r>
    </w:p>
    <w:tbl>
      <w:tblPr>
        <w:tblStyle w:val="25"/>
        <w:tblW w:w="878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19"/>
        <w:gridCol w:w="1715"/>
        <w:gridCol w:w="1200"/>
        <w:gridCol w:w="2409"/>
        <w:gridCol w:w="1713"/>
        <w:gridCol w:w="103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7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序号</w:t>
            </w:r>
          </w:p>
        </w:tc>
        <w:tc>
          <w:tcPr>
            <w:tcW w:w="17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危险物质名称</w:t>
            </w:r>
          </w:p>
        </w:tc>
        <w:tc>
          <w:tcPr>
            <w:tcW w:w="12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CAS号</w:t>
            </w:r>
          </w:p>
        </w:tc>
        <w:tc>
          <w:tcPr>
            <w:tcW w:w="24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最大存在总量（t）</w:t>
            </w:r>
          </w:p>
        </w:tc>
        <w:tc>
          <w:tcPr>
            <w:tcW w:w="17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临界量（t）</w:t>
            </w:r>
          </w:p>
        </w:tc>
        <w:tc>
          <w:tcPr>
            <w:tcW w:w="10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Q值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7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17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甲烷</w:t>
            </w:r>
          </w:p>
        </w:tc>
        <w:tc>
          <w:tcPr>
            <w:tcW w:w="12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74-82-8</w:t>
            </w:r>
          </w:p>
        </w:tc>
        <w:tc>
          <w:tcPr>
            <w:tcW w:w="24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3.8</w:t>
            </w:r>
          </w:p>
        </w:tc>
        <w:tc>
          <w:tcPr>
            <w:tcW w:w="17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w:t>
            </w:r>
          </w:p>
        </w:tc>
        <w:tc>
          <w:tcPr>
            <w:tcW w:w="10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0.</w:t>
            </w:r>
            <w:r>
              <w:rPr>
                <w:rFonts w:hint="default" w:ascii="Times New Roman" w:hAnsi="Times New Roman" w:cs="Times New Roman"/>
                <w:color w:val="auto"/>
                <w:kern w:val="0"/>
                <w:sz w:val="21"/>
                <w:szCs w:val="21"/>
                <w:lang w:val="en-US" w:eastAsia="zh-CN"/>
              </w:rPr>
              <w:t>38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7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w:t>
            </w:r>
          </w:p>
        </w:tc>
        <w:tc>
          <w:tcPr>
            <w:tcW w:w="17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COD浓度大于10000mg/L的有机废液</w:t>
            </w:r>
          </w:p>
        </w:tc>
        <w:tc>
          <w:tcPr>
            <w:tcW w:w="12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24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2234.4</w:t>
            </w:r>
          </w:p>
        </w:tc>
        <w:tc>
          <w:tcPr>
            <w:tcW w:w="17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rPr>
              <w:t>10</w:t>
            </w:r>
            <w:r>
              <w:rPr>
                <w:rFonts w:hint="default" w:ascii="Times New Roman" w:hAnsi="Times New Roman" w:cs="Times New Roman"/>
                <w:color w:val="auto"/>
                <w:kern w:val="0"/>
                <w:sz w:val="21"/>
                <w:szCs w:val="21"/>
                <w:lang w:val="en-US" w:eastAsia="zh-CN"/>
              </w:rPr>
              <w:t>0</w:t>
            </w:r>
          </w:p>
        </w:tc>
        <w:tc>
          <w:tcPr>
            <w:tcW w:w="10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22.34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7756"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项目Q值∑</w:t>
            </w:r>
          </w:p>
        </w:tc>
        <w:tc>
          <w:tcPr>
            <w:tcW w:w="10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22.72</w:t>
            </w:r>
          </w:p>
        </w:tc>
      </w:tr>
    </w:tbl>
    <w:p>
      <w:pPr>
        <w:adjustRightInd w:val="0"/>
        <w:snapToGrid w:val="0"/>
        <w:spacing w:line="500" w:lineRule="exact"/>
        <w:ind w:firstLine="480" w:firstLineChars="200"/>
        <w:rPr>
          <w:rFonts w:hint="default" w:ascii="Times New Roman" w:hAnsi="Times New Roman" w:cs="Times New Roman"/>
          <w:bCs/>
          <w:color w:val="auto"/>
          <w:sz w:val="24"/>
          <w:szCs w:val="24"/>
          <w:lang w:val="de-DE"/>
        </w:rPr>
      </w:pPr>
      <w:r>
        <w:rPr>
          <w:rFonts w:hint="default" w:ascii="Times New Roman" w:hAnsi="Times New Roman" w:cs="Times New Roman"/>
          <w:bCs/>
          <w:color w:val="auto"/>
          <w:sz w:val="24"/>
          <w:szCs w:val="24"/>
        </w:rPr>
        <w:t>从统计看，拟建工程危险物质数量与临界量比值Q 为</w:t>
      </w:r>
      <w:r>
        <w:rPr>
          <w:rFonts w:hint="default" w:ascii="Times New Roman" w:hAnsi="Times New Roman" w:cs="Times New Roman"/>
          <w:bCs/>
          <w:color w:val="auto"/>
          <w:sz w:val="24"/>
          <w:szCs w:val="24"/>
          <w:lang w:val="en-US" w:eastAsia="zh-CN"/>
        </w:rPr>
        <w:t>22.72</w:t>
      </w:r>
      <w:r>
        <w:rPr>
          <w:rFonts w:hint="default" w:ascii="Times New Roman" w:hAnsi="Times New Roman" w:cs="Times New Roman"/>
          <w:bCs/>
          <w:color w:val="auto"/>
          <w:sz w:val="24"/>
          <w:szCs w:val="24"/>
          <w:lang w:val="de-DE"/>
        </w:rPr>
        <w:t>。</w:t>
      </w:r>
    </w:p>
    <w:p>
      <w:pPr>
        <w:adjustRightInd w:val="0"/>
        <w:snapToGrid w:val="0"/>
        <w:spacing w:line="500" w:lineRule="exact"/>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（2）行业及生产工艺M</w:t>
      </w:r>
    </w:p>
    <w:p>
      <w:pPr>
        <w:adjustRightInd w:val="0"/>
        <w:snapToGrid w:val="0"/>
        <w:spacing w:line="500" w:lineRule="exact"/>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szCs w:val="24"/>
        </w:rPr>
        <w:t>根据《建设项目环境风险评价导则》（HJ169-2018）按照表C.1评估生产工艺情况。M具有多套工艺单元的项目，对每套生产工艺分别评分并求和。将M划分为(1) M&gt;20；(2) 10&lt;M&lt;20；(3) 5</w:t>
      </w:r>
      <w:r>
        <w:rPr>
          <w:rFonts w:hint="default" w:ascii="Times New Roman" w:hAnsi="Times New Roman" w:cs="Times New Roman"/>
          <w:bCs/>
          <w:color w:val="auto"/>
          <w:sz w:val="24"/>
        </w:rPr>
        <w:t>&lt; M&lt;10；(4) M=5，分别以M1、M2、M3和M4表示。</w:t>
      </w:r>
      <w:r>
        <w:rPr>
          <w:rFonts w:hint="default" w:ascii="Times New Roman" w:hAnsi="Times New Roman" w:cs="Times New Roman"/>
          <w:bCs/>
          <w:color w:val="auto"/>
          <w:sz w:val="24"/>
          <w:lang w:val="de-DE"/>
        </w:rPr>
        <w:t>拟建工程危险物质Q值计算见表5.3-4。</w:t>
      </w:r>
    </w:p>
    <w:p>
      <w:pPr>
        <w:pStyle w:val="8"/>
        <w:numPr>
          <w:ilvl w:val="0"/>
          <w:numId w:val="9"/>
        </w:numPr>
        <w:spacing w:before="120" w:beforeLines="50"/>
        <w:ind w:left="0" w:firstLine="843" w:firstLineChars="400"/>
        <w:jc w:val="left"/>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eastAsia="zh-CN"/>
        </w:rPr>
        <w:t xml:space="preserve">                   </w:t>
      </w:r>
      <w:r>
        <w:rPr>
          <w:rFonts w:hint="default" w:ascii="Times New Roman" w:hAnsi="Times New Roman" w:eastAsia="宋体" w:cs="Times New Roman"/>
          <w:b/>
          <w:color w:val="auto"/>
          <w:sz w:val="21"/>
          <w:szCs w:val="21"/>
        </w:rPr>
        <w:t>拟建工程M值确定表</w:t>
      </w:r>
    </w:p>
    <w:tbl>
      <w:tblPr>
        <w:tblStyle w:val="25"/>
        <w:tblW w:w="878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38"/>
        <w:gridCol w:w="917"/>
        <w:gridCol w:w="2042"/>
        <w:gridCol w:w="1608"/>
        <w:gridCol w:w="2144"/>
        <w:gridCol w:w="14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8"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序号</w:t>
            </w:r>
          </w:p>
        </w:tc>
        <w:tc>
          <w:tcPr>
            <w:tcW w:w="9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行业</w:t>
            </w:r>
          </w:p>
        </w:tc>
        <w:tc>
          <w:tcPr>
            <w:tcW w:w="20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评估依据</w:t>
            </w:r>
          </w:p>
        </w:tc>
        <w:tc>
          <w:tcPr>
            <w:tcW w:w="16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分值</w:t>
            </w:r>
          </w:p>
        </w:tc>
        <w:tc>
          <w:tcPr>
            <w:tcW w:w="21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拟建项目</w:t>
            </w:r>
          </w:p>
        </w:tc>
        <w:tc>
          <w:tcPr>
            <w:tcW w:w="1437" w:type="dxa"/>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M分值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38"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91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其他</w:t>
            </w:r>
          </w:p>
        </w:tc>
        <w:tc>
          <w:tcPr>
            <w:tcW w:w="20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涉及危险物质使用、贮存的项目</w:t>
            </w:r>
          </w:p>
        </w:tc>
        <w:tc>
          <w:tcPr>
            <w:tcW w:w="160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w:t>
            </w:r>
          </w:p>
        </w:tc>
        <w:tc>
          <w:tcPr>
            <w:tcW w:w="21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拟建项目涉及危险物质贮存等</w:t>
            </w:r>
          </w:p>
        </w:tc>
        <w:tc>
          <w:tcPr>
            <w:tcW w:w="1437" w:type="dxa"/>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7349" w:type="dxa"/>
            <w:gridSpan w:val="5"/>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项目M值∑</w:t>
            </w:r>
          </w:p>
        </w:tc>
        <w:tc>
          <w:tcPr>
            <w:tcW w:w="1437" w:type="dxa"/>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5</w:t>
            </w:r>
          </w:p>
        </w:tc>
      </w:tr>
    </w:tbl>
    <w:p>
      <w:pPr>
        <w:spacing w:line="360" w:lineRule="auto"/>
        <w:ind w:firstLine="559" w:firstLineChars="233"/>
        <w:rPr>
          <w:rFonts w:hint="default" w:ascii="Times New Roman" w:hAnsi="Times New Roman" w:cs="Times New Roman"/>
          <w:bCs/>
          <w:color w:val="auto"/>
          <w:sz w:val="24"/>
        </w:rPr>
      </w:pPr>
      <w:r>
        <w:rPr>
          <w:rFonts w:hint="default" w:ascii="Times New Roman" w:hAnsi="Times New Roman" w:cs="Times New Roman"/>
          <w:bCs/>
          <w:color w:val="auto"/>
          <w:sz w:val="24"/>
        </w:rPr>
        <w:t>根据项目所属行业及生产工艺特点，项目M=5，行业及生产工艺属于M4。</w:t>
      </w:r>
    </w:p>
    <w:p>
      <w:pPr>
        <w:adjustRightInd w:val="0"/>
        <w:snapToGrid w:val="0"/>
        <w:spacing w:line="360" w:lineRule="auto"/>
        <w:ind w:firstLine="480" w:firstLineChars="200"/>
        <w:rPr>
          <w:rFonts w:hint="default" w:ascii="Times New Roman" w:hAnsi="Times New Roman" w:cs="Times New Roman"/>
          <w:bCs/>
          <w:color w:val="auto"/>
          <w:sz w:val="24"/>
          <w:szCs w:val="24"/>
          <w:lang w:val="de-DE"/>
        </w:rPr>
      </w:pPr>
      <w:r>
        <w:rPr>
          <w:rFonts w:hint="default" w:ascii="Times New Roman" w:hAnsi="Times New Roman" w:cs="Times New Roman"/>
          <w:bCs/>
          <w:color w:val="auto"/>
          <w:sz w:val="24"/>
          <w:szCs w:val="24"/>
          <w:lang w:val="de-DE"/>
        </w:rPr>
        <w:t>（3）危险物质及工艺系统危险性分级</w:t>
      </w:r>
    </w:p>
    <w:p>
      <w:pPr>
        <w:spacing w:line="360" w:lineRule="auto"/>
        <w:ind w:firstLine="559" w:firstLineChars="233"/>
        <w:rPr>
          <w:rFonts w:hint="default" w:ascii="Times New Roman" w:hAnsi="Times New Roman" w:cs="Times New Roman"/>
          <w:bCs/>
          <w:color w:val="auto"/>
          <w:sz w:val="24"/>
        </w:rPr>
      </w:pPr>
      <w:r>
        <w:rPr>
          <w:rFonts w:hint="default" w:ascii="Times New Roman" w:hAnsi="Times New Roman" w:cs="Times New Roman"/>
          <w:bCs/>
          <w:color w:val="auto"/>
          <w:sz w:val="24"/>
        </w:rPr>
        <w:t>根据危险物质数量与临界量比值(Q)和行业及生产工艺(M)，按照表5.3-5确定危险物质及工艺系统危险性等级(P)，分别以P1、P2、P3、P4表示。</w:t>
      </w:r>
    </w:p>
    <w:p>
      <w:pPr>
        <w:pStyle w:val="8"/>
        <w:numPr>
          <w:ilvl w:val="0"/>
          <w:numId w:val="9"/>
        </w:numPr>
        <w:spacing w:before="120" w:beforeLines="50" w:line="360" w:lineRule="auto"/>
        <w:ind w:left="0" w:firstLine="843" w:firstLineChars="400"/>
        <w:jc w:val="left"/>
        <w:rPr>
          <w:rFonts w:hint="default" w:ascii="Times New Roman" w:hAnsi="Times New Roman" w:cs="Times New Roman"/>
          <w:color w:val="auto"/>
          <w:kern w:val="0"/>
          <w:sz w:val="24"/>
        </w:rPr>
      </w:pPr>
      <w:r>
        <w:rPr>
          <w:rFonts w:hint="default" w:ascii="Times New Roman" w:hAnsi="Times New Roman" w:eastAsia="宋体" w:cs="Times New Roman"/>
          <w:b/>
          <w:color w:val="auto"/>
          <w:sz w:val="21"/>
          <w:szCs w:val="21"/>
          <w:lang w:eastAsia="zh-CN"/>
        </w:rPr>
        <w:t xml:space="preserve">        危险物质及工艺系统危险性等级判断（P）</w:t>
      </w:r>
    </w:p>
    <w:tbl>
      <w:tblPr>
        <w:tblStyle w:val="25"/>
        <w:tblW w:w="8786" w:type="dxa"/>
        <w:tblInd w:w="2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667"/>
        <w:gridCol w:w="1339"/>
        <w:gridCol w:w="1935"/>
        <w:gridCol w:w="1935"/>
        <w:gridCol w:w="191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67" w:type="dxa"/>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危险物质数量与临界量比值（Q）</w:t>
            </w:r>
          </w:p>
        </w:tc>
        <w:tc>
          <w:tcPr>
            <w:tcW w:w="7119" w:type="dxa"/>
            <w:gridSpan w:val="4"/>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行业及生产工艺（M）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67"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M1</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M2</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M3</w:t>
            </w:r>
          </w:p>
        </w:tc>
        <w:tc>
          <w:tcPr>
            <w:tcW w:w="1910" w:type="dxa"/>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M4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67"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Q≥100</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P1</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P1</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P2</w:t>
            </w:r>
          </w:p>
        </w:tc>
        <w:tc>
          <w:tcPr>
            <w:tcW w:w="1910" w:type="dxa"/>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P3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67"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bCs/>
                <w:color w:val="auto"/>
                <w:kern w:val="0"/>
                <w:sz w:val="21"/>
                <w:szCs w:val="21"/>
              </w:rPr>
              <w:t>10≤</w:t>
            </w:r>
            <w:r>
              <w:rPr>
                <w:rFonts w:hint="default" w:ascii="Times New Roman" w:hAnsi="Times New Roman" w:cs="Times New Roman"/>
                <w:color w:val="auto"/>
                <w:kern w:val="0"/>
                <w:sz w:val="21"/>
                <w:szCs w:val="21"/>
              </w:rPr>
              <w:t>Q</w:t>
            </w:r>
            <w:r>
              <w:rPr>
                <w:rFonts w:hint="default" w:ascii="Times New Roman" w:hAnsi="Times New Roman" w:cs="Times New Roman"/>
                <w:bCs/>
                <w:color w:val="auto"/>
                <w:kern w:val="0"/>
                <w:sz w:val="21"/>
                <w:szCs w:val="21"/>
              </w:rPr>
              <w:t xml:space="preserve"> &lt;100</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P1</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P2</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P3</w:t>
            </w:r>
          </w:p>
        </w:tc>
        <w:tc>
          <w:tcPr>
            <w:tcW w:w="1910" w:type="dxa"/>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P4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667"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bCs/>
                <w:color w:val="auto"/>
                <w:kern w:val="0"/>
                <w:sz w:val="21"/>
                <w:szCs w:val="21"/>
              </w:rPr>
              <w:t>1≤</w:t>
            </w:r>
            <w:r>
              <w:rPr>
                <w:rFonts w:hint="default" w:ascii="Times New Roman" w:hAnsi="Times New Roman" w:cs="Times New Roman"/>
                <w:color w:val="auto"/>
                <w:kern w:val="0"/>
                <w:sz w:val="21"/>
                <w:szCs w:val="21"/>
              </w:rPr>
              <w:t>Q</w:t>
            </w:r>
            <w:r>
              <w:rPr>
                <w:rFonts w:hint="default" w:ascii="Times New Roman" w:hAnsi="Times New Roman" w:cs="Times New Roman"/>
                <w:bCs/>
                <w:color w:val="auto"/>
                <w:kern w:val="0"/>
                <w:sz w:val="21"/>
                <w:szCs w:val="21"/>
              </w:rPr>
              <w:t xml:space="preserve"> &lt;10</w:t>
            </w:r>
          </w:p>
        </w:tc>
        <w:tc>
          <w:tcPr>
            <w:tcW w:w="1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P2</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P3</w:t>
            </w:r>
          </w:p>
        </w:tc>
        <w:tc>
          <w:tcPr>
            <w:tcW w:w="19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P4</w:t>
            </w:r>
          </w:p>
        </w:tc>
        <w:tc>
          <w:tcPr>
            <w:tcW w:w="1910" w:type="dxa"/>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P4</w:t>
            </w:r>
          </w:p>
        </w:tc>
      </w:tr>
    </w:tbl>
    <w:p>
      <w:pPr>
        <w:pageBreakBefore w:val="0"/>
        <w:widowControl w:val="0"/>
        <w:kinsoku/>
        <w:wordWrap/>
        <w:overflowPunct/>
        <w:topLinePunct w:val="0"/>
        <w:autoSpaceDE/>
        <w:autoSpaceDN/>
        <w:bidi w:val="0"/>
        <w:adjustRightInd w:val="0"/>
        <w:snapToGrid w:val="0"/>
        <w:spacing w:line="360" w:lineRule="auto"/>
        <w:ind w:firstLine="559" w:firstLineChars="233"/>
        <w:textAlignment w:val="auto"/>
        <w:rPr>
          <w:rFonts w:hint="default" w:ascii="Times New Roman" w:hAnsi="Times New Roman" w:cs="Times New Roman"/>
          <w:bCs/>
          <w:color w:val="auto"/>
          <w:sz w:val="24"/>
          <w:lang w:val="de-DE"/>
        </w:rPr>
      </w:pPr>
      <w:r>
        <w:rPr>
          <w:rFonts w:hint="default" w:ascii="Times New Roman" w:hAnsi="Times New Roman" w:cs="Times New Roman"/>
          <w:bCs/>
          <w:color w:val="auto"/>
          <w:sz w:val="24"/>
        </w:rPr>
        <w:t>依照分析，本次技改项目的Q 值为</w:t>
      </w:r>
      <w:r>
        <w:rPr>
          <w:rFonts w:hint="default" w:ascii="Times New Roman" w:hAnsi="Times New Roman" w:cs="Times New Roman"/>
          <w:bCs/>
          <w:color w:val="auto"/>
          <w:sz w:val="24"/>
          <w:lang w:val="en-US" w:eastAsia="zh-CN"/>
        </w:rPr>
        <w:t>22.72</w:t>
      </w:r>
      <w:r>
        <w:rPr>
          <w:rFonts w:hint="default" w:ascii="Times New Roman" w:hAnsi="Times New Roman" w:cs="Times New Roman"/>
          <w:bCs/>
          <w:color w:val="auto"/>
          <w:sz w:val="24"/>
        </w:rPr>
        <w:t>，M 值为5（表示为M4），对照上表，</w:t>
      </w:r>
      <w:r>
        <w:rPr>
          <w:rFonts w:hint="default" w:ascii="Times New Roman" w:hAnsi="Times New Roman" w:cs="Times New Roman"/>
          <w:bCs/>
          <w:color w:val="auto"/>
          <w:sz w:val="24"/>
          <w:lang w:val="de-DE"/>
        </w:rPr>
        <w:t>拟建工程危险物质及工艺系统危险性（P）分级为P</w:t>
      </w:r>
      <w:r>
        <w:rPr>
          <w:rFonts w:hint="default" w:ascii="Times New Roman" w:hAnsi="Times New Roman" w:cs="Times New Roman"/>
          <w:bCs/>
          <w:color w:val="auto"/>
          <w:sz w:val="24"/>
          <w:lang w:val="en-US" w:eastAsia="zh-CN"/>
        </w:rPr>
        <w:t>4</w:t>
      </w:r>
      <w:r>
        <w:rPr>
          <w:rFonts w:hint="default" w:ascii="Times New Roman" w:hAnsi="Times New Roman" w:cs="Times New Roman"/>
          <w:bCs/>
          <w:color w:val="auto"/>
          <w:sz w:val="24"/>
          <w:lang w:val="de-DE"/>
        </w:rPr>
        <w:t>。</w:t>
      </w:r>
    </w:p>
    <w:p>
      <w:pPr>
        <w:keepNext/>
        <w:keepLines/>
        <w:pageBreakBefore w:val="0"/>
        <w:widowControl w:val="0"/>
        <w:numPr>
          <w:ilvl w:val="3"/>
          <w:numId w:val="0"/>
        </w:numPr>
        <w:kinsoku/>
        <w:wordWrap/>
        <w:overflowPunct/>
        <w:topLinePunct w:val="0"/>
        <w:autoSpaceDE/>
        <w:autoSpaceDN/>
        <w:bidi w:val="0"/>
        <w:adjustRightInd w:val="0"/>
        <w:snapToGrid w:val="0"/>
        <w:spacing w:line="360" w:lineRule="auto"/>
        <w:jc w:val="left"/>
        <w:textAlignment w:val="auto"/>
        <w:outlineLvl w:val="3"/>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5.3.2.2环境敏感程度（E）的分级确定</w:t>
      </w:r>
    </w:p>
    <w:p>
      <w:pPr>
        <w:pageBreakBefore w:val="0"/>
        <w:widowControl w:val="0"/>
        <w:kinsoku/>
        <w:wordWrap/>
        <w:overflowPunct/>
        <w:topLinePunct w:val="0"/>
        <w:autoSpaceDE/>
        <w:autoSpaceDN/>
        <w:bidi w:val="0"/>
        <w:adjustRightInd w:val="0"/>
        <w:snapToGrid w:val="0"/>
        <w:spacing w:line="360" w:lineRule="auto"/>
        <w:ind w:firstLine="559" w:firstLineChars="233"/>
        <w:textAlignment w:val="auto"/>
        <w:rPr>
          <w:rFonts w:hint="default" w:ascii="Times New Roman" w:hAnsi="Times New Roman" w:cs="Times New Roman"/>
          <w:bCs/>
          <w:color w:val="auto"/>
          <w:sz w:val="24"/>
          <w:lang w:val="de-DE"/>
        </w:rPr>
      </w:pPr>
      <w:r>
        <w:rPr>
          <w:rFonts w:hint="default" w:ascii="Times New Roman" w:hAnsi="Times New Roman" w:cs="Times New Roman"/>
          <w:bCs/>
          <w:color w:val="auto"/>
          <w:sz w:val="24"/>
          <w:lang w:val="de-DE"/>
        </w:rPr>
        <w:t>依据导则附录D 进行项目环境敏感程度（E）的分级判定。</w:t>
      </w:r>
    </w:p>
    <w:p>
      <w:pPr>
        <w:pageBreakBefore w:val="0"/>
        <w:widowControl w:val="0"/>
        <w:kinsoku/>
        <w:wordWrap/>
        <w:overflowPunct/>
        <w:topLinePunct w:val="0"/>
        <w:autoSpaceDE/>
        <w:autoSpaceDN/>
        <w:bidi w:val="0"/>
        <w:adjustRightInd w:val="0"/>
        <w:snapToGrid w:val="0"/>
        <w:spacing w:line="360" w:lineRule="auto"/>
        <w:ind w:firstLine="559" w:firstLineChars="233"/>
        <w:textAlignment w:val="auto"/>
        <w:rPr>
          <w:rFonts w:hint="default" w:ascii="Times New Roman" w:hAnsi="Times New Roman" w:cs="Times New Roman"/>
          <w:bCs/>
          <w:color w:val="auto"/>
          <w:sz w:val="24"/>
          <w:lang w:val="de-DE"/>
        </w:rPr>
      </w:pPr>
      <w:r>
        <w:rPr>
          <w:rFonts w:hint="default" w:ascii="Times New Roman" w:hAnsi="Times New Roman" w:cs="Times New Roman"/>
          <w:bCs/>
          <w:color w:val="auto"/>
          <w:sz w:val="24"/>
          <w:lang w:val="de-DE"/>
        </w:rPr>
        <w:t>导则附录D 中要求根据大气环境、水环境、地下水环境等三个不同环境要素进行环境敏感程度分级判断，将环境敏感程度分成三种类型，E1 为环境高度敏感区，E2 为环境中度敏感区，E3 为环境低度敏感区。</w:t>
      </w:r>
    </w:p>
    <w:p>
      <w:pPr>
        <w:pageBreakBefore w:val="0"/>
        <w:widowControl w:val="0"/>
        <w:kinsoku/>
        <w:wordWrap/>
        <w:overflowPunct/>
        <w:topLinePunct w:val="0"/>
        <w:autoSpaceDE/>
        <w:autoSpaceDN/>
        <w:bidi w:val="0"/>
        <w:adjustRightInd w:val="0"/>
        <w:snapToGrid w:val="0"/>
        <w:spacing w:line="360" w:lineRule="auto"/>
        <w:ind w:firstLine="559" w:firstLineChars="233"/>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lang w:val="de-DE"/>
        </w:rPr>
        <w:t>根据现状调查，，拟建工程主要环境敏感目标分布情况详见5.3-6。</w:t>
      </w:r>
    </w:p>
    <w:p>
      <w:pPr>
        <w:pStyle w:val="8"/>
        <w:pageBreakBefore w:val="0"/>
        <w:widowControl w:val="0"/>
        <w:numPr>
          <w:ilvl w:val="0"/>
          <w:numId w:val="9"/>
        </w:numPr>
        <w:kinsoku/>
        <w:wordWrap/>
        <w:overflowPunct/>
        <w:topLinePunct w:val="0"/>
        <w:autoSpaceDE/>
        <w:autoSpaceDN/>
        <w:bidi w:val="0"/>
        <w:adjustRightInd w:val="0"/>
        <w:snapToGrid w:val="0"/>
        <w:spacing w:line="360" w:lineRule="auto"/>
        <w:ind w:left="0" w:firstLine="843" w:firstLineChars="400"/>
        <w:jc w:val="left"/>
        <w:textAlignment w:val="auto"/>
        <w:rPr>
          <w:rFonts w:hint="default" w:ascii="Times New Roman" w:hAnsi="Times New Roman" w:cs="Times New Roman"/>
          <w:color w:val="auto"/>
          <w:kern w:val="0"/>
          <w:sz w:val="24"/>
        </w:rPr>
      </w:pPr>
      <w:r>
        <w:rPr>
          <w:rFonts w:hint="default" w:ascii="Times New Roman" w:hAnsi="Times New Roman" w:eastAsia="宋体" w:cs="Times New Roman"/>
          <w:b/>
          <w:color w:val="auto"/>
          <w:sz w:val="21"/>
          <w:szCs w:val="21"/>
          <w:lang w:eastAsia="zh-CN"/>
        </w:rPr>
        <w:t xml:space="preserve">            拟建工程项目环境敏感度分级</w:t>
      </w:r>
    </w:p>
    <w:tbl>
      <w:tblPr>
        <w:tblStyle w:val="25"/>
        <w:tblW w:w="8786" w:type="dxa"/>
        <w:tblInd w:w="2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815"/>
        <w:gridCol w:w="4762"/>
        <w:gridCol w:w="220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环境要求</w:t>
            </w:r>
          </w:p>
        </w:tc>
        <w:tc>
          <w:tcPr>
            <w:tcW w:w="4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判定依据</w:t>
            </w:r>
          </w:p>
        </w:tc>
        <w:tc>
          <w:tcPr>
            <w:tcW w:w="2209" w:type="dxa"/>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敏感程度（E）</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大气环境</w:t>
            </w:r>
          </w:p>
        </w:tc>
        <w:tc>
          <w:tcPr>
            <w:tcW w:w="4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周边5km范围内居住区、医疗卫生、文化教育、科研、行政办公等机构人口总数大于1万人，小于5万人</w:t>
            </w:r>
          </w:p>
        </w:tc>
        <w:tc>
          <w:tcPr>
            <w:tcW w:w="2209" w:type="dxa"/>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E2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地表水环境</w:t>
            </w:r>
          </w:p>
        </w:tc>
        <w:tc>
          <w:tcPr>
            <w:tcW w:w="4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周边水体属</w:t>
            </w:r>
            <w:r>
              <w:rPr>
                <w:rFonts w:hint="default" w:ascii="Times New Roman" w:hAnsi="Times New Roman" w:cs="Times New Roman"/>
                <w:color w:val="auto"/>
                <w:kern w:val="0"/>
                <w:sz w:val="21"/>
                <w:szCs w:val="21"/>
                <w:lang w:val="zh-CN"/>
              </w:rPr>
              <w:fldChar w:fldCharType="begin"/>
            </w:r>
            <w:r>
              <w:rPr>
                <w:rFonts w:hint="default" w:ascii="Times New Roman" w:hAnsi="Times New Roman" w:cs="Times New Roman"/>
                <w:color w:val="auto"/>
                <w:kern w:val="0"/>
                <w:sz w:val="21"/>
                <w:szCs w:val="21"/>
                <w:lang w:val="zh-CN"/>
              </w:rPr>
              <w:instrText xml:space="preserve"> = 4 \* ROMAN \* MERGEFORMAT </w:instrText>
            </w:r>
            <w:r>
              <w:rPr>
                <w:rFonts w:hint="default" w:ascii="Times New Roman" w:hAnsi="Times New Roman" w:cs="Times New Roman"/>
                <w:color w:val="auto"/>
                <w:kern w:val="0"/>
                <w:sz w:val="21"/>
                <w:szCs w:val="21"/>
                <w:lang w:val="zh-CN"/>
              </w:rPr>
              <w:fldChar w:fldCharType="separate"/>
            </w:r>
            <w:r>
              <w:rPr>
                <w:rFonts w:hint="default" w:ascii="Times New Roman" w:hAnsi="Times New Roman" w:cs="Times New Roman"/>
                <w:color w:val="auto"/>
              </w:rPr>
              <w:t>IV</w:t>
            </w:r>
            <w:r>
              <w:rPr>
                <w:rFonts w:hint="default" w:ascii="Times New Roman" w:hAnsi="Times New Roman" w:cs="Times New Roman"/>
                <w:color w:val="auto"/>
                <w:kern w:val="0"/>
                <w:sz w:val="21"/>
                <w:szCs w:val="21"/>
                <w:lang w:val="zh-CN"/>
              </w:rPr>
              <w:fldChar w:fldCharType="end"/>
            </w:r>
            <w:r>
              <w:rPr>
                <w:rFonts w:hint="default" w:ascii="Times New Roman" w:hAnsi="Times New Roman" w:cs="Times New Roman"/>
                <w:color w:val="auto"/>
                <w:kern w:val="0"/>
                <w:sz w:val="21"/>
                <w:szCs w:val="21"/>
                <w:lang w:val="zh-CN"/>
              </w:rPr>
              <w:t>类</w:t>
            </w:r>
            <w:r>
              <w:rPr>
                <w:rFonts w:hint="default" w:ascii="Times New Roman" w:hAnsi="Times New Roman" w:cs="Times New Roman"/>
                <w:color w:val="auto"/>
                <w:kern w:val="0"/>
                <w:sz w:val="21"/>
                <w:szCs w:val="21"/>
              </w:rPr>
              <w:t>类功能区（F3类低敏感功能区），可能事故影响范围内不存在敏感目标（S3类敏感目标区域）；</w:t>
            </w:r>
          </w:p>
        </w:tc>
        <w:tc>
          <w:tcPr>
            <w:tcW w:w="2209" w:type="dxa"/>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E3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地下水环境</w:t>
            </w:r>
          </w:p>
        </w:tc>
        <w:tc>
          <w:tcPr>
            <w:tcW w:w="4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属于地下水不敏感功能区（较敏感G2），包气带防污性能分级为D3</w:t>
            </w:r>
          </w:p>
        </w:tc>
        <w:tc>
          <w:tcPr>
            <w:tcW w:w="2209" w:type="dxa"/>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E3</w:t>
            </w:r>
          </w:p>
        </w:tc>
      </w:tr>
    </w:tbl>
    <w:p>
      <w:pPr>
        <w:keepNext/>
        <w:keepLines/>
        <w:pageBreakBefore w:val="0"/>
        <w:widowControl w:val="0"/>
        <w:numPr>
          <w:ilvl w:val="3"/>
          <w:numId w:val="0"/>
        </w:numPr>
        <w:kinsoku/>
        <w:wordWrap/>
        <w:overflowPunct/>
        <w:topLinePunct w:val="0"/>
        <w:autoSpaceDE/>
        <w:autoSpaceDN/>
        <w:bidi w:val="0"/>
        <w:adjustRightInd w:val="0"/>
        <w:snapToGrid w:val="0"/>
        <w:jc w:val="left"/>
        <w:textAlignment w:val="auto"/>
        <w:outlineLvl w:val="3"/>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5.3.2.3环境风险潜势判断</w:t>
      </w:r>
    </w:p>
    <w:p>
      <w:pPr>
        <w:pageBreakBefore w:val="0"/>
        <w:widowControl w:val="0"/>
        <w:kinsoku/>
        <w:wordWrap/>
        <w:overflowPunct/>
        <w:topLinePunct w:val="0"/>
        <w:autoSpaceDE/>
        <w:autoSpaceDN/>
        <w:bidi w:val="0"/>
        <w:adjustRightInd w:val="0"/>
        <w:snapToGrid w:val="0"/>
        <w:spacing w:line="360" w:lineRule="auto"/>
        <w:ind w:firstLine="559" w:firstLineChars="233"/>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建设项目环境风险潜势划分为I、II、III、IV/IV</w:t>
      </w:r>
      <w:r>
        <w:rPr>
          <w:rFonts w:hint="default" w:ascii="Times New Roman" w:hAnsi="Times New Roman" w:cs="Times New Roman"/>
          <w:bCs/>
          <w:color w:val="auto"/>
          <w:sz w:val="24"/>
          <w:vertAlign w:val="superscript"/>
        </w:rPr>
        <w:t>+</w:t>
      </w:r>
      <w:r>
        <w:rPr>
          <w:rFonts w:hint="default" w:ascii="Times New Roman" w:hAnsi="Times New Roman" w:cs="Times New Roman"/>
          <w:bCs/>
          <w:color w:val="auto"/>
          <w:sz w:val="24"/>
        </w:rPr>
        <w:t>级。判定依据见表5.3-7。</w:t>
      </w:r>
    </w:p>
    <w:p>
      <w:pPr>
        <w:pStyle w:val="8"/>
        <w:pageBreakBefore w:val="0"/>
        <w:widowControl w:val="0"/>
        <w:numPr>
          <w:ilvl w:val="0"/>
          <w:numId w:val="9"/>
        </w:numPr>
        <w:kinsoku/>
        <w:wordWrap/>
        <w:overflowPunct/>
        <w:topLinePunct w:val="0"/>
        <w:autoSpaceDE/>
        <w:autoSpaceDN/>
        <w:bidi w:val="0"/>
        <w:adjustRightInd w:val="0"/>
        <w:snapToGrid w:val="0"/>
        <w:ind w:left="0" w:firstLine="843" w:firstLineChars="400"/>
        <w:jc w:val="left"/>
        <w:textAlignment w:val="auto"/>
        <w:rPr>
          <w:rFonts w:hint="default" w:ascii="Times New Roman" w:hAnsi="Times New Roman" w:cs="Times New Roman"/>
          <w:color w:val="auto"/>
          <w:kern w:val="0"/>
          <w:sz w:val="24"/>
        </w:rPr>
      </w:pPr>
      <w:r>
        <w:rPr>
          <w:rFonts w:hint="default" w:ascii="Times New Roman" w:hAnsi="Times New Roman" w:eastAsia="宋体" w:cs="Times New Roman"/>
          <w:b/>
          <w:color w:val="auto"/>
          <w:sz w:val="21"/>
          <w:szCs w:val="21"/>
          <w:lang w:eastAsia="zh-CN"/>
        </w:rPr>
        <w:t xml:space="preserve">             建设项目环境风险潜势划分</w:t>
      </w:r>
    </w:p>
    <w:tbl>
      <w:tblPr>
        <w:tblStyle w:val="25"/>
        <w:tblW w:w="8786" w:type="dxa"/>
        <w:tblInd w:w="2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263"/>
        <w:gridCol w:w="2082"/>
        <w:gridCol w:w="1490"/>
        <w:gridCol w:w="1638"/>
        <w:gridCol w:w="131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263" w:type="dxa"/>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环境敏感程度（E）</w:t>
            </w:r>
          </w:p>
        </w:tc>
        <w:tc>
          <w:tcPr>
            <w:tcW w:w="6523" w:type="dxa"/>
            <w:gridSpan w:val="4"/>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危险物质及工艺系统危险性（P）</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263"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1"/>
                <w:szCs w:val="21"/>
              </w:rPr>
            </w:pPr>
          </w:p>
        </w:tc>
        <w:tc>
          <w:tcPr>
            <w:tcW w:w="20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极高危害（P1）</w:t>
            </w:r>
          </w:p>
        </w:tc>
        <w:tc>
          <w:tcPr>
            <w:tcW w:w="14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高度危害（P2）</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中度危害（P3）</w:t>
            </w:r>
          </w:p>
        </w:tc>
        <w:tc>
          <w:tcPr>
            <w:tcW w:w="1313" w:type="dxa"/>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轻度危害（P4）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263"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环境高度敏感区（E1）</w:t>
            </w:r>
          </w:p>
        </w:tc>
        <w:tc>
          <w:tcPr>
            <w:tcW w:w="20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bCs/>
                <w:color w:val="auto"/>
                <w:kern w:val="0"/>
                <w:sz w:val="21"/>
                <w:szCs w:val="21"/>
              </w:rPr>
              <w:t>IV</w:t>
            </w:r>
            <w:r>
              <w:rPr>
                <w:rFonts w:hint="default" w:ascii="Times New Roman" w:hAnsi="Times New Roman" w:cs="Times New Roman"/>
                <w:bCs/>
                <w:color w:val="auto"/>
                <w:kern w:val="0"/>
                <w:sz w:val="21"/>
                <w:szCs w:val="21"/>
                <w:vertAlign w:val="superscript"/>
              </w:rPr>
              <w:t>+</w:t>
            </w:r>
          </w:p>
        </w:tc>
        <w:tc>
          <w:tcPr>
            <w:tcW w:w="14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bCs/>
                <w:color w:val="auto"/>
                <w:kern w:val="0"/>
                <w:sz w:val="21"/>
                <w:szCs w:val="21"/>
              </w:rPr>
              <w:t>IV</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bCs/>
                <w:color w:val="auto"/>
                <w:kern w:val="0"/>
                <w:sz w:val="21"/>
                <w:szCs w:val="21"/>
              </w:rPr>
              <w:t>III</w:t>
            </w:r>
          </w:p>
        </w:tc>
        <w:tc>
          <w:tcPr>
            <w:tcW w:w="1313" w:type="dxa"/>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bCs/>
                <w:color w:val="auto"/>
                <w:kern w:val="0"/>
                <w:sz w:val="21"/>
                <w:szCs w:val="21"/>
              </w:rPr>
              <w:t>III</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263"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环境中度敏感区（E2）</w:t>
            </w:r>
          </w:p>
        </w:tc>
        <w:tc>
          <w:tcPr>
            <w:tcW w:w="20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bCs/>
                <w:color w:val="auto"/>
                <w:kern w:val="0"/>
                <w:sz w:val="21"/>
                <w:szCs w:val="21"/>
              </w:rPr>
              <w:t>IV</w:t>
            </w:r>
          </w:p>
        </w:tc>
        <w:tc>
          <w:tcPr>
            <w:tcW w:w="14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bCs/>
                <w:color w:val="auto"/>
                <w:kern w:val="0"/>
                <w:sz w:val="21"/>
                <w:szCs w:val="21"/>
              </w:rPr>
              <w:t>III</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bCs/>
                <w:color w:val="auto"/>
                <w:kern w:val="0"/>
                <w:sz w:val="21"/>
                <w:szCs w:val="21"/>
              </w:rPr>
              <w:t>III</w:t>
            </w:r>
          </w:p>
        </w:tc>
        <w:tc>
          <w:tcPr>
            <w:tcW w:w="1313" w:type="dxa"/>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II</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2263"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环境低度敏感区（E3）</w:t>
            </w:r>
          </w:p>
        </w:tc>
        <w:tc>
          <w:tcPr>
            <w:tcW w:w="208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bCs/>
                <w:color w:val="auto"/>
                <w:kern w:val="0"/>
                <w:sz w:val="21"/>
                <w:szCs w:val="21"/>
              </w:rPr>
              <w:t>III</w:t>
            </w:r>
          </w:p>
        </w:tc>
        <w:tc>
          <w:tcPr>
            <w:tcW w:w="14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bCs/>
                <w:color w:val="auto"/>
                <w:kern w:val="0"/>
                <w:sz w:val="21"/>
                <w:szCs w:val="21"/>
              </w:rPr>
              <w:t>III</w:t>
            </w:r>
          </w:p>
        </w:tc>
        <w:tc>
          <w:tcPr>
            <w:tcW w:w="16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II</w:t>
            </w:r>
          </w:p>
        </w:tc>
        <w:tc>
          <w:tcPr>
            <w:tcW w:w="1313" w:type="dxa"/>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I</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559" w:firstLineChars="233"/>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拟建工程的危险物质及工艺系统危险性（P）属于P4，项目各环境要素的环境风险潜势判定见表5.3-8。</w:t>
      </w:r>
    </w:p>
    <w:p>
      <w:pPr>
        <w:pStyle w:val="8"/>
        <w:keepNext w:val="0"/>
        <w:keepLines w:val="0"/>
        <w:pageBreakBefore w:val="0"/>
        <w:widowControl w:val="0"/>
        <w:numPr>
          <w:ilvl w:val="0"/>
          <w:numId w:val="9"/>
        </w:numPr>
        <w:kinsoku/>
        <w:wordWrap/>
        <w:overflowPunct/>
        <w:topLinePunct w:val="0"/>
        <w:autoSpaceDE/>
        <w:autoSpaceDN/>
        <w:bidi w:val="0"/>
        <w:adjustRightInd w:val="0"/>
        <w:snapToGrid w:val="0"/>
        <w:ind w:left="0" w:firstLine="843" w:firstLineChars="400"/>
        <w:jc w:val="left"/>
        <w:textAlignment w:val="auto"/>
        <w:rPr>
          <w:rFonts w:hint="default" w:ascii="Times New Roman" w:hAnsi="Times New Roman" w:cs="Times New Roman"/>
          <w:color w:val="auto"/>
          <w:kern w:val="0"/>
          <w:sz w:val="24"/>
        </w:rPr>
      </w:pP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lang w:eastAsia="zh-CN"/>
        </w:rPr>
        <w:t>项目各环境要素环境风险潜势判定结果</w:t>
      </w:r>
    </w:p>
    <w:tbl>
      <w:tblPr>
        <w:tblStyle w:val="25"/>
        <w:tblW w:w="878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218"/>
        <w:gridCol w:w="2372"/>
        <w:gridCol w:w="2833"/>
        <w:gridCol w:w="23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2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环境要求</w:t>
            </w:r>
          </w:p>
        </w:tc>
        <w:tc>
          <w:tcPr>
            <w:tcW w:w="23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敏感程度（E）</w:t>
            </w:r>
          </w:p>
        </w:tc>
        <w:tc>
          <w:tcPr>
            <w:tcW w:w="28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危险物质及工艺系统危险性（P）</w:t>
            </w:r>
          </w:p>
        </w:tc>
        <w:tc>
          <w:tcPr>
            <w:tcW w:w="2363" w:type="dxa"/>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各要素环境风险潜势分级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2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大气环境</w:t>
            </w:r>
          </w:p>
        </w:tc>
        <w:tc>
          <w:tcPr>
            <w:tcW w:w="23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E2</w:t>
            </w:r>
          </w:p>
        </w:tc>
        <w:tc>
          <w:tcPr>
            <w:tcW w:w="283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lang w:eastAsia="zh-CN"/>
              </w:rPr>
            </w:pPr>
            <w:r>
              <w:rPr>
                <w:rFonts w:hint="default" w:ascii="Times New Roman" w:hAnsi="Times New Roman" w:cs="Times New Roman"/>
                <w:bCs/>
                <w:color w:val="auto"/>
                <w:kern w:val="0"/>
                <w:sz w:val="21"/>
                <w:szCs w:val="21"/>
              </w:rPr>
              <w:t>P</w:t>
            </w:r>
            <w:r>
              <w:rPr>
                <w:rFonts w:hint="default" w:ascii="Times New Roman" w:hAnsi="Times New Roman" w:cs="Times New Roman"/>
                <w:bCs/>
                <w:color w:val="auto"/>
                <w:kern w:val="0"/>
                <w:sz w:val="21"/>
                <w:szCs w:val="21"/>
                <w:lang w:val="en-US" w:eastAsia="zh-CN"/>
              </w:rPr>
              <w:t>4</w:t>
            </w:r>
          </w:p>
        </w:tc>
        <w:tc>
          <w:tcPr>
            <w:tcW w:w="2363" w:type="dxa"/>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II</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2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地表水环境</w:t>
            </w:r>
          </w:p>
        </w:tc>
        <w:tc>
          <w:tcPr>
            <w:tcW w:w="23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E3</w:t>
            </w:r>
          </w:p>
        </w:tc>
        <w:tc>
          <w:tcPr>
            <w:tcW w:w="2833"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2363" w:type="dxa"/>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I</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21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地下水环境</w:t>
            </w:r>
          </w:p>
        </w:tc>
        <w:tc>
          <w:tcPr>
            <w:tcW w:w="237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E3</w:t>
            </w:r>
          </w:p>
        </w:tc>
        <w:tc>
          <w:tcPr>
            <w:tcW w:w="283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kern w:val="0"/>
                <w:sz w:val="21"/>
                <w:szCs w:val="21"/>
              </w:rPr>
            </w:pPr>
          </w:p>
        </w:tc>
        <w:tc>
          <w:tcPr>
            <w:tcW w:w="2363" w:type="dxa"/>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I</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6423"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kern w:val="0"/>
                <w:sz w:val="21"/>
                <w:szCs w:val="21"/>
              </w:rPr>
            </w:pPr>
            <w:r>
              <w:rPr>
                <w:rFonts w:hint="default" w:ascii="Times New Roman" w:hAnsi="Times New Roman" w:cs="Times New Roman"/>
                <w:color w:val="auto"/>
                <w:kern w:val="0"/>
                <w:sz w:val="21"/>
                <w:szCs w:val="21"/>
              </w:rPr>
              <w:t>建设项目环境风险潜势综合等级</w:t>
            </w:r>
          </w:p>
        </w:tc>
        <w:tc>
          <w:tcPr>
            <w:tcW w:w="2363" w:type="dxa"/>
            <w:tcBorders>
              <w:top w:val="single" w:color="auto" w:sz="4" w:space="0"/>
              <w:left w:val="single" w:color="auto" w:sz="4" w:space="0"/>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II</w:t>
            </w:r>
          </w:p>
        </w:tc>
      </w:tr>
    </w:tbl>
    <w:p>
      <w:pPr>
        <w:pageBreakBefore w:val="0"/>
        <w:widowControl w:val="0"/>
        <w:kinsoku/>
        <w:wordWrap/>
        <w:overflowPunct/>
        <w:topLinePunct w:val="0"/>
        <w:autoSpaceDE/>
        <w:autoSpaceDN/>
        <w:bidi w:val="0"/>
        <w:adjustRightInd w:val="0"/>
        <w:snapToGrid w:val="0"/>
        <w:spacing w:line="360" w:lineRule="auto"/>
        <w:ind w:firstLine="559" w:firstLineChars="233"/>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综合各环境要素风险潜势判定结果，确定拟建工程的环境风险潜势综合等级为II级。</w:t>
      </w:r>
    </w:p>
    <w:p>
      <w:pPr>
        <w:keepNext/>
        <w:keepLines/>
        <w:pageBreakBefore w:val="0"/>
        <w:widowControl w:val="0"/>
        <w:numPr>
          <w:ilvl w:val="3"/>
          <w:numId w:val="0"/>
        </w:numPr>
        <w:kinsoku/>
        <w:wordWrap/>
        <w:overflowPunct/>
        <w:topLinePunct w:val="0"/>
        <w:autoSpaceDE/>
        <w:autoSpaceDN/>
        <w:bidi w:val="0"/>
        <w:adjustRightInd w:val="0"/>
        <w:snapToGrid w:val="0"/>
        <w:spacing w:line="360" w:lineRule="auto"/>
        <w:jc w:val="left"/>
        <w:textAlignment w:val="auto"/>
        <w:outlineLvl w:val="3"/>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5.3.2.4项目风险评价工作等级划分</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根据</w:t>
      </w:r>
      <w:r>
        <w:rPr>
          <w:rFonts w:hint="default" w:ascii="Times New Roman" w:hAnsi="Times New Roman" w:cs="Times New Roman"/>
          <w:bCs/>
          <w:color w:val="auto"/>
          <w:sz w:val="24"/>
          <w:lang w:val="de-DE"/>
        </w:rPr>
        <w:t>《建设项目环境风险评价导则》（HJ169-2018）</w:t>
      </w:r>
      <w:r>
        <w:rPr>
          <w:rFonts w:hint="default" w:ascii="Times New Roman" w:hAnsi="Times New Roman" w:cs="Times New Roman"/>
          <w:bCs/>
          <w:color w:val="auto"/>
          <w:sz w:val="24"/>
        </w:rPr>
        <w:t>，风险评价工作级别划分表见表5.3-9。</w:t>
      </w:r>
    </w:p>
    <w:p>
      <w:pPr>
        <w:pStyle w:val="8"/>
        <w:pageBreakBefore w:val="0"/>
        <w:widowControl w:val="0"/>
        <w:numPr>
          <w:ilvl w:val="0"/>
          <w:numId w:val="9"/>
        </w:numPr>
        <w:kinsoku/>
        <w:wordWrap/>
        <w:overflowPunct/>
        <w:topLinePunct w:val="0"/>
        <w:autoSpaceDE/>
        <w:autoSpaceDN/>
        <w:bidi w:val="0"/>
        <w:adjustRightInd w:val="0"/>
        <w:snapToGrid w:val="0"/>
        <w:spacing w:line="360" w:lineRule="auto"/>
        <w:ind w:left="0" w:firstLine="843" w:firstLineChars="400"/>
        <w:jc w:val="left"/>
        <w:textAlignment w:val="auto"/>
        <w:rPr>
          <w:rFonts w:hint="default" w:ascii="Times New Roman" w:hAnsi="Times New Roman" w:cs="Times New Roman"/>
          <w:color w:val="auto"/>
          <w:kern w:val="0"/>
          <w:sz w:val="24"/>
        </w:rPr>
      </w:pPr>
      <w:r>
        <w:rPr>
          <w:rFonts w:hint="default" w:ascii="Times New Roman" w:hAnsi="Times New Roman" w:eastAsia="宋体" w:cs="Times New Roman"/>
          <w:b/>
          <w:color w:val="auto"/>
          <w:sz w:val="21"/>
          <w:szCs w:val="21"/>
          <w:lang w:eastAsia="zh-CN"/>
        </w:rPr>
        <w:t xml:space="preserve">                   风险评价工作级别表</w:t>
      </w:r>
    </w:p>
    <w:tbl>
      <w:tblPr>
        <w:tblStyle w:val="25"/>
        <w:tblW w:w="8539" w:type="dxa"/>
        <w:tblInd w:w="108"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06"/>
        <w:gridCol w:w="1515"/>
        <w:gridCol w:w="1945"/>
        <w:gridCol w:w="2160"/>
        <w:gridCol w:w="1513"/>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6" w:type="dxa"/>
            <w:tcBorders>
              <w:top w:val="single" w:color="auto" w:sz="4" w:space="0"/>
              <w:left w:val="nil"/>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环境风险潜势</w:t>
            </w:r>
          </w:p>
        </w:tc>
        <w:tc>
          <w:tcPr>
            <w:tcW w:w="1515" w:type="dxa"/>
            <w:tcBorders>
              <w:top w:val="sing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Ⅳ、Ⅳ</w:t>
            </w:r>
            <w:r>
              <w:rPr>
                <w:rFonts w:hint="default" w:ascii="Times New Roman" w:hAnsi="Times New Roman" w:cs="Times New Roman"/>
                <w:color w:val="auto"/>
                <w:kern w:val="0"/>
                <w:sz w:val="18"/>
                <w:szCs w:val="18"/>
                <w:vertAlign w:val="superscript"/>
              </w:rPr>
              <w:t>+</w:t>
            </w:r>
          </w:p>
        </w:tc>
        <w:tc>
          <w:tcPr>
            <w:tcW w:w="1945" w:type="dxa"/>
            <w:tcBorders>
              <w:top w:val="sing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Ⅲ</w:t>
            </w:r>
          </w:p>
        </w:tc>
        <w:tc>
          <w:tcPr>
            <w:tcW w:w="2160" w:type="dxa"/>
            <w:tcBorders>
              <w:top w:val="sing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Ⅱ</w:t>
            </w:r>
          </w:p>
        </w:tc>
        <w:tc>
          <w:tcPr>
            <w:tcW w:w="1513" w:type="dxa"/>
            <w:tcBorders>
              <w:top w:val="single" w:color="auto" w:sz="4" w:space="0"/>
              <w:left w:val="single" w:color="auto" w:sz="6" w:space="0"/>
              <w:bottom w:val="single" w:color="auto" w:sz="6"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Ⅰ</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06" w:type="dxa"/>
            <w:tcBorders>
              <w:top w:val="single" w:color="auto" w:sz="6" w:space="0"/>
              <w:left w:val="nil"/>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评价工作等级</w:t>
            </w:r>
          </w:p>
        </w:tc>
        <w:tc>
          <w:tcPr>
            <w:tcW w:w="151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一</w:t>
            </w:r>
          </w:p>
        </w:tc>
        <w:tc>
          <w:tcPr>
            <w:tcW w:w="1945"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二</w:t>
            </w:r>
          </w:p>
        </w:tc>
        <w:tc>
          <w:tcPr>
            <w:tcW w:w="2160"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三</w:t>
            </w:r>
          </w:p>
        </w:tc>
        <w:tc>
          <w:tcPr>
            <w:tcW w:w="1513" w:type="dxa"/>
            <w:tcBorders>
              <w:top w:val="single" w:color="auto" w:sz="6" w:space="0"/>
              <w:left w:val="single" w:color="auto" w:sz="6" w:space="0"/>
              <w:bottom w:val="single" w:color="auto" w:sz="6"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简单分析</w:t>
            </w:r>
            <w:r>
              <w:rPr>
                <w:rFonts w:hint="default" w:ascii="Times New Roman" w:hAnsi="Times New Roman" w:cs="Times New Roman"/>
                <w:color w:val="auto"/>
                <w:kern w:val="0"/>
                <w:sz w:val="18"/>
                <w:szCs w:val="18"/>
                <w:vertAlign w:val="superscript"/>
              </w:rPr>
              <w:t>a</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39" w:type="dxa"/>
            <w:gridSpan w:val="5"/>
            <w:tcBorders>
              <w:top w:val="single" w:color="auto" w:sz="6" w:space="0"/>
              <w:left w:val="nil"/>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a是相对于详细评价工作内容而言，在描述危险物质、影响途径、环境危害后果、风险防范措施等方面给出定性的说明。见附录A。</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right="0"/>
        <w:textAlignment w:val="auto"/>
        <w:rPr>
          <w:rFonts w:hint="default" w:ascii="Times New Roman" w:hAnsi="Times New Roman" w:cs="Times New Roman"/>
          <w:color w:val="auto"/>
        </w:rPr>
      </w:pPr>
      <w:r>
        <w:rPr>
          <w:rFonts w:hint="default" w:ascii="Times New Roman" w:hAnsi="Times New Roman" w:cs="Times New Roman"/>
          <w:bCs/>
          <w:color w:val="auto"/>
          <w:sz w:val="24"/>
        </w:rPr>
        <w:t>由以上分析可知，拟建工程的环境风险潜势综合等级为II级，拟建工程环境风险综合评价等级为</w:t>
      </w:r>
      <w:r>
        <w:rPr>
          <w:rFonts w:hint="default" w:ascii="Times New Roman" w:hAnsi="Times New Roman" w:cs="Times New Roman"/>
          <w:bCs/>
          <w:color w:val="auto"/>
          <w:sz w:val="24"/>
          <w:lang w:eastAsia="zh-CN"/>
        </w:rPr>
        <w:t>三</w:t>
      </w:r>
      <w:r>
        <w:rPr>
          <w:rFonts w:hint="default" w:ascii="Times New Roman" w:hAnsi="Times New Roman" w:cs="Times New Roman"/>
          <w:bCs/>
          <w:color w:val="auto"/>
          <w:sz w:val="24"/>
        </w:rPr>
        <w:t>级。</w:t>
      </w:r>
      <w:r>
        <w:rPr>
          <w:rFonts w:hint="default" w:ascii="Times New Roman" w:hAnsi="Times New Roman" w:cs="Times New Roman"/>
          <w:color w:val="auto"/>
          <w:spacing w:val="2"/>
        </w:rPr>
        <w:t>三级评价范围为项目厂界周边</w:t>
      </w:r>
      <w:r>
        <w:rPr>
          <w:rFonts w:hint="default" w:ascii="Times New Roman" w:hAnsi="Times New Roman" w:cs="Times New Roman"/>
          <w:color w:val="auto"/>
          <w:spacing w:val="-54"/>
        </w:rPr>
        <w:t xml:space="preserve"> </w:t>
      </w:r>
      <w:r>
        <w:rPr>
          <w:rFonts w:hint="default" w:ascii="Times New Roman" w:hAnsi="Times New Roman" w:eastAsia="Times New Roman" w:cs="Times New Roman"/>
          <w:color w:val="auto"/>
        </w:rPr>
        <w:t>3km</w:t>
      </w:r>
      <w:r>
        <w:rPr>
          <w:rFonts w:hint="default" w:ascii="Times New Roman" w:hAnsi="Times New Roman" w:eastAsia="Times New Roman" w:cs="Times New Roman"/>
          <w:color w:val="auto"/>
          <w:spacing w:val="7"/>
        </w:rPr>
        <w:t xml:space="preserve"> </w:t>
      </w:r>
      <w:r>
        <w:rPr>
          <w:rFonts w:hint="default" w:ascii="Times New Roman" w:hAnsi="Times New Roman" w:cs="Times New Roman"/>
          <w:color w:val="auto"/>
        </w:rPr>
        <w:t>范围项目风险评价范围见图5-5。</w:t>
      </w:r>
    </w:p>
    <w:p>
      <w:pPr>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eastAsia="黑体" w:cs="Times New Roman"/>
          <w:color w:val="auto"/>
          <w:sz w:val="28"/>
        </w:rPr>
        <w:drawing>
          <wp:anchor distT="0" distB="0" distL="114300" distR="114300" simplePos="0" relativeHeight="754125824" behindDoc="0" locked="0" layoutInCell="1" allowOverlap="1">
            <wp:simplePos x="0" y="0"/>
            <wp:positionH relativeFrom="column">
              <wp:posOffset>5194935</wp:posOffset>
            </wp:positionH>
            <wp:positionV relativeFrom="paragraph">
              <wp:posOffset>-2540</wp:posOffset>
            </wp:positionV>
            <wp:extent cx="329565" cy="506730"/>
            <wp:effectExtent l="0" t="0" r="13335" b="7620"/>
            <wp:wrapNone/>
            <wp:docPr id="21" name="图片 282" descr="1538100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2" descr="1538100204(1)"/>
                    <pic:cNvPicPr>
                      <a:picLocks noChangeAspect="1"/>
                    </pic:cNvPicPr>
                  </pic:nvPicPr>
                  <pic:blipFill>
                    <a:blip r:embed="rId64"/>
                    <a:stretch>
                      <a:fillRect/>
                    </a:stretch>
                  </pic:blipFill>
                  <pic:spPr>
                    <a:xfrm>
                      <a:off x="0" y="0"/>
                      <a:ext cx="329565" cy="506730"/>
                    </a:xfrm>
                    <a:prstGeom prst="rect">
                      <a:avLst/>
                    </a:prstGeom>
                    <a:noFill/>
                    <a:ln>
                      <a:noFill/>
                    </a:ln>
                  </pic:spPr>
                </pic:pic>
              </a:graphicData>
            </a:graphic>
          </wp:anchor>
        </w:drawing>
      </w:r>
      <w:r>
        <w:rPr>
          <w:rFonts w:hint="default" w:ascii="Times New Roman" w:hAnsi="Times New Roman" w:cs="Times New Roman"/>
          <w:color w:val="auto"/>
        </w:rPr>
        <w:drawing>
          <wp:inline distT="0" distB="0" distL="114300" distR="114300">
            <wp:extent cx="5538470" cy="5301615"/>
            <wp:effectExtent l="12700" t="12700" r="30480" b="1968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65"/>
                    <a:stretch>
                      <a:fillRect/>
                    </a:stretch>
                  </pic:blipFill>
                  <pic:spPr>
                    <a:xfrm>
                      <a:off x="0" y="0"/>
                      <a:ext cx="5538470" cy="5301615"/>
                    </a:xfrm>
                    <a:prstGeom prst="rect">
                      <a:avLst/>
                    </a:prstGeom>
                    <a:noFill/>
                    <a:ln w="12700" cmpd="sng">
                      <a:solidFill>
                        <a:schemeClr val="tx1"/>
                      </a:solidFill>
                      <a:prstDash val="solid"/>
                    </a:ln>
                  </pic:spPr>
                </pic:pic>
              </a:graphicData>
            </a:graphic>
          </wp:inline>
        </w:drawing>
      </w:r>
    </w:p>
    <w:p>
      <w:pPr>
        <w:tabs>
          <w:tab w:val="left" w:pos="1725"/>
        </w:tabs>
        <w:spacing w:before="34"/>
        <w:ind w:left="117" w:firstLine="420"/>
        <w:jc w:val="center"/>
        <w:rPr>
          <w:rFonts w:hint="default" w:ascii="Times New Roman" w:hAnsi="Times New Roman" w:eastAsia="Times New Roman" w:cs="Times New Roman"/>
          <w:color w:val="auto"/>
        </w:rPr>
      </w:pPr>
      <w:r>
        <w:rPr>
          <w:rFonts w:hint="default" w:ascii="Times New Roman" w:hAnsi="Times New Roman" w:cs="Times New Roman"/>
          <w:b/>
          <w:bCs/>
          <w:color w:val="auto"/>
          <w:sz w:val="21"/>
          <w:szCs w:val="21"/>
        </w:rPr>
        <w:t>图</w:t>
      </w:r>
      <w:r>
        <w:rPr>
          <w:rFonts w:hint="default" w:ascii="Times New Roman" w:hAnsi="Times New Roman" w:cs="Times New Roman"/>
          <w:b/>
          <w:bCs/>
          <w:color w:val="auto"/>
          <w:spacing w:val="-56"/>
          <w:sz w:val="21"/>
          <w:szCs w:val="21"/>
        </w:rPr>
        <w:t xml:space="preserve"> </w:t>
      </w:r>
      <w:r>
        <w:rPr>
          <w:rFonts w:hint="default" w:ascii="Times New Roman" w:hAnsi="Times New Roman" w:eastAsia="Times New Roman" w:cs="Times New Roman"/>
          <w:b/>
          <w:bCs/>
          <w:color w:val="auto"/>
          <w:sz w:val="21"/>
          <w:szCs w:val="21"/>
        </w:rPr>
        <w:t>5</w:t>
      </w:r>
      <w:r>
        <w:rPr>
          <w:rFonts w:hint="default" w:ascii="Times New Roman" w:hAnsi="Times New Roman" w:cs="Times New Roman"/>
          <w:b/>
          <w:bCs/>
          <w:color w:val="auto"/>
          <w:sz w:val="21"/>
          <w:szCs w:val="21"/>
        </w:rPr>
        <w:t>-</w:t>
      </w:r>
      <w:r>
        <w:rPr>
          <w:rFonts w:hint="default" w:ascii="Times New Roman" w:hAnsi="Times New Roman" w:cs="Times New Roman"/>
          <w:b/>
          <w:bCs/>
          <w:color w:val="auto"/>
          <w:sz w:val="21"/>
          <w:szCs w:val="21"/>
          <w:lang w:val="en-US" w:eastAsia="zh-CN"/>
        </w:rPr>
        <w:t>1</w:t>
      </w:r>
      <w:r>
        <w:rPr>
          <w:rFonts w:hint="default" w:ascii="Times New Roman" w:hAnsi="Times New Roman" w:eastAsia="Times New Roman" w:cs="Times New Roman"/>
          <w:b/>
          <w:bCs/>
          <w:color w:val="auto"/>
          <w:sz w:val="21"/>
          <w:szCs w:val="21"/>
        </w:rPr>
        <w:tab/>
      </w:r>
      <w:r>
        <w:rPr>
          <w:rFonts w:hint="default" w:ascii="Times New Roman" w:hAnsi="Times New Roman" w:cs="Times New Roman"/>
          <w:b/>
          <w:bCs/>
          <w:color w:val="auto"/>
          <w:sz w:val="21"/>
          <w:szCs w:val="21"/>
        </w:rPr>
        <w:t>项目风险评价范围</w:t>
      </w:r>
    </w:p>
    <w:p>
      <w:pPr>
        <w:keepNext/>
        <w:keepLines/>
        <w:pageBreakBefore w:val="0"/>
        <w:widowControl w:val="0"/>
        <w:numPr>
          <w:ilvl w:val="2"/>
          <w:numId w:val="0"/>
        </w:numPr>
        <w:tabs>
          <w:tab w:val="left" w:pos="709"/>
        </w:tabs>
        <w:kinsoku/>
        <w:wordWrap/>
        <w:overflowPunct/>
        <w:topLinePunct w:val="0"/>
        <w:autoSpaceDE/>
        <w:autoSpaceDN/>
        <w:bidi w:val="0"/>
        <w:adjustRightInd w:val="0"/>
        <w:snapToGrid w:val="0"/>
        <w:spacing w:line="360" w:lineRule="auto"/>
        <w:textAlignment w:val="auto"/>
        <w:outlineLvl w:val="2"/>
        <w:rPr>
          <w:rFonts w:hint="default" w:ascii="Times New Roman" w:hAnsi="Times New Roman" w:eastAsia="黑体" w:cs="Times New Roman"/>
          <w:bCs/>
          <w:color w:val="auto"/>
          <w:sz w:val="26"/>
          <w:szCs w:val="26"/>
          <w:lang w:val="en-GB"/>
        </w:rPr>
      </w:pPr>
      <w:r>
        <w:rPr>
          <w:rFonts w:hint="default" w:ascii="Times New Roman" w:hAnsi="Times New Roman" w:eastAsia="黑体" w:cs="Times New Roman"/>
          <w:bCs/>
          <w:color w:val="auto"/>
          <w:sz w:val="26"/>
          <w:szCs w:val="26"/>
          <w:lang w:val="en-GB"/>
        </w:rPr>
        <w:t>5.3.3 风险识别</w:t>
      </w:r>
    </w:p>
    <w:p>
      <w:pPr>
        <w:keepNext/>
        <w:keepLines/>
        <w:pageBreakBefore w:val="0"/>
        <w:widowControl w:val="0"/>
        <w:numPr>
          <w:ilvl w:val="3"/>
          <w:numId w:val="0"/>
        </w:numPr>
        <w:kinsoku/>
        <w:wordWrap/>
        <w:overflowPunct/>
        <w:topLinePunct w:val="0"/>
        <w:autoSpaceDE/>
        <w:autoSpaceDN/>
        <w:bidi w:val="0"/>
        <w:adjustRightInd w:val="0"/>
        <w:snapToGrid w:val="0"/>
        <w:spacing w:line="360" w:lineRule="auto"/>
        <w:jc w:val="left"/>
        <w:textAlignment w:val="auto"/>
        <w:outlineLvl w:val="3"/>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5.3.3.1物质危险性识别</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szCs w:val="24"/>
          <w:lang w:val="de-DE"/>
        </w:rPr>
      </w:pPr>
      <w:r>
        <w:rPr>
          <w:rFonts w:hint="default" w:ascii="Times New Roman" w:hAnsi="Times New Roman" w:cs="Times New Roman"/>
          <w:bCs/>
          <w:color w:val="auto"/>
          <w:sz w:val="24"/>
          <w:szCs w:val="24"/>
          <w:lang w:val="de-DE"/>
        </w:rPr>
        <w:t>经查对《建设项目环境风险评价技术导则》（HJ169-2018），本项目涉及的危险物质主要为沼气（主要成分为甲烷）、高浓度有机废水，危险物质名称及CAS号见表5.3-10。危险物质理化性质见5.3-11~5.3-12。</w:t>
      </w:r>
    </w:p>
    <w:p>
      <w:pPr>
        <w:pStyle w:val="8"/>
        <w:pageBreakBefore w:val="0"/>
        <w:widowControl w:val="0"/>
        <w:numPr>
          <w:ilvl w:val="0"/>
          <w:numId w:val="9"/>
        </w:numPr>
        <w:kinsoku/>
        <w:wordWrap/>
        <w:overflowPunct/>
        <w:topLinePunct w:val="0"/>
        <w:autoSpaceDE/>
        <w:autoSpaceDN/>
        <w:bidi w:val="0"/>
        <w:adjustRightInd w:val="0"/>
        <w:snapToGrid w:val="0"/>
        <w:spacing w:line="360" w:lineRule="auto"/>
        <w:ind w:left="0" w:firstLine="843" w:firstLineChars="400"/>
        <w:jc w:val="left"/>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 xml:space="preserve">                 危险性物质识别表</w:t>
      </w:r>
    </w:p>
    <w:tbl>
      <w:tblPr>
        <w:tblStyle w:val="25"/>
        <w:tblW w:w="878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815"/>
        <w:gridCol w:w="1786"/>
        <w:gridCol w:w="1403"/>
        <w:gridCol w:w="1891"/>
        <w:gridCol w:w="189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物质名称</w:t>
            </w:r>
          </w:p>
        </w:tc>
        <w:tc>
          <w:tcPr>
            <w:tcW w:w="17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CAS号</w:t>
            </w:r>
          </w:p>
        </w:tc>
        <w:tc>
          <w:tcPr>
            <w:tcW w:w="14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主要危险特性</w:t>
            </w:r>
          </w:p>
        </w:tc>
        <w:tc>
          <w:tcPr>
            <w:tcW w:w="18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大气毒性终点浓度-1</w:t>
            </w:r>
          </w:p>
        </w:tc>
        <w:tc>
          <w:tcPr>
            <w:tcW w:w="18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大气毒性终点浓度-2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甲烷</w:t>
            </w:r>
          </w:p>
        </w:tc>
        <w:tc>
          <w:tcPr>
            <w:tcW w:w="17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74-82-8</w:t>
            </w:r>
          </w:p>
        </w:tc>
        <w:tc>
          <w:tcPr>
            <w:tcW w:w="14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低毒性</w:t>
            </w:r>
          </w:p>
        </w:tc>
        <w:tc>
          <w:tcPr>
            <w:tcW w:w="18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260000</w:t>
            </w:r>
          </w:p>
        </w:tc>
        <w:tc>
          <w:tcPr>
            <w:tcW w:w="18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150000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8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bCs/>
                <w:color w:val="auto"/>
                <w:sz w:val="21"/>
                <w:szCs w:val="21"/>
                <w:lang w:val="de-DE"/>
              </w:rPr>
              <w:t>CODcr≥</w:t>
            </w:r>
            <w:r>
              <w:rPr>
                <w:rFonts w:hint="default" w:ascii="Times New Roman" w:hAnsi="Times New Roman" w:cs="Times New Roman"/>
                <w:bCs/>
                <w:color w:val="auto"/>
                <w:sz w:val="21"/>
                <w:szCs w:val="21"/>
              </w:rPr>
              <w:t>10000mg/L的有机废液</w:t>
            </w:r>
          </w:p>
        </w:tc>
        <w:tc>
          <w:tcPr>
            <w:tcW w:w="178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140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污染性</w:t>
            </w:r>
          </w:p>
        </w:tc>
        <w:tc>
          <w:tcPr>
            <w:tcW w:w="18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c>
          <w:tcPr>
            <w:tcW w:w="18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w:t>
            </w:r>
          </w:p>
        </w:tc>
      </w:tr>
    </w:tbl>
    <w:p>
      <w:pPr>
        <w:pStyle w:val="8"/>
        <w:numPr>
          <w:ilvl w:val="0"/>
          <w:numId w:val="9"/>
        </w:numPr>
        <w:spacing w:before="120" w:beforeLines="50"/>
        <w:ind w:left="0" w:firstLine="843" w:firstLineChars="400"/>
        <w:jc w:val="left"/>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 xml:space="preserve">           甲烷的理化性质及危险特性</w:t>
      </w:r>
    </w:p>
    <w:tbl>
      <w:tblPr>
        <w:tblStyle w:val="25"/>
        <w:tblW w:w="8946" w:type="dxa"/>
        <w:jc w:val="center"/>
        <w:tblBorders>
          <w:top w:val="single" w:color="auto" w:sz="2" w:space="0"/>
          <w:left w:val="none" w:color="auto" w:sz="0" w:space="0"/>
          <w:bottom w:val="single" w:color="auto" w:sz="2" w:space="0"/>
          <w:right w:val="none" w:color="auto" w:sz="0" w:space="0"/>
          <w:insideH w:val="single" w:color="auto" w:sz="2" w:space="0"/>
          <w:insideV w:val="single" w:color="auto" w:sz="6" w:space="0"/>
        </w:tblBorders>
        <w:tblLayout w:type="fixed"/>
        <w:tblCellMar>
          <w:top w:w="0" w:type="dxa"/>
          <w:left w:w="108" w:type="dxa"/>
          <w:bottom w:w="0" w:type="dxa"/>
          <w:right w:w="108" w:type="dxa"/>
        </w:tblCellMar>
      </w:tblPr>
      <w:tblGrid>
        <w:gridCol w:w="1692"/>
        <w:gridCol w:w="2795"/>
        <w:gridCol w:w="2337"/>
        <w:gridCol w:w="20"/>
        <w:gridCol w:w="2102"/>
      </w:tblGrid>
      <w:tr>
        <w:tblPrEx>
          <w:tblBorders>
            <w:top w:val="single" w:color="auto" w:sz="2" w:space="0"/>
            <w:left w:val="none" w:color="auto" w:sz="0" w:space="0"/>
            <w:bottom w:val="single" w:color="auto" w:sz="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40" w:hRule="atLeast"/>
          <w:tblHeader/>
          <w:jc w:val="center"/>
        </w:trPr>
        <w:tc>
          <w:tcPr>
            <w:tcW w:w="8946"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第一部分    危险性概述</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40" w:hRule="atLeast"/>
          <w:tblHeader/>
          <w:jc w:val="center"/>
        </w:trPr>
        <w:tc>
          <w:tcPr>
            <w:tcW w:w="16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危险性类别：</w:t>
            </w:r>
          </w:p>
        </w:tc>
        <w:tc>
          <w:tcPr>
            <w:tcW w:w="27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4（易燃气体）。</w:t>
            </w:r>
          </w:p>
        </w:tc>
        <w:tc>
          <w:tcPr>
            <w:tcW w:w="23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燃爆危险：</w:t>
            </w:r>
          </w:p>
        </w:tc>
        <w:tc>
          <w:tcPr>
            <w:tcW w:w="2122"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易燃。</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40" w:hRule="atLeast"/>
          <w:tblHeader/>
          <w:jc w:val="center"/>
        </w:trPr>
        <w:tc>
          <w:tcPr>
            <w:tcW w:w="16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侵入途径：</w:t>
            </w:r>
          </w:p>
        </w:tc>
        <w:tc>
          <w:tcPr>
            <w:tcW w:w="27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吸入</w:t>
            </w:r>
          </w:p>
        </w:tc>
        <w:tc>
          <w:tcPr>
            <w:tcW w:w="23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有害燃烧产物：</w:t>
            </w:r>
          </w:p>
        </w:tc>
        <w:tc>
          <w:tcPr>
            <w:tcW w:w="2122"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一氧化碳、二氧化碳</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40" w:hRule="atLeast"/>
          <w:tblHeader/>
          <w:jc w:val="center"/>
        </w:trPr>
        <w:tc>
          <w:tcPr>
            <w:tcW w:w="16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健康危害：</w:t>
            </w:r>
          </w:p>
        </w:tc>
        <w:tc>
          <w:tcPr>
            <w:tcW w:w="7254"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甲烷对人基本无毒，但浓度过高时，使空气中氧含量明显降低，使人窒息。当空气中甲烷达25%~30%时，可引起头痛、头晕、乏力、注意力不集中、呼吸和心跳加速、共济失调。若不及时脱离，可致窒息死亡。皮肤接触液化本品，可致冻伤。</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40" w:hRule="atLeast"/>
          <w:tblHeader/>
          <w:jc w:val="center"/>
        </w:trPr>
        <w:tc>
          <w:tcPr>
            <w:tcW w:w="8946"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第二部分   理化特性</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40" w:hRule="atLeast"/>
          <w:tblHeader/>
          <w:jc w:val="center"/>
        </w:trPr>
        <w:tc>
          <w:tcPr>
            <w:tcW w:w="16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外观及性状：</w:t>
            </w:r>
          </w:p>
        </w:tc>
        <w:tc>
          <w:tcPr>
            <w:tcW w:w="7254"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无色无臭气体</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40" w:hRule="atLeast"/>
          <w:tblHeader/>
          <w:jc w:val="center"/>
        </w:trPr>
        <w:tc>
          <w:tcPr>
            <w:tcW w:w="16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熔点（℃）：</w:t>
            </w:r>
          </w:p>
        </w:tc>
        <w:tc>
          <w:tcPr>
            <w:tcW w:w="27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&lt;-182.5</w:t>
            </w:r>
            <w:r>
              <w:rPr>
                <w:rFonts w:hint="default" w:ascii="Times New Roman" w:hAnsi="Times New Roman" w:cs="Times New Roman"/>
                <w:color w:val="auto"/>
                <w:sz w:val="18"/>
                <w:szCs w:val="18"/>
                <w:vertAlign w:val="superscript"/>
              </w:rPr>
              <w:t>0</w:t>
            </w:r>
            <w:r>
              <w:rPr>
                <w:rFonts w:hint="default" w:ascii="Times New Roman" w:hAnsi="Times New Roman" w:cs="Times New Roman"/>
                <w:color w:val="auto"/>
                <w:sz w:val="18"/>
                <w:szCs w:val="18"/>
              </w:rPr>
              <w:t>C</w:t>
            </w:r>
          </w:p>
        </w:tc>
        <w:tc>
          <w:tcPr>
            <w:tcW w:w="23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相对密度（水＝1）</w:t>
            </w:r>
          </w:p>
        </w:tc>
        <w:tc>
          <w:tcPr>
            <w:tcW w:w="2122"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0.42（-164</w:t>
            </w:r>
            <w:r>
              <w:rPr>
                <w:rFonts w:hint="default" w:ascii="Times New Roman" w:hAnsi="Times New Roman" w:cs="Times New Roman"/>
                <w:color w:val="auto"/>
                <w:sz w:val="18"/>
                <w:szCs w:val="18"/>
                <w:vertAlign w:val="superscript"/>
              </w:rPr>
              <w:t>0</w:t>
            </w:r>
            <w:r>
              <w:rPr>
                <w:rFonts w:hint="default" w:ascii="Times New Roman" w:hAnsi="Times New Roman" w:cs="Times New Roman"/>
                <w:color w:val="auto"/>
                <w:sz w:val="18"/>
                <w:szCs w:val="18"/>
              </w:rPr>
              <w:t>C）</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40" w:hRule="atLeast"/>
          <w:tblHeader/>
          <w:jc w:val="center"/>
        </w:trPr>
        <w:tc>
          <w:tcPr>
            <w:tcW w:w="16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闪点（℃）：</w:t>
            </w:r>
          </w:p>
        </w:tc>
        <w:tc>
          <w:tcPr>
            <w:tcW w:w="27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-18842%浓度×60分钟</w:t>
            </w:r>
          </w:p>
        </w:tc>
        <w:tc>
          <w:tcPr>
            <w:tcW w:w="23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相对密度（空气=1）</w:t>
            </w:r>
          </w:p>
        </w:tc>
        <w:tc>
          <w:tcPr>
            <w:tcW w:w="2122"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40" w:hRule="atLeast"/>
          <w:tblHeader/>
          <w:jc w:val="center"/>
        </w:trPr>
        <w:tc>
          <w:tcPr>
            <w:tcW w:w="16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最低点火能量</w:t>
            </w:r>
          </w:p>
        </w:tc>
        <w:tc>
          <w:tcPr>
            <w:tcW w:w="27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0.28mj</w:t>
            </w:r>
          </w:p>
        </w:tc>
        <w:tc>
          <w:tcPr>
            <w:tcW w:w="23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爆炸上限％（V/V）：</w:t>
            </w:r>
          </w:p>
        </w:tc>
        <w:tc>
          <w:tcPr>
            <w:tcW w:w="2122"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15%（体积百分比）</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40" w:hRule="atLeast"/>
          <w:tblHeader/>
          <w:jc w:val="center"/>
        </w:trPr>
        <w:tc>
          <w:tcPr>
            <w:tcW w:w="16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沸点（℃）：</w:t>
            </w:r>
          </w:p>
        </w:tc>
        <w:tc>
          <w:tcPr>
            <w:tcW w:w="27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-161.5</w:t>
            </w:r>
            <w:r>
              <w:rPr>
                <w:rFonts w:hint="default" w:ascii="Times New Roman" w:hAnsi="Times New Roman" w:cs="Times New Roman"/>
                <w:color w:val="auto"/>
                <w:sz w:val="18"/>
                <w:szCs w:val="18"/>
                <w:vertAlign w:val="superscript"/>
              </w:rPr>
              <w:t>0</w:t>
            </w:r>
            <w:r>
              <w:rPr>
                <w:rFonts w:hint="default" w:ascii="Times New Roman" w:hAnsi="Times New Roman" w:cs="Times New Roman"/>
                <w:color w:val="auto"/>
                <w:sz w:val="18"/>
                <w:szCs w:val="18"/>
              </w:rPr>
              <w:t>C</w:t>
            </w:r>
          </w:p>
        </w:tc>
        <w:tc>
          <w:tcPr>
            <w:tcW w:w="23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爆炸下限％（V/V）：</w:t>
            </w:r>
          </w:p>
        </w:tc>
        <w:tc>
          <w:tcPr>
            <w:tcW w:w="2122"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5.15%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40" w:hRule="atLeast"/>
          <w:tblHeader/>
          <w:jc w:val="center"/>
        </w:trPr>
        <w:tc>
          <w:tcPr>
            <w:tcW w:w="16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溶解性：</w:t>
            </w:r>
          </w:p>
        </w:tc>
        <w:tc>
          <w:tcPr>
            <w:tcW w:w="7254"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微溶于水、溶于醇、乙醚。</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40" w:hRule="atLeast"/>
          <w:tblHeader/>
          <w:jc w:val="center"/>
        </w:trPr>
        <w:tc>
          <w:tcPr>
            <w:tcW w:w="16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主要用途：</w:t>
            </w:r>
          </w:p>
        </w:tc>
        <w:tc>
          <w:tcPr>
            <w:tcW w:w="7254"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主要用作燃料和用于炭黑、氢、乙炔、甲醛等的制造</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40" w:hRule="atLeast"/>
          <w:tblHeader/>
          <w:jc w:val="center"/>
        </w:trPr>
        <w:tc>
          <w:tcPr>
            <w:tcW w:w="8946"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第三部分   稳定性及化学活性</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40" w:hRule="atLeast"/>
          <w:tblHeader/>
          <w:jc w:val="center"/>
        </w:trPr>
        <w:tc>
          <w:tcPr>
            <w:tcW w:w="16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稳定性：</w:t>
            </w:r>
          </w:p>
        </w:tc>
        <w:tc>
          <w:tcPr>
            <w:tcW w:w="27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稳定</w:t>
            </w:r>
          </w:p>
        </w:tc>
        <w:tc>
          <w:tcPr>
            <w:tcW w:w="2357"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避免接触的条件：</w:t>
            </w:r>
          </w:p>
        </w:tc>
        <w:tc>
          <w:tcPr>
            <w:tcW w:w="210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明火、高热。</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40" w:hRule="atLeast"/>
          <w:tblHeader/>
          <w:jc w:val="center"/>
        </w:trPr>
        <w:tc>
          <w:tcPr>
            <w:tcW w:w="16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禁配物：</w:t>
            </w:r>
          </w:p>
        </w:tc>
        <w:tc>
          <w:tcPr>
            <w:tcW w:w="27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强氧化剂</w:t>
            </w:r>
          </w:p>
        </w:tc>
        <w:tc>
          <w:tcPr>
            <w:tcW w:w="2357"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聚合危害：</w:t>
            </w:r>
          </w:p>
        </w:tc>
        <w:tc>
          <w:tcPr>
            <w:tcW w:w="210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不聚合</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40" w:hRule="atLeast"/>
          <w:tblHeader/>
          <w:jc w:val="center"/>
        </w:trPr>
        <w:tc>
          <w:tcPr>
            <w:tcW w:w="16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分解产物：</w:t>
            </w:r>
          </w:p>
        </w:tc>
        <w:tc>
          <w:tcPr>
            <w:tcW w:w="7254"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一氧化碳、二氧化碳。</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40" w:hRule="atLeast"/>
          <w:tblHeader/>
          <w:jc w:val="center"/>
        </w:trPr>
        <w:tc>
          <w:tcPr>
            <w:tcW w:w="8946"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第四部分  毒理学资料</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40" w:hRule="atLeast"/>
          <w:tblHeader/>
          <w:jc w:val="center"/>
        </w:trPr>
        <w:tc>
          <w:tcPr>
            <w:tcW w:w="16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急性毒性：</w:t>
            </w:r>
          </w:p>
        </w:tc>
        <w:tc>
          <w:tcPr>
            <w:tcW w:w="7254"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LC</w:t>
            </w:r>
            <w:r>
              <w:rPr>
                <w:rFonts w:hint="default" w:ascii="Times New Roman" w:hAnsi="Times New Roman" w:cs="Times New Roman"/>
                <w:color w:val="auto"/>
                <w:kern w:val="0"/>
                <w:sz w:val="18"/>
                <w:szCs w:val="18"/>
                <w:vertAlign w:val="subscript"/>
              </w:rPr>
              <w:t>50</w:t>
            </w:r>
            <w:r>
              <w:rPr>
                <w:rFonts w:hint="default" w:ascii="Times New Roman" w:hAnsi="Times New Roman" w:cs="Times New Roman"/>
                <w:color w:val="auto"/>
                <w:kern w:val="0"/>
                <w:sz w:val="18"/>
                <w:szCs w:val="18"/>
              </w:rPr>
              <w:t>=50%，毒性分级：Ⅳ(轻度危害)</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40" w:hRule="atLeast"/>
          <w:tblHeader/>
          <w:jc w:val="center"/>
        </w:trPr>
        <w:tc>
          <w:tcPr>
            <w:tcW w:w="16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毒性：</w:t>
            </w:r>
          </w:p>
        </w:tc>
        <w:tc>
          <w:tcPr>
            <w:tcW w:w="7254"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属微毒类。允许气体安全地扩散到大气中或当作燃料使用。有单纯性窒息作用，在高浓度时因缺氧窒息而引起中毒。空气中达到25%~30%出现头昏、呼吸加速、运动失调。</w:t>
            </w:r>
          </w:p>
        </w:tc>
      </w:tr>
    </w:tbl>
    <w:p>
      <w:pPr>
        <w:pStyle w:val="8"/>
        <w:numPr>
          <w:ilvl w:val="0"/>
          <w:numId w:val="9"/>
        </w:numPr>
        <w:spacing w:before="120" w:beforeLines="50"/>
        <w:ind w:left="0" w:firstLine="843" w:firstLineChars="400"/>
        <w:jc w:val="left"/>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 xml:space="preserve">              高浓度有机废液理化性质</w:t>
      </w:r>
    </w:p>
    <w:tbl>
      <w:tblPr>
        <w:tblStyle w:val="25"/>
        <w:tblW w:w="8946" w:type="dxa"/>
        <w:jc w:val="center"/>
        <w:tblBorders>
          <w:top w:val="single" w:color="auto" w:sz="2" w:space="0"/>
          <w:left w:val="none" w:color="auto" w:sz="0" w:space="0"/>
          <w:bottom w:val="single" w:color="auto" w:sz="2" w:space="0"/>
          <w:right w:val="none" w:color="auto" w:sz="0" w:space="0"/>
          <w:insideH w:val="single" w:color="auto" w:sz="2" w:space="0"/>
          <w:insideV w:val="single" w:color="auto" w:sz="6" w:space="0"/>
        </w:tblBorders>
        <w:tblLayout w:type="fixed"/>
        <w:tblCellMar>
          <w:top w:w="0" w:type="dxa"/>
          <w:left w:w="108" w:type="dxa"/>
          <w:bottom w:w="0" w:type="dxa"/>
          <w:right w:w="108" w:type="dxa"/>
        </w:tblCellMar>
      </w:tblPr>
      <w:tblGrid>
        <w:gridCol w:w="1692"/>
        <w:gridCol w:w="2795"/>
        <w:gridCol w:w="2337"/>
        <w:gridCol w:w="2122"/>
      </w:tblGrid>
      <w:tr>
        <w:tblPrEx>
          <w:tblBorders>
            <w:top w:val="single" w:color="auto" w:sz="2" w:space="0"/>
            <w:left w:val="none" w:color="auto" w:sz="0" w:space="0"/>
            <w:bottom w:val="single" w:color="auto" w:sz="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40" w:hRule="atLeast"/>
          <w:tblHeader/>
          <w:jc w:val="center"/>
        </w:trPr>
        <w:tc>
          <w:tcPr>
            <w:tcW w:w="8946"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理化特性</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40" w:hRule="atLeast"/>
          <w:tblHeader/>
          <w:jc w:val="center"/>
        </w:trPr>
        <w:tc>
          <w:tcPr>
            <w:tcW w:w="16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外观及性状</w:t>
            </w:r>
          </w:p>
        </w:tc>
        <w:tc>
          <w:tcPr>
            <w:tcW w:w="27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有恶臭味液体</w:t>
            </w:r>
          </w:p>
        </w:tc>
        <w:tc>
          <w:tcPr>
            <w:tcW w:w="23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COD浓度：</w:t>
            </w:r>
          </w:p>
        </w:tc>
        <w:tc>
          <w:tcPr>
            <w:tcW w:w="21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15000</w:t>
            </w:r>
            <w:r>
              <w:rPr>
                <w:rFonts w:hint="default" w:ascii="Times New Roman" w:hAnsi="Times New Roman" w:cs="Times New Roman"/>
                <w:bCs/>
                <w:color w:val="auto"/>
                <w:sz w:val="18"/>
                <w:szCs w:val="18"/>
              </w:rPr>
              <w:t>mg/L</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40" w:hRule="atLeast"/>
          <w:tblHeader/>
          <w:jc w:val="center"/>
        </w:trPr>
        <w:tc>
          <w:tcPr>
            <w:tcW w:w="8946"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危险特性</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40" w:hRule="atLeast"/>
          <w:tblHeader/>
          <w:jc w:val="center"/>
        </w:trPr>
        <w:tc>
          <w:tcPr>
            <w:tcW w:w="16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危险性类别：</w:t>
            </w:r>
          </w:p>
        </w:tc>
        <w:tc>
          <w:tcPr>
            <w:tcW w:w="7254"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污染性</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40" w:hRule="atLeast"/>
          <w:tblHeader/>
          <w:jc w:val="center"/>
        </w:trPr>
        <w:tc>
          <w:tcPr>
            <w:tcW w:w="16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侵入途径：</w:t>
            </w:r>
          </w:p>
        </w:tc>
        <w:tc>
          <w:tcPr>
            <w:tcW w:w="7254"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地表渗透、流入</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6" w:space="0"/>
          </w:tblBorders>
          <w:tblCellMar>
            <w:top w:w="0" w:type="dxa"/>
            <w:left w:w="108" w:type="dxa"/>
            <w:bottom w:w="0" w:type="dxa"/>
            <w:right w:w="108" w:type="dxa"/>
          </w:tblCellMar>
        </w:tblPrEx>
        <w:trPr>
          <w:trHeight w:val="340" w:hRule="atLeast"/>
          <w:tblHeader/>
          <w:jc w:val="center"/>
        </w:trPr>
        <w:tc>
          <w:tcPr>
            <w:tcW w:w="169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危险特性</w:t>
            </w:r>
          </w:p>
        </w:tc>
        <w:tc>
          <w:tcPr>
            <w:tcW w:w="7254"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污染地表水、地下水</w:t>
            </w:r>
          </w:p>
        </w:tc>
      </w:tr>
    </w:tbl>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本项目涉及的危险物质主要分布在沼气池、沼气输送管线及污水收集池。</w:t>
      </w:r>
    </w:p>
    <w:p>
      <w:pPr>
        <w:keepNext/>
        <w:keepLines/>
        <w:pageBreakBefore w:val="0"/>
        <w:widowControl w:val="0"/>
        <w:numPr>
          <w:ilvl w:val="3"/>
          <w:numId w:val="0"/>
        </w:numPr>
        <w:kinsoku/>
        <w:wordWrap/>
        <w:overflowPunct/>
        <w:topLinePunct w:val="0"/>
        <w:autoSpaceDE/>
        <w:autoSpaceDN/>
        <w:bidi w:val="0"/>
        <w:adjustRightInd w:val="0"/>
        <w:snapToGrid w:val="0"/>
        <w:spacing w:line="360" w:lineRule="auto"/>
        <w:jc w:val="left"/>
        <w:textAlignment w:val="auto"/>
        <w:outlineLvl w:val="3"/>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5.3.1.2生产系统危险性识别</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szCs w:val="24"/>
          <w:lang w:val="de-DE"/>
        </w:rPr>
      </w:pPr>
      <w:r>
        <w:rPr>
          <w:rFonts w:hint="default" w:ascii="Times New Roman" w:hAnsi="Times New Roman" w:cs="Times New Roman"/>
          <w:bCs/>
          <w:color w:val="auto"/>
          <w:sz w:val="24"/>
          <w:szCs w:val="24"/>
          <w:lang w:val="de-DE"/>
        </w:rPr>
        <w:t>本项目属于生猪养殖项目，生产过程中黑膜沼气池可能存在危险性，主要为沼气危险性和黑膜沼气池中未处理高浓度有机废水泄漏危险性。</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szCs w:val="24"/>
          <w:lang w:val="de-DE"/>
        </w:rPr>
      </w:pPr>
      <w:r>
        <w:rPr>
          <w:rFonts w:hint="default" w:ascii="Times New Roman" w:hAnsi="Times New Roman" w:cs="Times New Roman"/>
          <w:bCs/>
          <w:color w:val="auto"/>
          <w:sz w:val="24"/>
          <w:szCs w:val="24"/>
          <w:lang w:val="de-DE"/>
        </w:rPr>
        <w:t>（1）沼气危险性识别</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本项目养猪场沼气工程为黑膜沼气池，集发酵、贮气于一体，不需另外设置沼气贮存设施。沼气通过管道输送到食堂使用，输送管道不涉及沼气存储，故涉及的风险主要为沼气池中的沼气泄漏污染环境空气、引发火灾、爆炸事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szCs w:val="24"/>
          <w:lang w:val="de-DE"/>
        </w:rPr>
      </w:pPr>
      <w:r>
        <w:rPr>
          <w:rFonts w:hint="default" w:ascii="Times New Roman" w:hAnsi="Times New Roman" w:cs="Times New Roman"/>
          <w:bCs/>
          <w:color w:val="auto"/>
          <w:sz w:val="24"/>
          <w:szCs w:val="24"/>
          <w:lang w:val="de-DE"/>
        </w:rPr>
        <w:t>（2）黑膜沼气池中未处理高浓度有机废水危险性。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lang w:val="de-DE"/>
        </w:rPr>
      </w:pPr>
      <w:r>
        <w:rPr>
          <w:rFonts w:hint="default" w:ascii="Times New Roman" w:hAnsi="Times New Roman" w:cs="Times New Roman"/>
          <w:color w:val="auto"/>
          <w:sz w:val="24"/>
          <w:szCs w:val="24"/>
          <w:lang w:val="de-DE"/>
        </w:rPr>
        <w:t>本项目废水经收集、干湿分离后进入黑膜沼气池，沼气池由黑膜密闭覆盖，不存在雨水淋滤导致沼液漫溢的可能。事故废水主要为黑膜沼气池及沼液输送管道破损，防渗措施不完好，造成未经处理的沼液进入外部环境，对区域内地下水和土壤形成污染。黑膜沼气池距</w:t>
      </w:r>
      <w:r>
        <w:rPr>
          <w:rFonts w:hint="default" w:ascii="Times New Roman" w:hAnsi="Times New Roman" w:cs="Times New Roman"/>
          <w:color w:val="auto"/>
          <w:sz w:val="24"/>
          <w:szCs w:val="24"/>
          <w:lang w:val="de-DE" w:eastAsia="zh-CN"/>
        </w:rPr>
        <w:t>第三濮清南</w:t>
      </w:r>
      <w:r>
        <w:rPr>
          <w:rFonts w:hint="default" w:ascii="Times New Roman" w:hAnsi="Times New Roman" w:cs="Times New Roman"/>
          <w:color w:val="auto"/>
          <w:sz w:val="24"/>
          <w:szCs w:val="24"/>
          <w:lang w:val="de-DE"/>
        </w:rPr>
        <w:t>最近</w:t>
      </w:r>
      <w:r>
        <w:rPr>
          <w:rFonts w:hint="default" w:ascii="Times New Roman" w:hAnsi="Times New Roman" w:cs="Times New Roman"/>
          <w:color w:val="auto"/>
          <w:sz w:val="24"/>
          <w:szCs w:val="24"/>
          <w:lang w:val="en-US" w:eastAsia="zh-CN"/>
        </w:rPr>
        <w:t>856</w:t>
      </w:r>
      <w:r>
        <w:rPr>
          <w:rFonts w:hint="default" w:ascii="Times New Roman" w:hAnsi="Times New Roman" w:cs="Times New Roman"/>
          <w:color w:val="auto"/>
          <w:sz w:val="24"/>
          <w:szCs w:val="24"/>
          <w:lang w:val="de-DE"/>
        </w:rPr>
        <w:t>m，中间区域主要为</w:t>
      </w:r>
      <w:r>
        <w:rPr>
          <w:rFonts w:hint="default" w:ascii="Times New Roman" w:hAnsi="Times New Roman" w:cs="Times New Roman"/>
          <w:color w:val="auto"/>
          <w:sz w:val="24"/>
          <w:szCs w:val="24"/>
          <w:lang w:val="de-DE" w:eastAsia="zh-CN"/>
        </w:rPr>
        <w:t>沼液存储池</w:t>
      </w:r>
      <w:r>
        <w:rPr>
          <w:rFonts w:hint="default" w:ascii="Times New Roman" w:hAnsi="Times New Roman" w:cs="Times New Roman"/>
          <w:color w:val="auto"/>
          <w:sz w:val="24"/>
          <w:szCs w:val="24"/>
          <w:lang w:val="de-DE"/>
        </w:rPr>
        <w:t>，黑膜沼气池未处理废水流入</w:t>
      </w:r>
      <w:r>
        <w:rPr>
          <w:rFonts w:hint="default" w:ascii="Times New Roman" w:hAnsi="Times New Roman" w:cs="Times New Roman"/>
          <w:color w:val="auto"/>
          <w:sz w:val="24"/>
          <w:szCs w:val="24"/>
          <w:lang w:val="de-DE" w:eastAsia="zh-CN"/>
        </w:rPr>
        <w:t>第三濮清南</w:t>
      </w:r>
      <w:r>
        <w:rPr>
          <w:rFonts w:hint="default" w:ascii="Times New Roman" w:hAnsi="Times New Roman" w:cs="Times New Roman"/>
          <w:color w:val="auto"/>
          <w:sz w:val="24"/>
          <w:szCs w:val="24"/>
          <w:lang w:val="de-DE"/>
        </w:rPr>
        <w:t>的可能性较小。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lang w:val="de-DE"/>
        </w:rPr>
      </w:pPr>
      <w:r>
        <w:rPr>
          <w:rFonts w:hint="default" w:ascii="Times New Roman" w:hAnsi="Times New Roman" w:cs="Times New Roman"/>
          <w:color w:val="auto"/>
          <w:sz w:val="24"/>
          <w:szCs w:val="24"/>
          <w:lang w:val="de-DE"/>
        </w:rPr>
        <w:t>根据以上分析，项目风险识别结果见下表</w:t>
      </w:r>
    </w:p>
    <w:p>
      <w:pPr>
        <w:pStyle w:val="8"/>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firstLine="843" w:firstLineChars="400"/>
        <w:jc w:val="left"/>
        <w:textAlignment w:val="auto"/>
        <w:rPr>
          <w:rFonts w:hint="default" w:ascii="Times New Roman" w:hAnsi="Times New Roman" w:cs="Times New Roman"/>
          <w:color w:val="auto"/>
          <w:kern w:val="0"/>
          <w:sz w:val="24"/>
        </w:rPr>
      </w:pPr>
      <w:r>
        <w:rPr>
          <w:rFonts w:hint="default" w:ascii="Times New Roman" w:hAnsi="Times New Roman" w:eastAsia="宋体" w:cs="Times New Roman"/>
          <w:b/>
          <w:color w:val="auto"/>
          <w:sz w:val="21"/>
          <w:szCs w:val="21"/>
          <w:lang w:eastAsia="zh-CN"/>
        </w:rPr>
        <w:t xml:space="preserve">            各危险单元</w:t>
      </w:r>
      <w:r>
        <w:rPr>
          <w:rFonts w:hint="default" w:ascii="Times New Roman" w:hAnsi="Times New Roman" w:eastAsia="宋体" w:cs="Times New Roman"/>
          <w:b/>
          <w:color w:val="auto"/>
          <w:sz w:val="21"/>
          <w:szCs w:val="21"/>
        </w:rPr>
        <w:t>潜在</w:t>
      </w:r>
      <w:r>
        <w:rPr>
          <w:rFonts w:hint="default" w:ascii="Times New Roman" w:hAnsi="Times New Roman" w:eastAsia="宋体" w:cs="Times New Roman"/>
          <w:b/>
          <w:color w:val="auto"/>
          <w:sz w:val="21"/>
          <w:szCs w:val="21"/>
          <w:lang w:eastAsia="zh-CN"/>
        </w:rPr>
        <w:t>风险因素识别表</w:t>
      </w:r>
    </w:p>
    <w:tbl>
      <w:tblPr>
        <w:tblStyle w:val="25"/>
        <w:tblW w:w="878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369"/>
        <w:gridCol w:w="1191"/>
        <w:gridCol w:w="2096"/>
        <w:gridCol w:w="2516"/>
        <w:gridCol w:w="16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36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危险单元</w:t>
            </w:r>
          </w:p>
        </w:tc>
        <w:tc>
          <w:tcPr>
            <w:tcW w:w="11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风险源</w:t>
            </w:r>
          </w:p>
        </w:tc>
        <w:tc>
          <w:tcPr>
            <w:tcW w:w="20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主要危险物质</w:t>
            </w:r>
          </w:p>
        </w:tc>
        <w:tc>
          <w:tcPr>
            <w:tcW w:w="25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风险因素</w:t>
            </w: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影响因素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36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污水处理设施</w:t>
            </w:r>
          </w:p>
        </w:tc>
        <w:tc>
          <w:tcPr>
            <w:tcW w:w="119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黑膜沼气池</w:t>
            </w:r>
          </w:p>
        </w:tc>
        <w:tc>
          <w:tcPr>
            <w:tcW w:w="20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甲烷</w:t>
            </w:r>
          </w:p>
        </w:tc>
        <w:tc>
          <w:tcPr>
            <w:tcW w:w="25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泄漏/火灾/爆炸</w:t>
            </w: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大气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36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119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p>
        </w:tc>
        <w:tc>
          <w:tcPr>
            <w:tcW w:w="209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高浓度有机废液</w:t>
            </w:r>
          </w:p>
        </w:tc>
        <w:tc>
          <w:tcPr>
            <w:tcW w:w="25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泄漏</w:t>
            </w:r>
          </w:p>
        </w:tc>
        <w:tc>
          <w:tcPr>
            <w:tcW w:w="16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地表水、地下水</w:t>
            </w:r>
          </w:p>
        </w:tc>
      </w:tr>
    </w:tbl>
    <w:p>
      <w:pPr>
        <w:keepNext/>
        <w:keepLines/>
        <w:pageBreakBefore w:val="0"/>
        <w:widowControl w:val="0"/>
        <w:numPr>
          <w:ilvl w:val="3"/>
          <w:numId w:val="0"/>
        </w:numPr>
        <w:kinsoku/>
        <w:wordWrap/>
        <w:overflowPunct/>
        <w:topLinePunct w:val="0"/>
        <w:bidi w:val="0"/>
        <w:adjustRightInd w:val="0"/>
        <w:snapToGrid w:val="0"/>
        <w:spacing w:line="360" w:lineRule="auto"/>
        <w:jc w:val="left"/>
        <w:textAlignment w:val="auto"/>
        <w:outlineLvl w:val="3"/>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5.3.3.3风险识别结果</w:t>
      </w:r>
    </w:p>
    <w:p>
      <w:pPr>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风险源是发生突发环境事件的主要源头，可能发生的环境风险类型包括危险物质泄漏等引发的伴生/次生污染物排放、环保设施非正常运行等。影响方式因受体不同分别表现为大气环境污染、水环境污染、土壤污染等。</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危险物质主要通过水、大气、地下水、土壤等途径进入环境。拟建项目沼液暂存池，采取分区防控的方式进行地下水污染防治，事故状态下的事故废水可以得到有效的收集，也不会直接进入到地下水中。综合看，发生环境风险事件时，本次项目危险物质主要通过大气进入环境中。</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根据上述识别与分析，本项目主要风险事故有以下几种：（1）沼气泄漏会引发局部地区空气中甲烷浓度过高，大量吸入甲烷后引发中毒。（2）沼气燃烧及爆炸，产生大量CO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，引发局部地区空气中CO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浓度过高，大量吸入后引发中毒。（3）高浓度有机废水泄漏，污染土壤、地表水及地下水。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根据以上分析，拟建设项目风险识别结果见下表：</w:t>
      </w:r>
    </w:p>
    <w:p>
      <w:pPr>
        <w:pStyle w:val="8"/>
        <w:keepNext w:val="0"/>
        <w:keepLines w:val="0"/>
        <w:pageBreakBefore w:val="0"/>
        <w:widowControl w:val="0"/>
        <w:numPr>
          <w:ilvl w:val="0"/>
          <w:numId w:val="9"/>
        </w:numPr>
        <w:kinsoku/>
        <w:wordWrap/>
        <w:overflowPunct/>
        <w:topLinePunct w:val="0"/>
        <w:bidi w:val="0"/>
        <w:adjustRightInd w:val="0"/>
        <w:snapToGrid w:val="0"/>
        <w:spacing w:line="360" w:lineRule="auto"/>
        <w:ind w:lef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环境风险识别汇总表</w:t>
      </w:r>
    </w:p>
    <w:tbl>
      <w:tblPr>
        <w:tblStyle w:val="25"/>
        <w:tblW w:w="878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72"/>
        <w:gridCol w:w="1339"/>
        <w:gridCol w:w="1191"/>
        <w:gridCol w:w="1785"/>
        <w:gridCol w:w="1936"/>
        <w:gridCol w:w="14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危险单元</w:t>
            </w:r>
          </w:p>
        </w:tc>
        <w:tc>
          <w:tcPr>
            <w:tcW w:w="13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风险源</w:t>
            </w:r>
          </w:p>
        </w:tc>
        <w:tc>
          <w:tcPr>
            <w:tcW w:w="11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主要危险物质</w:t>
            </w:r>
          </w:p>
        </w:tc>
        <w:tc>
          <w:tcPr>
            <w:tcW w:w="17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环境风险类型</w:t>
            </w:r>
          </w:p>
        </w:tc>
        <w:tc>
          <w:tcPr>
            <w:tcW w:w="19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color w:val="auto"/>
                <w:spacing w:val="-8"/>
                <w:kern w:val="0"/>
                <w:sz w:val="21"/>
                <w:szCs w:val="21"/>
              </w:rPr>
            </w:pPr>
            <w:r>
              <w:rPr>
                <w:rFonts w:hint="default" w:ascii="Times New Roman" w:hAnsi="Times New Roman" w:cs="Times New Roman"/>
                <w:b/>
                <w:color w:val="auto"/>
                <w:spacing w:val="-8"/>
                <w:kern w:val="0"/>
                <w:sz w:val="21"/>
                <w:szCs w:val="21"/>
              </w:rPr>
              <w:t>环境影响途径</w:t>
            </w:r>
          </w:p>
        </w:tc>
        <w:tc>
          <w:tcPr>
            <w:tcW w:w="14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可能受影响的环境敏感目标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072"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污水</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处理站</w:t>
            </w:r>
          </w:p>
        </w:tc>
        <w:tc>
          <w:tcPr>
            <w:tcW w:w="13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沼气池</w:t>
            </w:r>
          </w:p>
        </w:tc>
        <w:tc>
          <w:tcPr>
            <w:tcW w:w="11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甲烷</w:t>
            </w:r>
          </w:p>
        </w:tc>
        <w:tc>
          <w:tcPr>
            <w:tcW w:w="17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泄漏、燃烧、爆炸</w:t>
            </w:r>
          </w:p>
        </w:tc>
        <w:tc>
          <w:tcPr>
            <w:tcW w:w="19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大气环境</w:t>
            </w:r>
          </w:p>
        </w:tc>
        <w:tc>
          <w:tcPr>
            <w:tcW w:w="146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居住区等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28" w:hRule="atLeast"/>
        </w:trPr>
        <w:tc>
          <w:tcPr>
            <w:tcW w:w="107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rPr>
            </w:pPr>
          </w:p>
        </w:tc>
        <w:tc>
          <w:tcPr>
            <w:tcW w:w="13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输送管线</w:t>
            </w:r>
          </w:p>
        </w:tc>
        <w:tc>
          <w:tcPr>
            <w:tcW w:w="11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甲烷</w:t>
            </w:r>
          </w:p>
        </w:tc>
        <w:tc>
          <w:tcPr>
            <w:tcW w:w="17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泄漏、燃烧、爆炸</w:t>
            </w:r>
          </w:p>
        </w:tc>
        <w:tc>
          <w:tcPr>
            <w:tcW w:w="19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大气环境</w:t>
            </w:r>
          </w:p>
        </w:tc>
        <w:tc>
          <w:tcPr>
            <w:tcW w:w="146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28" w:hRule="atLeast"/>
        </w:trPr>
        <w:tc>
          <w:tcPr>
            <w:tcW w:w="107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rPr>
            </w:pPr>
          </w:p>
        </w:tc>
        <w:tc>
          <w:tcPr>
            <w:tcW w:w="13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污水收集池</w:t>
            </w:r>
          </w:p>
        </w:tc>
        <w:tc>
          <w:tcPr>
            <w:tcW w:w="11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高浓度有机废液</w:t>
            </w:r>
          </w:p>
        </w:tc>
        <w:tc>
          <w:tcPr>
            <w:tcW w:w="17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泄漏</w:t>
            </w:r>
          </w:p>
        </w:tc>
        <w:tc>
          <w:tcPr>
            <w:tcW w:w="19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pacing w:val="-8"/>
                <w:kern w:val="0"/>
                <w:sz w:val="21"/>
                <w:szCs w:val="21"/>
              </w:rPr>
            </w:pPr>
            <w:r>
              <w:rPr>
                <w:rFonts w:hint="default" w:ascii="Times New Roman" w:hAnsi="Times New Roman" w:cs="Times New Roman"/>
                <w:color w:val="auto"/>
                <w:spacing w:val="-8"/>
                <w:kern w:val="0"/>
                <w:sz w:val="21"/>
                <w:szCs w:val="21"/>
              </w:rPr>
              <w:t>土壤、地表水、地下水</w:t>
            </w:r>
          </w:p>
        </w:tc>
        <w:tc>
          <w:tcPr>
            <w:tcW w:w="146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地下水/地表水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28" w:hRule="atLeast"/>
        </w:trPr>
        <w:tc>
          <w:tcPr>
            <w:tcW w:w="1072"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rPr>
            </w:pPr>
          </w:p>
        </w:tc>
        <w:tc>
          <w:tcPr>
            <w:tcW w:w="13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污水输送管线</w:t>
            </w:r>
          </w:p>
        </w:tc>
        <w:tc>
          <w:tcPr>
            <w:tcW w:w="11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高浓度有机废液</w:t>
            </w:r>
          </w:p>
        </w:tc>
        <w:tc>
          <w:tcPr>
            <w:tcW w:w="17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泄漏</w:t>
            </w:r>
          </w:p>
        </w:tc>
        <w:tc>
          <w:tcPr>
            <w:tcW w:w="19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pacing w:val="-8"/>
                <w:kern w:val="0"/>
                <w:sz w:val="21"/>
                <w:szCs w:val="21"/>
              </w:rPr>
            </w:pPr>
            <w:r>
              <w:rPr>
                <w:rFonts w:hint="default" w:ascii="Times New Roman" w:hAnsi="Times New Roman" w:cs="Times New Roman"/>
                <w:color w:val="auto"/>
                <w:spacing w:val="-8"/>
                <w:kern w:val="0"/>
                <w:sz w:val="21"/>
                <w:szCs w:val="21"/>
              </w:rPr>
              <w:t>土壤、地表水、地下水</w:t>
            </w:r>
          </w:p>
        </w:tc>
        <w:tc>
          <w:tcPr>
            <w:tcW w:w="146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kern w:val="0"/>
                <w:sz w:val="21"/>
                <w:szCs w:val="21"/>
              </w:rPr>
            </w:pPr>
          </w:p>
        </w:tc>
      </w:tr>
    </w:tbl>
    <w:p>
      <w:pPr>
        <w:keepNext/>
        <w:keepLines/>
        <w:pageBreakBefore w:val="0"/>
        <w:widowControl w:val="0"/>
        <w:numPr>
          <w:ilvl w:val="2"/>
          <w:numId w:val="0"/>
        </w:numPr>
        <w:tabs>
          <w:tab w:val="left" w:pos="709"/>
        </w:tabs>
        <w:kinsoku/>
        <w:wordWrap/>
        <w:overflowPunct/>
        <w:topLinePunct w:val="0"/>
        <w:autoSpaceDE/>
        <w:autoSpaceDN/>
        <w:bidi w:val="0"/>
        <w:adjustRightInd w:val="0"/>
        <w:snapToGrid w:val="0"/>
        <w:spacing w:line="360" w:lineRule="auto"/>
        <w:ind w:firstLine="0" w:firstLineChars="0"/>
        <w:textAlignment w:val="auto"/>
        <w:outlineLvl w:val="2"/>
        <w:rPr>
          <w:rFonts w:hint="default" w:ascii="Times New Roman" w:hAnsi="Times New Roman" w:eastAsia="黑体" w:cs="Times New Roman"/>
          <w:bCs/>
          <w:color w:val="auto"/>
          <w:sz w:val="26"/>
          <w:szCs w:val="26"/>
          <w:lang w:val="en-GB"/>
        </w:rPr>
      </w:pPr>
      <w:r>
        <w:rPr>
          <w:rFonts w:hint="default" w:ascii="Times New Roman" w:hAnsi="Times New Roman" w:eastAsia="黑体" w:cs="Times New Roman"/>
          <w:bCs/>
          <w:color w:val="auto"/>
          <w:sz w:val="26"/>
          <w:szCs w:val="26"/>
          <w:lang w:val="en-GB"/>
        </w:rPr>
        <w:t>5.3.4 风险事故情形分析</w:t>
      </w:r>
    </w:p>
    <w:p>
      <w:pPr>
        <w:keepNext/>
        <w:keepLines/>
        <w:pageBreakBefore w:val="0"/>
        <w:widowControl w:val="0"/>
        <w:numPr>
          <w:ilvl w:val="3"/>
          <w:numId w:val="0"/>
        </w:numPr>
        <w:kinsoku/>
        <w:wordWrap/>
        <w:overflowPunct/>
        <w:topLinePunct w:val="0"/>
        <w:autoSpaceDE/>
        <w:autoSpaceDN/>
        <w:bidi w:val="0"/>
        <w:adjustRightInd w:val="0"/>
        <w:snapToGrid w:val="0"/>
        <w:spacing w:line="360" w:lineRule="auto"/>
        <w:ind w:firstLine="0" w:firstLineChars="0"/>
        <w:jc w:val="left"/>
        <w:textAlignment w:val="auto"/>
        <w:outlineLvl w:val="3"/>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5.3.4.1风险事故情形设定</w:t>
      </w:r>
    </w:p>
    <w:p>
      <w:pPr>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（1）事故类型分析</w:t>
      </w:r>
    </w:p>
    <w:p>
      <w:pPr>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不同事故其引发因素、伤害机制、危害时间及空间尺度上有很大区别，并相互作用和影响。沼气事故案例统计详见表5.3-15。</w:t>
      </w:r>
    </w:p>
    <w:p>
      <w:pPr>
        <w:pStyle w:val="8"/>
        <w:pageBreakBefore w:val="0"/>
        <w:widowControl w:val="0"/>
        <w:numPr>
          <w:ilvl w:val="0"/>
          <w:numId w:val="9"/>
        </w:numPr>
        <w:kinsoku/>
        <w:wordWrap/>
        <w:overflowPunct/>
        <w:topLinePunct w:val="0"/>
        <w:autoSpaceDE/>
        <w:autoSpaceDN/>
        <w:bidi w:val="0"/>
        <w:adjustRightInd w:val="0"/>
        <w:snapToGrid w:val="0"/>
        <w:spacing w:line="360" w:lineRule="auto"/>
        <w:ind w:lef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沼气典型事故案例</w:t>
      </w:r>
    </w:p>
    <w:tbl>
      <w:tblPr>
        <w:tblStyle w:val="25"/>
        <w:tblW w:w="8522" w:type="dxa"/>
        <w:tblInd w:w="0" w:type="dxa"/>
        <w:tblBorders>
          <w:top w:val="single" w:color="auto" w:sz="2" w:space="0"/>
          <w:left w:val="none" w:color="auto" w:sz="0" w:space="0"/>
          <w:bottom w:val="single" w:color="auto" w:sz="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44"/>
        <w:gridCol w:w="1165"/>
        <w:gridCol w:w="4353"/>
        <w:gridCol w:w="467"/>
        <w:gridCol w:w="1893"/>
      </w:tblGrid>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644"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1165"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时间</w:t>
            </w:r>
          </w:p>
        </w:tc>
        <w:tc>
          <w:tcPr>
            <w:tcW w:w="4353"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事故经过</w:t>
            </w:r>
          </w:p>
        </w:tc>
        <w:tc>
          <w:tcPr>
            <w:tcW w:w="2360" w:type="dxa"/>
            <w:gridSpan w:val="2"/>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事故原因</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8522" w:type="dxa"/>
            <w:gridSpan w:val="5"/>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沼气</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644"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165"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2004.6.26</w:t>
            </w:r>
          </w:p>
        </w:tc>
        <w:tc>
          <w:tcPr>
            <w:tcW w:w="4820" w:type="dxa"/>
            <w:gridSpan w:val="2"/>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甘肃高崖金城水泥有限公司自营工程队3位民工在清理高崖生活福利区化粪池和下水主管道时，不幸因沼气中毒身亡。</w:t>
            </w:r>
          </w:p>
        </w:tc>
        <w:tc>
          <w:tcPr>
            <w:tcW w:w="1893"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沼气具有隐蔽性和工作人员缺乏防范意识</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644"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165"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2006.5.7</w:t>
            </w:r>
          </w:p>
        </w:tc>
        <w:tc>
          <w:tcPr>
            <w:tcW w:w="4820" w:type="dxa"/>
            <w:gridSpan w:val="2"/>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且末县供排水公司11名工作人员在检修且末县客运站至且末县玉石商贸城排水管沟时，1名职工下井作业长时间无回应，供排水公司随即组织井上6名职工陆续下井营救，营救过程中，因井下沼气浓度过高，造成6人死亡，1人受伤。</w:t>
            </w:r>
          </w:p>
        </w:tc>
        <w:tc>
          <w:tcPr>
            <w:tcW w:w="1893"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沼气具有隐蔽性和工作人员缺乏防范意识</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644"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165"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2009.6.24</w:t>
            </w:r>
          </w:p>
        </w:tc>
        <w:tc>
          <w:tcPr>
            <w:tcW w:w="4820" w:type="dxa"/>
            <w:gridSpan w:val="2"/>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银川市西夏区海珑药业公司2名工人在没有任何防护措施的情况下到污水井进行疏通作业，导致沼气中毒，随后被距离事故现场10米处的3名工厂保安发现。救人心切的3名工厂保安也在没有任何保护措施的情况下下井救人，结果也中毒晕倒在井底。最终导致3人死亡，1人重伤，1人轻伤。</w:t>
            </w:r>
          </w:p>
        </w:tc>
        <w:tc>
          <w:tcPr>
            <w:tcW w:w="1893"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沼气具有隐蔽性和工作人员缺乏防范意识</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644"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165"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2011.8.31</w:t>
            </w:r>
          </w:p>
        </w:tc>
        <w:tc>
          <w:tcPr>
            <w:tcW w:w="4820" w:type="dxa"/>
            <w:gridSpan w:val="2"/>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shd w:val="clear" w:color="auto" w:fill="F7FAFF"/>
              </w:rPr>
              <w:t>北京通州区漷县镇北堤寺村东一养殖基地发生沼气中毒事故，5名中毒人员医治无效死亡。</w:t>
            </w:r>
          </w:p>
        </w:tc>
        <w:tc>
          <w:tcPr>
            <w:tcW w:w="1893"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沼气具有隐蔽性和工作人员缺乏防范意识</w:t>
            </w:r>
          </w:p>
        </w:tc>
      </w:tr>
      <w:tr>
        <w:tblPrEx>
          <w:tblBorders>
            <w:top w:val="single" w:color="auto" w:sz="2" w:space="0"/>
            <w:left w:val="none" w:color="auto" w:sz="0" w:space="0"/>
            <w:bottom w:val="single" w:color="auto" w:sz="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trPr>
        <w:tc>
          <w:tcPr>
            <w:tcW w:w="644"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165"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2014.7.29</w:t>
            </w:r>
          </w:p>
        </w:tc>
        <w:tc>
          <w:tcPr>
            <w:tcW w:w="4820" w:type="dxa"/>
            <w:gridSpan w:val="2"/>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厦门一名男子下污水井清理污泥时，因沼气中毒晕倒，三名同伴接连下井救人，只有一人因戴着防毒面具成功逃离，最终三人死亡死亡，一人受伤送医。</w:t>
            </w:r>
          </w:p>
        </w:tc>
        <w:tc>
          <w:tcPr>
            <w:tcW w:w="1893"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沼气具有隐蔽性和工作人员缺乏防范意识</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由上表可以看出，沼气发生的事故多为中毒事件，主要原因是由于人们对沼气缺乏足够的认识和重视，作业时没有采取相应的防范措施，违反操作规程造成事故的发生。</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储罐及管道事故统计分析见表5.3-16。</w:t>
      </w:r>
    </w:p>
    <w:p>
      <w:pPr>
        <w:pStyle w:val="8"/>
        <w:numPr>
          <w:ilvl w:val="0"/>
          <w:numId w:val="9"/>
        </w:numPr>
        <w:spacing w:before="120" w:beforeLines="50" w:line="360" w:lineRule="auto"/>
        <w:ind w:left="0" w:firstLine="843" w:firstLineChars="400"/>
        <w:jc w:val="left"/>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 xml:space="preserve">              储罐管道事故统计分析一览表</w:t>
      </w:r>
    </w:p>
    <w:tbl>
      <w:tblPr>
        <w:tblStyle w:val="25"/>
        <w:tblW w:w="894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1"/>
        <w:gridCol w:w="1487"/>
        <w:gridCol w:w="1784"/>
        <w:gridCol w:w="1932"/>
        <w:gridCol w:w="228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设备类型</w:t>
            </w:r>
          </w:p>
        </w:tc>
        <w:tc>
          <w:tcPr>
            <w:tcW w:w="14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事故类型</w:t>
            </w:r>
          </w:p>
        </w:tc>
        <w:tc>
          <w:tcPr>
            <w:tcW w:w="178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重大事故次数</w:t>
            </w:r>
          </w:p>
        </w:tc>
        <w:tc>
          <w:tcPr>
            <w:tcW w:w="193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统计范围</w:t>
            </w:r>
          </w:p>
        </w:tc>
        <w:tc>
          <w:tcPr>
            <w:tcW w:w="22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主要事故原因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储罐</w:t>
            </w:r>
          </w:p>
        </w:tc>
        <w:tc>
          <w:tcPr>
            <w:tcW w:w="14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泄漏、爆炸</w:t>
            </w:r>
          </w:p>
        </w:tc>
        <w:tc>
          <w:tcPr>
            <w:tcW w:w="178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152</w:t>
            </w:r>
          </w:p>
        </w:tc>
        <w:tc>
          <w:tcPr>
            <w:tcW w:w="193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1949-1982</w:t>
            </w:r>
          </w:p>
        </w:tc>
        <w:tc>
          <w:tcPr>
            <w:tcW w:w="22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违章作业、操作失误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5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管道</w:t>
            </w:r>
          </w:p>
        </w:tc>
        <w:tc>
          <w:tcPr>
            <w:tcW w:w="148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泄漏、爆炸</w:t>
            </w:r>
          </w:p>
        </w:tc>
        <w:tc>
          <w:tcPr>
            <w:tcW w:w="178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33</w:t>
            </w:r>
          </w:p>
        </w:tc>
        <w:tc>
          <w:tcPr>
            <w:tcW w:w="193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1949-1982</w:t>
            </w:r>
          </w:p>
        </w:tc>
        <w:tc>
          <w:tcPr>
            <w:tcW w:w="22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材料缺陷、腐蚀</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根据1949-1982年我国化工生产事故统计，出事故概率较大的为储罐泄漏，管道事故次之。</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收集池设置于厂区内部，采用钢筋混凝土结构，为半地上式。收集池周边地面进行硬化处理，收集池底层采用土工布+混凝土基础防渗，项目收集池发生泄漏及可被发现，收集池液体大面积泄漏的可能性极小。</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（2）最大可信事故</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最大可信事故是指在所有预测概率不为零的事故中，对环境(或健康)危害最严重的重大事故。在上述风险识别的基础上，考虑项目收集池位于厂区内部，</w:t>
      </w:r>
      <w:r>
        <w:rPr>
          <w:rFonts w:hint="default" w:ascii="Times New Roman" w:hAnsi="Times New Roman" w:cs="Times New Roman"/>
          <w:color w:val="auto"/>
          <w:sz w:val="24"/>
          <w:szCs w:val="24"/>
          <w:lang w:val="de-DE"/>
        </w:rPr>
        <w:t>黑膜沼气池距</w:t>
      </w:r>
      <w:r>
        <w:rPr>
          <w:rFonts w:hint="default" w:ascii="Times New Roman" w:hAnsi="Times New Roman" w:cs="Times New Roman"/>
          <w:color w:val="auto"/>
          <w:sz w:val="24"/>
          <w:szCs w:val="24"/>
          <w:lang w:val="de-DE" w:eastAsia="zh-CN"/>
        </w:rPr>
        <w:t>第三濮清南</w:t>
      </w:r>
      <w:r>
        <w:rPr>
          <w:rFonts w:hint="default" w:ascii="Times New Roman" w:hAnsi="Times New Roman" w:cs="Times New Roman"/>
          <w:color w:val="auto"/>
          <w:sz w:val="24"/>
          <w:szCs w:val="24"/>
          <w:lang w:val="de-DE"/>
        </w:rPr>
        <w:t>最近</w:t>
      </w:r>
      <w:r>
        <w:rPr>
          <w:rFonts w:hint="default" w:ascii="Times New Roman" w:hAnsi="Times New Roman" w:cs="Times New Roman"/>
          <w:color w:val="auto"/>
          <w:sz w:val="24"/>
          <w:szCs w:val="24"/>
          <w:lang w:val="en-US" w:eastAsia="zh-CN"/>
        </w:rPr>
        <w:t>856</w:t>
      </w:r>
      <w:r>
        <w:rPr>
          <w:rFonts w:hint="default" w:ascii="Times New Roman" w:hAnsi="Times New Roman" w:cs="Times New Roman"/>
          <w:color w:val="auto"/>
          <w:sz w:val="24"/>
          <w:szCs w:val="24"/>
          <w:lang w:val="de-DE"/>
        </w:rPr>
        <w:t>m，中间区域主要为</w:t>
      </w:r>
      <w:r>
        <w:rPr>
          <w:rFonts w:hint="default" w:ascii="Times New Roman" w:hAnsi="Times New Roman" w:cs="Times New Roman"/>
          <w:color w:val="auto"/>
          <w:sz w:val="24"/>
          <w:szCs w:val="24"/>
          <w:lang w:val="de-DE" w:eastAsia="zh-CN"/>
        </w:rPr>
        <w:t>沼液存储池</w:t>
      </w:r>
      <w:r>
        <w:rPr>
          <w:rFonts w:hint="default" w:ascii="Times New Roman" w:hAnsi="Times New Roman" w:cs="Times New Roman"/>
          <w:color w:val="auto"/>
          <w:sz w:val="24"/>
          <w:szCs w:val="24"/>
          <w:lang w:val="de-DE"/>
        </w:rPr>
        <w:t>，黑膜沼气池未处理废水流入总干排沟的可能性较小</w:t>
      </w:r>
      <w:r>
        <w:rPr>
          <w:rFonts w:hint="default" w:ascii="Times New Roman" w:hAnsi="Times New Roman" w:cs="Times New Roman"/>
          <w:color w:val="auto"/>
          <w:sz w:val="24"/>
          <w:szCs w:val="24"/>
        </w:rPr>
        <w:t>。同时项目黑膜沼气池池底及池壁防渗层破裂能够及时发现，泄漏污染地下水的可能行也较小。综合确定本项目最大可信事故设定为沼气池沼气泄漏，引发中毒事件。最大可信环境风险事故设定见表5.3-17。</w:t>
      </w:r>
    </w:p>
    <w:p>
      <w:pPr>
        <w:pStyle w:val="8"/>
        <w:numPr>
          <w:ilvl w:val="0"/>
          <w:numId w:val="9"/>
        </w:numPr>
        <w:spacing w:before="120" w:beforeLines="50"/>
        <w:ind w:left="0" w:firstLine="843" w:firstLineChars="400"/>
        <w:jc w:val="left"/>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 xml:space="preserve">           项目最大可信事故设定表</w:t>
      </w:r>
    </w:p>
    <w:tbl>
      <w:tblPr>
        <w:tblStyle w:val="25"/>
        <w:tblW w:w="852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276"/>
        <w:gridCol w:w="851"/>
        <w:gridCol w:w="1134"/>
        <w:gridCol w:w="459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12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装置单元</w:t>
            </w:r>
          </w:p>
        </w:tc>
        <w:tc>
          <w:tcPr>
            <w:tcW w:w="85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设备</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风险因子</w:t>
            </w:r>
          </w:p>
        </w:tc>
        <w:tc>
          <w:tcPr>
            <w:tcW w:w="45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最大可信事故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2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存储过程</w:t>
            </w:r>
          </w:p>
        </w:tc>
        <w:tc>
          <w:tcPr>
            <w:tcW w:w="85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沼气池</w:t>
            </w:r>
          </w:p>
        </w:tc>
        <w:tc>
          <w:tcPr>
            <w:tcW w:w="113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甲烷</w:t>
            </w:r>
          </w:p>
        </w:tc>
        <w:tc>
          <w:tcPr>
            <w:tcW w:w="45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阀门或者输送管道破裂、气体泄漏，造成环境空气污染，引发中毒</w:t>
            </w:r>
          </w:p>
        </w:tc>
      </w:tr>
    </w:tbl>
    <w:p>
      <w:pPr>
        <w:spacing w:before="120" w:beforeLines="50"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根据《建设项目环境风险评价导则》（HJ169-2018）附录E。重大危险源定量风险评价的泄漏概率详见表5.3-18。</w:t>
      </w:r>
    </w:p>
    <w:p>
      <w:pPr>
        <w:pStyle w:val="8"/>
        <w:numPr>
          <w:ilvl w:val="0"/>
          <w:numId w:val="9"/>
        </w:numPr>
        <w:spacing w:before="120" w:beforeLines="50"/>
        <w:ind w:left="0" w:firstLine="843" w:firstLineChars="400"/>
        <w:jc w:val="left"/>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 xml:space="preserve">                泄漏频率表</w:t>
      </w:r>
    </w:p>
    <w:tbl>
      <w:tblPr>
        <w:tblStyle w:val="25"/>
        <w:tblW w:w="884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481"/>
        <w:gridCol w:w="3272"/>
        <w:gridCol w:w="208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481" w:type="dxa"/>
            <w:tcBorders>
              <w:top w:val="single" w:color="auto" w:sz="4" w:space="0"/>
              <w:left w:val="nil"/>
              <w:bottom w:val="single" w:color="auto" w:sz="4" w:space="0"/>
              <w:right w:val="single" w:color="auto" w:sz="4" w:space="0"/>
            </w:tcBorders>
            <w:noWrap w:val="0"/>
            <w:tcMar>
              <w:top w:w="57" w:type="dxa"/>
              <w:left w:w="57" w:type="dxa"/>
              <w:bottom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部件类型</w:t>
            </w:r>
          </w:p>
        </w:tc>
        <w:tc>
          <w:tcPr>
            <w:tcW w:w="3272"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泄漏模式</w:t>
            </w:r>
          </w:p>
        </w:tc>
        <w:tc>
          <w:tcPr>
            <w:tcW w:w="2087" w:type="dxa"/>
            <w:tcBorders>
              <w:top w:val="single" w:color="auto" w:sz="4" w:space="0"/>
              <w:left w:val="single" w:color="auto" w:sz="4" w:space="0"/>
              <w:bottom w:val="single" w:color="auto" w:sz="4" w:space="0"/>
              <w:right w:val="nil"/>
            </w:tcBorders>
            <w:noWrap w:val="0"/>
            <w:tcMar>
              <w:top w:w="57" w:type="dxa"/>
              <w:left w:w="57" w:type="dxa"/>
              <w:bottom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泄漏频率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481" w:type="dxa"/>
            <w:vMerge w:val="restart"/>
            <w:tcBorders>
              <w:top w:val="single" w:color="auto" w:sz="4" w:space="0"/>
              <w:left w:val="nil"/>
              <w:right w:val="single" w:color="auto" w:sz="4" w:space="0"/>
            </w:tcBorders>
            <w:noWrap w:val="0"/>
            <w:tcMar>
              <w:top w:w="57" w:type="dxa"/>
              <w:left w:w="57" w:type="dxa"/>
              <w:bottom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反应器/工艺储罐/气体储罐/塔器</w:t>
            </w:r>
          </w:p>
        </w:tc>
        <w:tc>
          <w:tcPr>
            <w:tcW w:w="3272"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泄漏孔径为10mm孔径</w:t>
            </w:r>
          </w:p>
        </w:tc>
        <w:tc>
          <w:tcPr>
            <w:tcW w:w="2087" w:type="dxa"/>
            <w:tcBorders>
              <w:top w:val="single" w:color="auto" w:sz="4" w:space="0"/>
              <w:left w:val="single" w:color="auto" w:sz="4" w:space="0"/>
              <w:bottom w:val="single" w:color="auto" w:sz="4" w:space="0"/>
              <w:right w:val="nil"/>
            </w:tcBorders>
            <w:noWrap w:val="0"/>
            <w:tcMar>
              <w:top w:w="57" w:type="dxa"/>
              <w:left w:w="57" w:type="dxa"/>
              <w:bottom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481" w:type="dxa"/>
            <w:vMerge w:val="continue"/>
            <w:tcBorders>
              <w:left w:val="nil"/>
              <w:right w:val="single" w:color="auto" w:sz="4" w:space="0"/>
            </w:tcBorders>
            <w:noWrap w:val="0"/>
            <w:tcMar>
              <w:top w:w="57" w:type="dxa"/>
              <w:left w:w="57" w:type="dxa"/>
              <w:bottom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3272"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10min内储罐泄漏完</w:t>
            </w:r>
          </w:p>
        </w:tc>
        <w:tc>
          <w:tcPr>
            <w:tcW w:w="2087" w:type="dxa"/>
            <w:tcBorders>
              <w:top w:val="single" w:color="auto" w:sz="4" w:space="0"/>
              <w:left w:val="single" w:color="auto" w:sz="4" w:space="0"/>
              <w:bottom w:val="single" w:color="auto" w:sz="4" w:space="0"/>
              <w:right w:val="nil"/>
            </w:tcBorders>
            <w:noWrap w:val="0"/>
            <w:tcMar>
              <w:top w:w="57" w:type="dxa"/>
              <w:left w:w="57" w:type="dxa"/>
              <w:bottom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481" w:type="dxa"/>
            <w:vMerge w:val="continue"/>
            <w:tcBorders>
              <w:left w:val="nil"/>
              <w:bottom w:val="single" w:color="auto" w:sz="4" w:space="0"/>
              <w:right w:val="single" w:color="auto" w:sz="4" w:space="0"/>
            </w:tcBorders>
            <w:noWrap w:val="0"/>
            <w:tcMar>
              <w:top w:w="57" w:type="dxa"/>
              <w:left w:w="57" w:type="dxa"/>
              <w:bottom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3272" w:type="dxa"/>
            <w:tcBorders>
              <w:top w:val="single" w:color="auto" w:sz="4" w:space="0"/>
              <w:left w:val="single" w:color="auto" w:sz="4" w:space="0"/>
              <w:bottom w:val="single" w:color="auto" w:sz="4" w:space="0"/>
              <w:right w:val="single" w:color="auto" w:sz="4" w:space="0"/>
            </w:tcBorders>
            <w:noWrap w:val="0"/>
            <w:tcMar>
              <w:top w:w="57" w:type="dxa"/>
              <w:left w:w="57" w:type="dxa"/>
              <w:bottom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储罐全破裂</w:t>
            </w:r>
          </w:p>
        </w:tc>
        <w:tc>
          <w:tcPr>
            <w:tcW w:w="2087" w:type="dxa"/>
            <w:tcBorders>
              <w:top w:val="single" w:color="auto" w:sz="4" w:space="0"/>
              <w:left w:val="single" w:color="auto" w:sz="4" w:space="0"/>
              <w:bottom w:val="single" w:color="auto" w:sz="4" w:space="0"/>
              <w:right w:val="nil"/>
            </w:tcBorders>
            <w:noWrap w:val="0"/>
            <w:tcMar>
              <w:top w:w="57" w:type="dxa"/>
              <w:left w:w="57" w:type="dxa"/>
              <w:bottom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5×10</w:t>
            </w:r>
            <w:r>
              <w:rPr>
                <w:rFonts w:hint="default" w:ascii="Times New Roman" w:hAnsi="Times New Roman" w:cs="Times New Roman"/>
                <w:color w:val="auto"/>
                <w:sz w:val="21"/>
                <w:szCs w:val="21"/>
                <w:vertAlign w:val="superscript"/>
              </w:rPr>
              <w:t>-6</w:t>
            </w:r>
            <w:r>
              <w:rPr>
                <w:rFonts w:hint="default" w:ascii="Times New Roman" w:hAnsi="Times New Roman" w:cs="Times New Roman"/>
                <w:color w:val="auto"/>
                <w:sz w:val="21"/>
                <w:szCs w:val="21"/>
              </w:rPr>
              <w:t>/a</w:t>
            </w:r>
          </w:p>
        </w:tc>
      </w:tr>
    </w:tbl>
    <w:p>
      <w:pPr>
        <w:spacing w:line="360" w:lineRule="auto"/>
        <w:rPr>
          <w:rFonts w:hint="default" w:ascii="Times New Roman" w:hAnsi="Times New Roman" w:cs="Times New Roman"/>
          <w:color w:val="auto"/>
        </w:rPr>
      </w:pPr>
      <w:r>
        <w:rPr>
          <w:rFonts w:hint="default" w:ascii="Times New Roman" w:hAnsi="Times New Roman" w:cs="Times New Roman"/>
          <w:color w:val="auto"/>
        </w:rPr>
        <w:t>由上表可知本项目，最大风险概率为</w:t>
      </w:r>
      <w:r>
        <w:rPr>
          <w:rFonts w:hint="default" w:ascii="Times New Roman" w:hAnsi="Times New Roman" w:cs="Times New Roman"/>
          <w:color w:val="auto"/>
          <w:sz w:val="24"/>
          <w:szCs w:val="24"/>
        </w:rPr>
        <w:t>1×10</w:t>
      </w:r>
      <w:r>
        <w:rPr>
          <w:rFonts w:hint="default" w:ascii="Times New Roman" w:hAnsi="Times New Roman" w:cs="Times New Roman"/>
          <w:color w:val="auto"/>
          <w:sz w:val="24"/>
          <w:szCs w:val="24"/>
          <w:vertAlign w:val="superscript"/>
        </w:rPr>
        <w:t>-4</w:t>
      </w:r>
      <w:r>
        <w:rPr>
          <w:rFonts w:hint="default" w:ascii="Times New Roman" w:hAnsi="Times New Roman" w:cs="Times New Roman"/>
          <w:color w:val="auto"/>
          <w:sz w:val="24"/>
          <w:szCs w:val="24"/>
        </w:rPr>
        <w:t>/a。</w:t>
      </w:r>
    </w:p>
    <w:p>
      <w:pPr>
        <w:keepNext/>
        <w:keepLines/>
        <w:numPr>
          <w:ilvl w:val="3"/>
          <w:numId w:val="0"/>
        </w:numPr>
        <w:spacing w:before="120" w:beforeLines="50" w:after="120" w:afterLines="50" w:line="360" w:lineRule="auto"/>
        <w:jc w:val="left"/>
        <w:outlineLvl w:val="3"/>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5.3.4.2源项分析</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（1）废气泄漏</w:t>
      </w:r>
    </w:p>
    <w:p>
      <w:pPr>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rPr>
        <w:t>本项目可能会因管道、阀门破损致使沼气泄漏，使气体从破损处向外泄露。按</w:t>
      </w:r>
      <w:r>
        <w:rPr>
          <w:rFonts w:hint="default" w:ascii="Times New Roman" w:hAnsi="Times New Roman" w:cs="Times New Roman"/>
          <w:color w:val="auto"/>
          <w:sz w:val="24"/>
          <w:szCs w:val="24"/>
          <w:highlight w:val="none"/>
        </w:rPr>
        <w:t>照最不利情形下，事故造成的废气排放持续时间按15min 计算。</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本项目气体泄漏量采用计算的方法进行。泄漏量计算公式如下（沼气按其主要成分甲烷进行计算）：</w:t>
      </w:r>
    </w:p>
    <w:p>
      <w:pPr>
        <w:widowControl/>
        <w:spacing w:line="360" w:lineRule="auto"/>
        <w:ind w:firstLine="48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fldChar w:fldCharType="begin"/>
      </w:r>
      <w:r>
        <w:rPr>
          <w:rFonts w:hint="default" w:ascii="Times New Roman" w:hAnsi="Times New Roman" w:cs="Times New Roman"/>
          <w:color w:val="auto"/>
        </w:rPr>
        <w:instrText xml:space="preserve"> INCLUDEPICTURE "D:\\Administrator\\AppData\\DOCUME~1\\ADMINI~1\\LOCALS~1\\Temp\\ksohtml\\wps197.tmp.png" \* MERGEFORMAT </w:instrText>
      </w:r>
      <w:r>
        <w:rPr>
          <w:rFonts w:hint="default" w:ascii="Times New Roman" w:hAnsi="Times New Roman" w:cs="Times New Roman"/>
          <w:color w:val="auto"/>
          <w:kern w:val="0"/>
          <w:sz w:val="24"/>
          <w:szCs w:val="24"/>
        </w:rPr>
        <w:fldChar w:fldCharType="separate"/>
      </w:r>
      <w:r>
        <w:rPr>
          <w:rFonts w:hint="default" w:ascii="Times New Roman" w:hAnsi="Times New Roman" w:cs="Times New Roman"/>
          <w:color w:val="auto"/>
          <w:kern w:val="0"/>
          <w:sz w:val="24"/>
          <w:szCs w:val="24"/>
        </w:rPr>
        <w:drawing>
          <wp:inline distT="0" distB="0" distL="114300" distR="114300">
            <wp:extent cx="1951990" cy="534670"/>
            <wp:effectExtent l="0" t="0" r="10160" b="17780"/>
            <wp:docPr id="14" name="图片 7" descr="wps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wps197"/>
                    <pic:cNvPicPr>
                      <a:picLocks noChangeAspect="1"/>
                    </pic:cNvPicPr>
                  </pic:nvPicPr>
                  <pic:blipFill>
                    <a:blip r:embed="rId66"/>
                    <a:stretch>
                      <a:fillRect/>
                    </a:stretch>
                  </pic:blipFill>
                  <pic:spPr>
                    <a:xfrm>
                      <a:off x="0" y="0"/>
                      <a:ext cx="1951990" cy="534670"/>
                    </a:xfrm>
                    <a:prstGeom prst="rect">
                      <a:avLst/>
                    </a:prstGeom>
                    <a:noFill/>
                    <a:ln>
                      <a:noFill/>
                    </a:ln>
                  </pic:spPr>
                </pic:pic>
              </a:graphicData>
            </a:graphic>
          </wp:inline>
        </w:drawing>
      </w:r>
      <w:r>
        <w:rPr>
          <w:rFonts w:hint="default" w:ascii="Times New Roman" w:hAnsi="Times New Roman" w:cs="Times New Roman"/>
          <w:color w:val="auto"/>
          <w:kern w:val="0"/>
          <w:sz w:val="24"/>
          <w:szCs w:val="24"/>
        </w:rPr>
        <w:fldChar w:fldCharType="end"/>
      </w:r>
      <w:r>
        <w:rPr>
          <w:rFonts w:hint="default" w:ascii="Times New Roman" w:hAnsi="Times New Roman" w:cs="Times New Roman"/>
          <w:color w:val="auto"/>
          <w:kern w:val="0"/>
          <w:sz w:val="24"/>
          <w:szCs w:val="24"/>
        </w:rPr>
        <w:t xml:space="preserve"> </w:t>
      </w:r>
    </w:p>
    <w:p>
      <w:pPr>
        <w:widowControl/>
        <w:spacing w:line="360" w:lineRule="auto"/>
        <w:ind w:firstLine="48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式中：</w:t>
      </w:r>
      <w:r>
        <w:rPr>
          <w:rFonts w:hint="default" w:ascii="Times New Roman" w:hAnsi="Times New Roman" w:cs="Times New Roman"/>
          <w:color w:val="auto"/>
          <w:spacing w:val="-50"/>
          <w:kern w:val="0"/>
          <w:sz w:val="24"/>
          <w:szCs w:val="24"/>
        </w:rPr>
        <w:t xml:space="preserve">Q  </w:t>
      </w:r>
      <w:r>
        <w:rPr>
          <w:rFonts w:hint="default" w:ascii="Times New Roman" w:hAnsi="Times New Roman" w:cs="Times New Roman"/>
          <w:color w:val="auto"/>
          <w:spacing w:val="-50"/>
          <w:kern w:val="0"/>
          <w:sz w:val="24"/>
          <w:szCs w:val="24"/>
          <w:vertAlign w:val="subscript"/>
        </w:rPr>
        <w:t>G</w:t>
      </w:r>
      <w:r>
        <w:rPr>
          <w:rFonts w:hint="default" w:ascii="Times New Roman" w:hAnsi="Times New Roman" w:cs="Times New Roman"/>
          <w:color w:val="auto"/>
          <w:spacing w:val="-50"/>
          <w:kern w:val="0"/>
          <w:sz w:val="24"/>
          <w:szCs w:val="24"/>
        </w:rPr>
        <w:t xml:space="preserve"> —</w:t>
      </w:r>
      <w:r>
        <w:rPr>
          <w:rFonts w:hint="default" w:ascii="Times New Roman" w:hAnsi="Times New Roman" w:cs="Times New Roman"/>
          <w:color w:val="auto"/>
          <w:spacing w:val="-40"/>
          <w:kern w:val="0"/>
          <w:sz w:val="24"/>
          <w:szCs w:val="24"/>
        </w:rPr>
        <w:t xml:space="preserve">——  </w:t>
      </w:r>
      <w:r>
        <w:rPr>
          <w:rFonts w:hint="default" w:ascii="Times New Roman" w:hAnsi="Times New Roman" w:cs="Times New Roman"/>
          <w:color w:val="auto"/>
          <w:kern w:val="0"/>
          <w:sz w:val="24"/>
          <w:szCs w:val="24"/>
        </w:rPr>
        <w:t>气体泄漏速度，kg/s；</w:t>
      </w:r>
    </w:p>
    <w:p>
      <w:pPr>
        <w:widowControl/>
        <w:spacing w:line="360" w:lineRule="auto"/>
        <w:ind w:firstLine="320"/>
        <w:rPr>
          <w:rFonts w:hint="default" w:ascii="Times New Roman" w:hAnsi="Times New Roman" w:cs="Times New Roman"/>
          <w:color w:val="auto"/>
          <w:kern w:val="0"/>
          <w:sz w:val="24"/>
          <w:szCs w:val="24"/>
        </w:rPr>
      </w:pPr>
      <w:r>
        <w:rPr>
          <w:rFonts w:hint="default" w:ascii="Times New Roman" w:hAnsi="Times New Roman" w:cs="Times New Roman"/>
          <w:color w:val="auto"/>
          <w:spacing w:val="-40"/>
          <w:kern w:val="0"/>
          <w:sz w:val="24"/>
          <w:szCs w:val="24"/>
        </w:rPr>
        <w:t xml:space="preserve">                      P  </w:t>
      </w:r>
      <w:r>
        <w:rPr>
          <w:rFonts w:hint="default" w:ascii="Times New Roman" w:hAnsi="Times New Roman" w:cs="Times New Roman"/>
          <w:color w:val="auto"/>
          <w:spacing w:val="-50"/>
          <w:kern w:val="0"/>
          <w:sz w:val="24"/>
          <w:szCs w:val="24"/>
        </w:rPr>
        <w:t>—</w:t>
      </w:r>
      <w:r>
        <w:rPr>
          <w:rFonts w:hint="default" w:ascii="Times New Roman" w:hAnsi="Times New Roman" w:cs="Times New Roman"/>
          <w:color w:val="auto"/>
          <w:spacing w:val="-40"/>
          <w:kern w:val="0"/>
          <w:sz w:val="24"/>
          <w:szCs w:val="24"/>
        </w:rPr>
        <w:t xml:space="preserve">——   </w:t>
      </w:r>
      <w:r>
        <w:rPr>
          <w:rFonts w:hint="default" w:ascii="Times New Roman" w:hAnsi="Times New Roman" w:cs="Times New Roman"/>
          <w:color w:val="auto"/>
          <w:kern w:val="0"/>
          <w:sz w:val="24"/>
          <w:szCs w:val="24"/>
        </w:rPr>
        <w:t>容器压力，P</w:t>
      </w:r>
      <w:r>
        <w:rPr>
          <w:rFonts w:hint="default" w:ascii="Times New Roman" w:hAnsi="Times New Roman" w:cs="Times New Roman"/>
          <w:color w:val="auto"/>
          <w:kern w:val="0"/>
          <w:sz w:val="24"/>
          <w:szCs w:val="24"/>
          <w:vertAlign w:val="subscript"/>
        </w:rPr>
        <w:t>a</w:t>
      </w:r>
      <w:r>
        <w:rPr>
          <w:rFonts w:hint="default" w:ascii="Times New Roman" w:hAnsi="Times New Roman" w:cs="Times New Roman"/>
          <w:color w:val="auto"/>
          <w:kern w:val="0"/>
          <w:sz w:val="24"/>
          <w:szCs w:val="24"/>
        </w:rPr>
        <w:t>；</w:t>
      </w:r>
      <w:r>
        <w:rPr>
          <w:rFonts w:hint="default" w:ascii="Times New Roman" w:hAnsi="Times New Roman" w:cs="Times New Roman"/>
          <w:color w:val="auto"/>
          <w:sz w:val="24"/>
          <w:szCs w:val="24"/>
        </w:rPr>
        <w:t>本项目沼气储气压力为1.028×10</w:t>
      </w:r>
      <w:r>
        <w:rPr>
          <w:rFonts w:hint="default" w:ascii="Times New Roman" w:hAnsi="Times New Roman" w:cs="Times New Roman"/>
          <w:color w:val="auto"/>
          <w:sz w:val="24"/>
          <w:szCs w:val="24"/>
          <w:vertAlign w:val="superscript"/>
        </w:rPr>
        <w:t>5</w:t>
      </w:r>
      <w:r>
        <w:rPr>
          <w:rFonts w:hint="default" w:ascii="Times New Roman" w:hAnsi="Times New Roman" w:cs="Times New Roman"/>
          <w:color w:val="auto"/>
          <w:kern w:val="0"/>
          <w:sz w:val="24"/>
          <w:szCs w:val="24"/>
        </w:rPr>
        <w:t>P</w:t>
      </w:r>
      <w:r>
        <w:rPr>
          <w:rFonts w:hint="default" w:ascii="Times New Roman" w:hAnsi="Times New Roman" w:cs="Times New Roman"/>
          <w:color w:val="auto"/>
          <w:kern w:val="0"/>
          <w:sz w:val="24"/>
          <w:szCs w:val="24"/>
          <w:vertAlign w:val="subscript"/>
        </w:rPr>
        <w:t>a</w:t>
      </w:r>
      <w:r>
        <w:rPr>
          <w:rFonts w:hint="default" w:ascii="Times New Roman" w:hAnsi="Times New Roman" w:cs="Times New Roman"/>
          <w:color w:val="auto"/>
          <w:kern w:val="0"/>
          <w:sz w:val="24"/>
          <w:szCs w:val="24"/>
        </w:rPr>
        <w:t>；</w:t>
      </w:r>
    </w:p>
    <w:p>
      <w:pPr>
        <w:widowControl/>
        <w:spacing w:line="360" w:lineRule="auto"/>
        <w:ind w:firstLine="800" w:firstLineChars="500"/>
        <w:rPr>
          <w:rFonts w:hint="default" w:ascii="Times New Roman" w:hAnsi="Times New Roman" w:cs="Times New Roman"/>
          <w:color w:val="auto"/>
          <w:kern w:val="0"/>
          <w:sz w:val="24"/>
          <w:szCs w:val="24"/>
        </w:rPr>
      </w:pPr>
      <w:r>
        <w:rPr>
          <w:rFonts w:hint="default" w:ascii="Times New Roman" w:hAnsi="Times New Roman" w:cs="Times New Roman"/>
          <w:color w:val="auto"/>
          <w:spacing w:val="-40"/>
          <w:kern w:val="0"/>
          <w:sz w:val="24"/>
          <w:szCs w:val="24"/>
        </w:rPr>
        <w:t xml:space="preserve">   </w:t>
      </w:r>
      <w:r>
        <w:rPr>
          <w:rFonts w:hint="default" w:ascii="Times New Roman" w:hAnsi="Times New Roman" w:cs="Times New Roman"/>
          <w:color w:val="auto"/>
          <w:spacing w:val="-40"/>
          <w:kern w:val="0"/>
          <w:sz w:val="24"/>
          <w:szCs w:val="24"/>
          <w:lang w:val="en-US" w:eastAsia="zh-CN"/>
        </w:rPr>
        <w:t xml:space="preserve">   </w:t>
      </w:r>
      <w:r>
        <w:rPr>
          <w:rFonts w:hint="default" w:ascii="Times New Roman" w:hAnsi="Times New Roman" w:cs="Times New Roman"/>
          <w:color w:val="auto"/>
          <w:spacing w:val="-40"/>
          <w:kern w:val="0"/>
          <w:sz w:val="24"/>
          <w:szCs w:val="24"/>
        </w:rPr>
        <w:t xml:space="preserve"> </w:t>
      </w:r>
      <w:r>
        <w:rPr>
          <w:rFonts w:hint="default" w:ascii="Times New Roman" w:hAnsi="Times New Roman" w:cs="Times New Roman"/>
          <w:color w:val="auto"/>
          <w:spacing w:val="-50"/>
          <w:kern w:val="0"/>
          <w:sz w:val="24"/>
          <w:szCs w:val="24"/>
        </w:rPr>
        <w:t xml:space="preserve"> C </w:t>
      </w:r>
      <w:r>
        <w:rPr>
          <w:rFonts w:hint="default" w:ascii="Times New Roman" w:hAnsi="Times New Roman" w:cs="Times New Roman"/>
          <w:color w:val="auto"/>
          <w:spacing w:val="-50"/>
          <w:kern w:val="0"/>
          <w:sz w:val="24"/>
          <w:szCs w:val="24"/>
          <w:vertAlign w:val="subscript"/>
        </w:rPr>
        <w:t xml:space="preserve">d            </w:t>
      </w:r>
      <w:r>
        <w:rPr>
          <w:rFonts w:hint="default" w:ascii="Times New Roman" w:hAnsi="Times New Roman" w:cs="Times New Roman"/>
          <w:color w:val="auto"/>
          <w:spacing w:val="-50"/>
          <w:kern w:val="0"/>
          <w:sz w:val="24"/>
          <w:szCs w:val="24"/>
        </w:rPr>
        <w:t xml:space="preserve">  </w:t>
      </w:r>
      <w:r>
        <w:rPr>
          <w:rFonts w:hint="default" w:ascii="Times New Roman" w:hAnsi="Times New Roman" w:cs="Times New Roman"/>
          <w:color w:val="auto"/>
          <w:spacing w:val="-40"/>
          <w:kern w:val="0"/>
          <w:sz w:val="24"/>
          <w:szCs w:val="24"/>
        </w:rPr>
        <w:t>——</w:t>
      </w:r>
      <w:r>
        <w:rPr>
          <w:rFonts w:hint="default" w:ascii="Times New Roman" w:hAnsi="Times New Roman" w:cs="Times New Roman"/>
          <w:color w:val="auto"/>
          <w:spacing w:val="-50"/>
          <w:kern w:val="0"/>
          <w:sz w:val="24"/>
          <w:szCs w:val="24"/>
        </w:rPr>
        <w:t>—</w:t>
      </w:r>
      <w:r>
        <w:rPr>
          <w:rFonts w:hint="default" w:ascii="Times New Roman" w:hAnsi="Times New Roman" w:cs="Times New Roman"/>
          <w:color w:val="auto"/>
          <w:spacing w:val="-40"/>
          <w:kern w:val="0"/>
          <w:sz w:val="24"/>
          <w:szCs w:val="24"/>
        </w:rPr>
        <w:t xml:space="preserve">  </w:t>
      </w:r>
      <w:r>
        <w:rPr>
          <w:rFonts w:hint="default" w:ascii="Times New Roman" w:hAnsi="Times New Roman" w:cs="Times New Roman"/>
          <w:color w:val="auto"/>
          <w:kern w:val="0"/>
          <w:sz w:val="24"/>
          <w:szCs w:val="24"/>
        </w:rPr>
        <w:t>气体泄漏系数；当裂口形状为圆形时取1.00；</w:t>
      </w:r>
    </w:p>
    <w:p>
      <w:pPr>
        <w:widowControl/>
        <w:spacing w:line="360" w:lineRule="auto"/>
        <w:ind w:left="0" w:leftChars="0" w:firstLine="960" w:firstLineChars="600"/>
        <w:rPr>
          <w:rFonts w:hint="default" w:ascii="Times New Roman" w:hAnsi="Times New Roman" w:cs="Times New Roman"/>
          <w:color w:val="auto"/>
          <w:kern w:val="0"/>
          <w:sz w:val="24"/>
          <w:szCs w:val="24"/>
        </w:rPr>
      </w:pPr>
      <w:r>
        <w:rPr>
          <w:rFonts w:hint="default" w:ascii="Times New Roman" w:hAnsi="Times New Roman" w:cs="Times New Roman"/>
          <w:color w:val="auto"/>
          <w:spacing w:val="-40"/>
          <w:kern w:val="0"/>
          <w:sz w:val="24"/>
          <w:szCs w:val="24"/>
        </w:rPr>
        <w:t xml:space="preserve">      A  </w:t>
      </w:r>
      <w:r>
        <w:rPr>
          <w:rFonts w:hint="default" w:ascii="Times New Roman" w:hAnsi="Times New Roman" w:cs="Times New Roman"/>
          <w:color w:val="auto"/>
          <w:spacing w:val="-50"/>
          <w:kern w:val="0"/>
          <w:sz w:val="24"/>
          <w:szCs w:val="24"/>
        </w:rPr>
        <w:t>—</w:t>
      </w:r>
      <w:r>
        <w:rPr>
          <w:rFonts w:hint="default" w:ascii="Times New Roman" w:hAnsi="Times New Roman" w:cs="Times New Roman"/>
          <w:color w:val="auto"/>
          <w:spacing w:val="-40"/>
          <w:kern w:val="0"/>
          <w:sz w:val="24"/>
          <w:szCs w:val="24"/>
        </w:rPr>
        <w:t xml:space="preserve">——  </w:t>
      </w:r>
      <w:r>
        <w:rPr>
          <w:rFonts w:hint="default" w:ascii="Times New Roman" w:hAnsi="Times New Roman" w:cs="Times New Roman"/>
          <w:color w:val="auto"/>
          <w:kern w:val="0"/>
          <w:sz w:val="24"/>
          <w:szCs w:val="24"/>
        </w:rPr>
        <w:t>裂口面积，m</w:t>
      </w:r>
      <w:r>
        <w:rPr>
          <w:rFonts w:hint="default" w:ascii="Times New Roman" w:hAnsi="Times New Roman" w:cs="Times New Roman"/>
          <w:color w:val="auto"/>
          <w:kern w:val="0"/>
          <w:sz w:val="24"/>
          <w:szCs w:val="24"/>
          <w:vertAlign w:val="superscript"/>
        </w:rPr>
        <w:t>2</w:t>
      </w:r>
      <w:r>
        <w:rPr>
          <w:rFonts w:hint="default" w:ascii="Times New Roman" w:hAnsi="Times New Roman" w:cs="Times New Roman"/>
          <w:color w:val="auto"/>
          <w:kern w:val="0"/>
          <w:sz w:val="24"/>
          <w:szCs w:val="24"/>
        </w:rPr>
        <w:t>；</w:t>
      </w:r>
      <w:r>
        <w:rPr>
          <w:rFonts w:hint="default" w:ascii="Times New Roman" w:hAnsi="Times New Roman" w:cs="Times New Roman"/>
          <w:color w:val="auto"/>
          <w:spacing w:val="-50"/>
          <w:kern w:val="0"/>
          <w:sz w:val="24"/>
          <w:szCs w:val="24"/>
        </w:rPr>
        <w:t xml:space="preserve"> </w:t>
      </w:r>
    </w:p>
    <w:p>
      <w:pPr>
        <w:widowControl/>
        <w:spacing w:line="360" w:lineRule="auto"/>
        <w:ind w:firstLine="320"/>
        <w:rPr>
          <w:rFonts w:hint="default" w:ascii="Times New Roman" w:hAnsi="Times New Roman" w:cs="Times New Roman"/>
          <w:color w:val="auto"/>
          <w:kern w:val="0"/>
          <w:sz w:val="24"/>
          <w:szCs w:val="24"/>
        </w:rPr>
      </w:pPr>
      <w:r>
        <w:rPr>
          <w:rFonts w:hint="default" w:ascii="Times New Roman" w:hAnsi="Times New Roman" w:cs="Times New Roman"/>
          <w:color w:val="auto"/>
          <w:spacing w:val="-40"/>
          <w:kern w:val="0"/>
          <w:sz w:val="24"/>
          <w:szCs w:val="24"/>
        </w:rPr>
        <w:t xml:space="preserve">                      M  </w:t>
      </w:r>
      <w:r>
        <w:rPr>
          <w:rFonts w:hint="default" w:ascii="Times New Roman" w:hAnsi="Times New Roman" w:cs="Times New Roman"/>
          <w:color w:val="auto"/>
          <w:spacing w:val="-50"/>
          <w:kern w:val="0"/>
          <w:sz w:val="24"/>
          <w:szCs w:val="24"/>
        </w:rPr>
        <w:t>—</w:t>
      </w:r>
      <w:r>
        <w:rPr>
          <w:rFonts w:hint="default" w:ascii="Times New Roman" w:hAnsi="Times New Roman" w:cs="Times New Roman"/>
          <w:color w:val="auto"/>
          <w:spacing w:val="-40"/>
          <w:kern w:val="0"/>
          <w:sz w:val="24"/>
          <w:szCs w:val="24"/>
        </w:rPr>
        <w:t xml:space="preserve">——  </w:t>
      </w:r>
      <w:r>
        <w:rPr>
          <w:rFonts w:hint="default" w:ascii="Times New Roman" w:hAnsi="Times New Roman" w:cs="Times New Roman"/>
          <w:color w:val="auto"/>
          <w:kern w:val="0"/>
          <w:sz w:val="24"/>
          <w:szCs w:val="24"/>
        </w:rPr>
        <w:t>分子量；甲烷为16g/mol；</w:t>
      </w:r>
    </w:p>
    <w:p>
      <w:pPr>
        <w:widowControl/>
        <w:spacing w:line="360" w:lineRule="auto"/>
        <w:ind w:firstLine="48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 xml:space="preserve">      </w:t>
      </w:r>
      <w:r>
        <w:rPr>
          <w:rFonts w:hint="default" w:ascii="Times New Roman" w:hAnsi="Times New Roman" w:cs="Times New Roman"/>
          <w:color w:val="auto"/>
          <w:spacing w:val="-50"/>
          <w:kern w:val="0"/>
          <w:sz w:val="24"/>
          <w:szCs w:val="24"/>
        </w:rPr>
        <w:t>R  —</w:t>
      </w:r>
      <w:r>
        <w:rPr>
          <w:rFonts w:hint="default" w:ascii="Times New Roman" w:hAnsi="Times New Roman" w:cs="Times New Roman"/>
          <w:color w:val="auto"/>
          <w:spacing w:val="-40"/>
          <w:kern w:val="0"/>
          <w:sz w:val="24"/>
          <w:szCs w:val="24"/>
        </w:rPr>
        <w:t xml:space="preserve">——  </w:t>
      </w:r>
      <w:r>
        <w:rPr>
          <w:rFonts w:hint="default" w:ascii="Times New Roman" w:hAnsi="Times New Roman" w:cs="Times New Roman"/>
          <w:color w:val="auto"/>
          <w:kern w:val="0"/>
          <w:sz w:val="24"/>
          <w:szCs w:val="24"/>
        </w:rPr>
        <w:t>气体常数，8.314 J/(mol·K)；</w:t>
      </w:r>
    </w:p>
    <w:p>
      <w:pPr>
        <w:widowControl/>
        <w:spacing w:line="360" w:lineRule="auto"/>
        <w:ind w:firstLine="48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 xml:space="preserve">      T</w:t>
      </w:r>
      <w:r>
        <w:rPr>
          <w:rFonts w:hint="default" w:ascii="Times New Roman" w:hAnsi="Times New Roman" w:cs="Times New Roman"/>
          <w:color w:val="auto"/>
          <w:kern w:val="0"/>
          <w:sz w:val="24"/>
          <w:szCs w:val="24"/>
          <w:vertAlign w:val="subscript"/>
        </w:rPr>
        <w:t xml:space="preserve">G </w:t>
      </w:r>
      <w:r>
        <w:rPr>
          <w:rFonts w:hint="default" w:ascii="Times New Roman" w:hAnsi="Times New Roman" w:cs="Times New Roman"/>
          <w:color w:val="auto"/>
          <w:spacing w:val="-50"/>
          <w:kern w:val="0"/>
          <w:sz w:val="24"/>
          <w:szCs w:val="24"/>
        </w:rPr>
        <w:t>—</w:t>
      </w:r>
      <w:r>
        <w:rPr>
          <w:rFonts w:hint="default" w:ascii="Times New Roman" w:hAnsi="Times New Roman" w:cs="Times New Roman"/>
          <w:color w:val="auto"/>
          <w:spacing w:val="-40"/>
          <w:kern w:val="0"/>
          <w:sz w:val="24"/>
          <w:szCs w:val="24"/>
        </w:rPr>
        <w:t xml:space="preserve">—— </w:t>
      </w:r>
      <w:r>
        <w:rPr>
          <w:rFonts w:hint="default" w:ascii="Times New Roman" w:hAnsi="Times New Roman" w:cs="Times New Roman"/>
          <w:color w:val="auto"/>
          <w:kern w:val="0"/>
          <w:sz w:val="24"/>
          <w:szCs w:val="24"/>
        </w:rPr>
        <w:t>气体温度，K，（25+273）K；</w:t>
      </w:r>
    </w:p>
    <w:p>
      <w:pPr>
        <w:widowControl/>
        <w:spacing w:line="360" w:lineRule="auto"/>
        <w:ind w:firstLine="48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 xml:space="preserve">      </w:t>
      </w:r>
      <w:r>
        <w:rPr>
          <w:rFonts w:hint="default" w:ascii="Times New Roman" w:hAnsi="Times New Roman" w:cs="Times New Roman"/>
          <w:color w:val="auto"/>
          <w:spacing w:val="-50"/>
          <w:kern w:val="0"/>
          <w:sz w:val="24"/>
          <w:szCs w:val="24"/>
        </w:rPr>
        <w:t>Y —</w:t>
      </w:r>
      <w:r>
        <w:rPr>
          <w:rFonts w:hint="default" w:ascii="Times New Roman" w:hAnsi="Times New Roman" w:cs="Times New Roman"/>
          <w:color w:val="auto"/>
          <w:spacing w:val="-40"/>
          <w:kern w:val="0"/>
          <w:sz w:val="24"/>
          <w:szCs w:val="24"/>
        </w:rPr>
        <w:t xml:space="preserve">——  </w:t>
      </w:r>
      <w:r>
        <w:rPr>
          <w:rFonts w:hint="default" w:ascii="Times New Roman" w:hAnsi="Times New Roman" w:cs="Times New Roman"/>
          <w:color w:val="auto"/>
          <w:kern w:val="0"/>
          <w:sz w:val="24"/>
          <w:szCs w:val="24"/>
        </w:rPr>
        <w:t>流出系数，甲烷为0.757；</w:t>
      </w:r>
    </w:p>
    <w:p>
      <w:pPr>
        <w:widowControl/>
        <w:spacing w:line="360" w:lineRule="auto"/>
        <w:ind w:firstLine="48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k</w:t>
      </w:r>
      <w:r>
        <w:rPr>
          <w:rFonts w:hint="default" w:ascii="Times New Roman" w:hAnsi="Times New Roman" w:cs="Times New Roman"/>
          <w:color w:val="auto"/>
          <w:spacing w:val="-50"/>
          <w:kern w:val="0"/>
          <w:sz w:val="24"/>
          <w:szCs w:val="24"/>
        </w:rPr>
        <w:t>—</w:t>
      </w:r>
      <w:r>
        <w:rPr>
          <w:rFonts w:hint="default" w:ascii="Times New Roman" w:hAnsi="Times New Roman" w:cs="Times New Roman"/>
          <w:color w:val="auto"/>
          <w:spacing w:val="-40"/>
          <w:kern w:val="0"/>
          <w:sz w:val="24"/>
          <w:szCs w:val="24"/>
        </w:rPr>
        <w:t>——</w:t>
      </w:r>
      <w:r>
        <w:rPr>
          <w:rFonts w:hint="default" w:ascii="Times New Roman" w:hAnsi="Times New Roman" w:cs="Times New Roman"/>
          <w:color w:val="auto"/>
          <w:kern w:val="0"/>
          <w:sz w:val="24"/>
          <w:szCs w:val="24"/>
        </w:rPr>
        <w:t>气体的绝热指数（热容比），即定压热容C</w:t>
      </w:r>
      <w:r>
        <w:rPr>
          <w:rFonts w:hint="default" w:ascii="Times New Roman" w:hAnsi="Times New Roman" w:cs="Times New Roman"/>
          <w:color w:val="auto"/>
          <w:kern w:val="0"/>
          <w:sz w:val="24"/>
          <w:szCs w:val="24"/>
          <w:vertAlign w:val="subscript"/>
        </w:rPr>
        <w:t>p</w:t>
      </w:r>
      <w:r>
        <w:rPr>
          <w:rFonts w:hint="default" w:ascii="Times New Roman" w:hAnsi="Times New Roman" w:cs="Times New Roman"/>
          <w:color w:val="auto"/>
          <w:kern w:val="0"/>
          <w:sz w:val="24"/>
          <w:szCs w:val="24"/>
        </w:rPr>
        <w:t>与定容热容Cv之比，沼气为1.309。</w:t>
      </w:r>
    </w:p>
    <w:p>
      <w:pPr>
        <w:widowControl/>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rPr>
        <w:t>该项目泄漏状况由项目事故防范设计措施以及建设方应急处理能力而定，通常情况下，气体发生泄漏后，通过堵漏处理。项目未设置紧急隔离系统，故泄漏事件设定为30min。气体泄漏主要在贮存过程中由于阀门、管道破裂而发生，裂口长度按2cm计。经估算得出本项目沼气泄漏量。</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（2）地表水</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de-DE"/>
        </w:rPr>
        <w:t>本项目废水经收集、干湿分离后进入黑膜沼气池，沼气池由黑膜密闭覆盖，不存在雨水淋滤导致沼液漫溢的可能。事故废水主要为黑膜沼气池及沼液输送管道破损，防渗措施不完好，造成未经处理的沼液进入外部环境，对区域内地下水和土壤形成污染。黑膜沼气池距</w:t>
      </w:r>
      <w:r>
        <w:rPr>
          <w:rFonts w:hint="default" w:ascii="Times New Roman" w:hAnsi="Times New Roman" w:cs="Times New Roman"/>
          <w:color w:val="auto"/>
          <w:sz w:val="24"/>
          <w:szCs w:val="24"/>
          <w:lang w:val="de-DE" w:eastAsia="zh-CN"/>
        </w:rPr>
        <w:t>第三濮清南</w:t>
      </w:r>
      <w:r>
        <w:rPr>
          <w:rFonts w:hint="default" w:ascii="Times New Roman" w:hAnsi="Times New Roman" w:cs="Times New Roman"/>
          <w:color w:val="auto"/>
          <w:sz w:val="24"/>
          <w:szCs w:val="24"/>
          <w:lang w:val="de-DE"/>
        </w:rPr>
        <w:t>最近</w:t>
      </w:r>
      <w:r>
        <w:rPr>
          <w:rFonts w:hint="default" w:ascii="Times New Roman" w:hAnsi="Times New Roman" w:cs="Times New Roman"/>
          <w:color w:val="auto"/>
          <w:sz w:val="24"/>
          <w:szCs w:val="24"/>
          <w:lang w:val="en-US" w:eastAsia="zh-CN"/>
        </w:rPr>
        <w:t>856</w:t>
      </w:r>
      <w:r>
        <w:rPr>
          <w:rFonts w:hint="default" w:ascii="Times New Roman" w:hAnsi="Times New Roman" w:cs="Times New Roman"/>
          <w:color w:val="auto"/>
          <w:sz w:val="24"/>
          <w:szCs w:val="24"/>
          <w:lang w:val="de-DE"/>
        </w:rPr>
        <w:t>m，中间区域主要为</w:t>
      </w:r>
      <w:r>
        <w:rPr>
          <w:rFonts w:hint="default" w:ascii="Times New Roman" w:hAnsi="Times New Roman" w:cs="Times New Roman"/>
          <w:color w:val="auto"/>
          <w:sz w:val="24"/>
          <w:szCs w:val="24"/>
          <w:lang w:val="de-DE" w:eastAsia="zh-CN"/>
        </w:rPr>
        <w:t>沼液存储池</w:t>
      </w:r>
      <w:r>
        <w:rPr>
          <w:rFonts w:hint="default" w:ascii="Times New Roman" w:hAnsi="Times New Roman" w:cs="Times New Roman"/>
          <w:color w:val="auto"/>
          <w:sz w:val="24"/>
          <w:szCs w:val="24"/>
          <w:lang w:val="de-DE"/>
        </w:rPr>
        <w:t>，</w:t>
      </w:r>
      <w:r>
        <w:rPr>
          <w:rFonts w:hint="default" w:ascii="Times New Roman" w:hAnsi="Times New Roman" w:cs="Times New Roman"/>
          <w:color w:val="auto"/>
          <w:sz w:val="24"/>
          <w:szCs w:val="24"/>
          <w:lang w:val="de-DE" w:eastAsia="zh-CN"/>
        </w:rPr>
        <w:t>沼液存储池</w:t>
      </w:r>
      <w:r>
        <w:rPr>
          <w:rFonts w:hint="default" w:ascii="Times New Roman" w:hAnsi="Times New Roman" w:cs="Times New Roman"/>
          <w:color w:val="auto"/>
          <w:sz w:val="24"/>
          <w:szCs w:val="24"/>
          <w:lang w:val="de-DE"/>
        </w:rPr>
        <w:t>储存超过1</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de-DE"/>
        </w:rPr>
        <w:t>0天最大产生量的废水，黑膜沼气池未处理废水流入</w:t>
      </w:r>
      <w:r>
        <w:rPr>
          <w:rFonts w:hint="default" w:ascii="Times New Roman" w:hAnsi="Times New Roman" w:cs="Times New Roman"/>
          <w:color w:val="auto"/>
          <w:sz w:val="24"/>
          <w:szCs w:val="24"/>
          <w:lang w:val="de-DE" w:eastAsia="zh-CN"/>
        </w:rPr>
        <w:t>第三濮清南</w:t>
      </w:r>
      <w:r>
        <w:rPr>
          <w:rFonts w:hint="default" w:ascii="Times New Roman" w:hAnsi="Times New Roman" w:cs="Times New Roman"/>
          <w:color w:val="auto"/>
          <w:sz w:val="24"/>
          <w:szCs w:val="24"/>
          <w:lang w:val="de-DE"/>
        </w:rPr>
        <w:t>的可能性较小。</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（3）地下水</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此处假设项目黑膜沼气池发生破损，导致其中的污水泄漏进入潜水层中。由破损造成的泄漏量估算同地下水环境影响预测内容。</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综上，本次项目风险事故源强统计见表5.3-19。</w:t>
      </w:r>
    </w:p>
    <w:p>
      <w:pPr>
        <w:pStyle w:val="8"/>
        <w:numPr>
          <w:ilvl w:val="0"/>
          <w:numId w:val="9"/>
        </w:numPr>
        <w:spacing w:before="120" w:beforeLines="50"/>
        <w:ind w:left="0" w:firstLine="843" w:firstLineChars="400"/>
        <w:jc w:val="left"/>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 xml:space="preserve">         </w:t>
      </w:r>
      <w:r>
        <w:rPr>
          <w:rFonts w:hint="default" w:ascii="Times New Roman" w:hAnsi="Times New Roman" w:eastAsia="宋体" w:cs="Times New Roman"/>
          <w:b/>
          <w:color w:val="auto"/>
          <w:sz w:val="21"/>
          <w:szCs w:val="21"/>
          <w:highlight w:val="none"/>
        </w:rPr>
        <w:t>建设项目环境风险事故源强统计</w:t>
      </w:r>
    </w:p>
    <w:tbl>
      <w:tblPr>
        <w:tblStyle w:val="25"/>
        <w:tblW w:w="878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27"/>
        <w:gridCol w:w="1042"/>
        <w:gridCol w:w="1192"/>
        <w:gridCol w:w="893"/>
        <w:gridCol w:w="594"/>
        <w:gridCol w:w="1042"/>
        <w:gridCol w:w="1042"/>
        <w:gridCol w:w="1339"/>
        <w:gridCol w:w="101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27" w:type="dxa"/>
            <w:noWrap w:val="0"/>
            <w:tcMar>
              <w:top w:w="57" w:type="dxa"/>
              <w:left w:w="57" w:type="dxa"/>
              <w:bottom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序号</w:t>
            </w:r>
          </w:p>
        </w:tc>
        <w:tc>
          <w:tcPr>
            <w:tcW w:w="1042" w:type="dxa"/>
            <w:noWrap w:val="0"/>
            <w:tcMar>
              <w:top w:w="57" w:type="dxa"/>
              <w:left w:w="57" w:type="dxa"/>
              <w:bottom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风险事故情形描述</w:t>
            </w:r>
          </w:p>
        </w:tc>
        <w:tc>
          <w:tcPr>
            <w:tcW w:w="1192" w:type="dxa"/>
            <w:noWrap w:val="0"/>
            <w:tcMar>
              <w:top w:w="57" w:type="dxa"/>
              <w:left w:w="57" w:type="dxa"/>
              <w:bottom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危险单元</w:t>
            </w:r>
          </w:p>
        </w:tc>
        <w:tc>
          <w:tcPr>
            <w:tcW w:w="893" w:type="dxa"/>
            <w:noWrap w:val="0"/>
            <w:tcMar>
              <w:top w:w="57" w:type="dxa"/>
              <w:left w:w="57" w:type="dxa"/>
              <w:bottom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危险物质</w:t>
            </w:r>
          </w:p>
        </w:tc>
        <w:tc>
          <w:tcPr>
            <w:tcW w:w="594" w:type="dxa"/>
            <w:noWrap w:val="0"/>
            <w:tcMar>
              <w:top w:w="57" w:type="dxa"/>
              <w:left w:w="57" w:type="dxa"/>
              <w:bottom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影响途径</w:t>
            </w:r>
          </w:p>
        </w:tc>
        <w:tc>
          <w:tcPr>
            <w:tcW w:w="104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泄漏速率/</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（g/s）</w:t>
            </w:r>
          </w:p>
        </w:tc>
        <w:tc>
          <w:tcPr>
            <w:tcW w:w="104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释放时间</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/min</w:t>
            </w:r>
          </w:p>
        </w:tc>
        <w:tc>
          <w:tcPr>
            <w:tcW w:w="13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泄漏量/kg</w:t>
            </w:r>
          </w:p>
        </w:tc>
        <w:tc>
          <w:tcPr>
            <w:tcW w:w="10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其他事故源参数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27" w:type="dxa"/>
            <w:noWrap w:val="0"/>
            <w:tcMar>
              <w:top w:w="57" w:type="dxa"/>
              <w:left w:w="57" w:type="dxa"/>
              <w:bottom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w:t>
            </w:r>
          </w:p>
        </w:tc>
        <w:tc>
          <w:tcPr>
            <w:tcW w:w="1042" w:type="dxa"/>
            <w:noWrap w:val="0"/>
            <w:tcMar>
              <w:top w:w="57" w:type="dxa"/>
              <w:left w:w="57" w:type="dxa"/>
              <w:bottom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黑膜沼气池</w:t>
            </w:r>
          </w:p>
        </w:tc>
        <w:tc>
          <w:tcPr>
            <w:tcW w:w="1192" w:type="dxa"/>
            <w:noWrap w:val="0"/>
            <w:tcMar>
              <w:top w:w="57" w:type="dxa"/>
              <w:left w:w="57" w:type="dxa"/>
              <w:bottom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黑膜沼气池</w:t>
            </w:r>
          </w:p>
        </w:tc>
        <w:tc>
          <w:tcPr>
            <w:tcW w:w="893" w:type="dxa"/>
            <w:noWrap w:val="0"/>
            <w:tcMar>
              <w:top w:w="57" w:type="dxa"/>
              <w:left w:w="57" w:type="dxa"/>
              <w:bottom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甲烷</w:t>
            </w:r>
          </w:p>
        </w:tc>
        <w:tc>
          <w:tcPr>
            <w:tcW w:w="594" w:type="dxa"/>
            <w:noWrap w:val="0"/>
            <w:tcMar>
              <w:top w:w="57" w:type="dxa"/>
              <w:left w:w="57" w:type="dxa"/>
              <w:bottom w:w="57" w:type="dxa"/>
              <w:right w:w="57"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大气</w:t>
            </w:r>
          </w:p>
        </w:tc>
        <w:tc>
          <w:tcPr>
            <w:tcW w:w="104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40.26</w:t>
            </w:r>
          </w:p>
        </w:tc>
        <w:tc>
          <w:tcPr>
            <w:tcW w:w="104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15</w:t>
            </w:r>
          </w:p>
        </w:tc>
        <w:tc>
          <w:tcPr>
            <w:tcW w:w="13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38.65</w:t>
            </w:r>
          </w:p>
        </w:tc>
        <w:tc>
          <w:tcPr>
            <w:tcW w:w="101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轻质气体</w:t>
            </w:r>
          </w:p>
        </w:tc>
      </w:tr>
    </w:tbl>
    <w:p>
      <w:pPr>
        <w:keepNext/>
        <w:keepLines/>
        <w:pageBreakBefore w:val="0"/>
        <w:widowControl w:val="0"/>
        <w:numPr>
          <w:ilvl w:val="2"/>
          <w:numId w:val="0"/>
        </w:numPr>
        <w:tabs>
          <w:tab w:val="left" w:pos="709"/>
        </w:tabs>
        <w:kinsoku/>
        <w:wordWrap/>
        <w:overflowPunct/>
        <w:topLinePunct w:val="0"/>
        <w:autoSpaceDE/>
        <w:autoSpaceDN/>
        <w:bidi w:val="0"/>
        <w:adjustRightInd w:val="0"/>
        <w:snapToGrid w:val="0"/>
        <w:spacing w:line="360" w:lineRule="auto"/>
        <w:ind w:right="0" w:firstLine="0" w:firstLineChars="0"/>
        <w:jc w:val="both"/>
        <w:textAlignment w:val="auto"/>
        <w:outlineLvl w:val="2"/>
        <w:rPr>
          <w:rFonts w:hint="default" w:ascii="Times New Roman" w:hAnsi="Times New Roman" w:eastAsia="黑体" w:cs="Times New Roman"/>
          <w:bCs/>
          <w:color w:val="auto"/>
          <w:sz w:val="26"/>
          <w:szCs w:val="26"/>
          <w:lang w:val="en-GB"/>
        </w:rPr>
      </w:pPr>
      <w:r>
        <w:rPr>
          <w:rFonts w:hint="default" w:ascii="Times New Roman" w:hAnsi="Times New Roman" w:eastAsia="黑体" w:cs="Times New Roman"/>
          <w:bCs/>
          <w:color w:val="auto"/>
          <w:sz w:val="26"/>
          <w:szCs w:val="26"/>
          <w:lang w:val="en-GB"/>
        </w:rPr>
        <w:t>5.3.5 风险预测与评价</w:t>
      </w:r>
    </w:p>
    <w:p>
      <w:pPr>
        <w:pStyle w:val="11"/>
        <w:pageBreakBefore w:val="0"/>
        <w:widowControl w:val="0"/>
        <w:kinsoku/>
        <w:wordWrap/>
        <w:overflowPunct/>
        <w:topLinePunct w:val="0"/>
        <w:autoSpaceDE/>
        <w:autoSpaceDN/>
        <w:bidi w:val="0"/>
        <w:adjustRightInd w:val="0"/>
        <w:snapToGrid w:val="0"/>
        <w:spacing w:after="0" w:line="360" w:lineRule="auto"/>
        <w:ind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（1）气体泄漏事故影响后果</w:t>
      </w:r>
    </w:p>
    <w:p>
      <w:pPr>
        <w:pStyle w:val="11"/>
        <w:pageBreakBefore w:val="0"/>
        <w:widowControl w:val="0"/>
        <w:kinsoku/>
        <w:wordWrap/>
        <w:overflowPunct/>
        <w:topLinePunct w:val="0"/>
        <w:autoSpaceDE/>
        <w:autoSpaceDN/>
        <w:bidi w:val="0"/>
        <w:adjustRightInd w:val="0"/>
        <w:snapToGrid w:val="0"/>
        <w:spacing w:after="0" w:line="360" w:lineRule="auto"/>
        <w:ind w:right="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沼气及天然气主要成分均为甲烷，发生沼气及天然气泄漏，使局部区域空气中甲烷浓度升高，被区域内人员过量吸入会引起中毒事件。项目周边500m范围内无村庄，故项目气体如发生泄漏，最可能影响的人群为养殖场内的工人。</w:t>
      </w:r>
    </w:p>
    <w:p>
      <w:pPr>
        <w:pStyle w:val="11"/>
        <w:pageBreakBefore w:val="0"/>
        <w:widowControl w:val="0"/>
        <w:numPr>
          <w:ilvl w:val="0"/>
          <w:numId w:val="0"/>
        </w:numPr>
        <w:kinsoku/>
        <w:wordWrap/>
        <w:overflowPunct/>
        <w:topLinePunct w:val="0"/>
        <w:autoSpaceDE/>
        <w:autoSpaceDN/>
        <w:bidi w:val="0"/>
        <w:adjustRightInd w:val="0"/>
        <w:snapToGrid w:val="0"/>
        <w:spacing w:after="0" w:line="360" w:lineRule="auto"/>
        <w:ind w:leftChars="200" w:right="0" w:rightChars="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（2）</w:t>
      </w:r>
      <w:r>
        <w:rPr>
          <w:rFonts w:hint="default" w:ascii="Times New Roman" w:hAnsi="Times New Roman" w:eastAsia="宋体" w:cs="Times New Roman"/>
          <w:color w:val="auto"/>
          <w:kern w:val="2"/>
          <w:sz w:val="24"/>
          <w:szCs w:val="24"/>
          <w:lang w:val="en-US" w:eastAsia="zh-CN" w:bidi="ar-SA"/>
        </w:rPr>
        <w:t>爆炸事故影响后果</w:t>
      </w:r>
    </w:p>
    <w:p>
      <w:pPr>
        <w:pStyle w:val="11"/>
        <w:pageBreakBefore w:val="0"/>
        <w:widowControl w:val="0"/>
        <w:numPr>
          <w:ilvl w:val="0"/>
          <w:numId w:val="0"/>
        </w:numPr>
        <w:kinsoku/>
        <w:wordWrap/>
        <w:overflowPunct/>
        <w:topLinePunct w:val="0"/>
        <w:autoSpaceDE/>
        <w:autoSpaceDN/>
        <w:bidi w:val="0"/>
        <w:adjustRightInd w:val="0"/>
        <w:snapToGrid w:val="0"/>
        <w:spacing w:after="0" w:line="360" w:lineRule="auto"/>
        <w:ind w:right="0" w:rightChars="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沼气及天然气主要成分均为甲烷。如发生泄漏，甲烷爆炸燃烧产生的物质为CO</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和H</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O。如果发生沼气及天然气爆炸燃烧会造成爆炸周边局部地区空气中CO</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浓度过高，如过量吸入CO</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会造成人员窒息。项目周边500m范围内无村庄，故项目储罐如发生爆炸，最可能影响的人群为养殖场内的工人。</w:t>
      </w:r>
    </w:p>
    <w:p>
      <w:pPr>
        <w:pStyle w:val="11"/>
        <w:pageBreakBefore w:val="0"/>
        <w:widowControl w:val="0"/>
        <w:numPr>
          <w:ilvl w:val="0"/>
          <w:numId w:val="0"/>
        </w:numPr>
        <w:kinsoku/>
        <w:wordWrap/>
        <w:overflowPunct/>
        <w:topLinePunct w:val="0"/>
        <w:autoSpaceDE/>
        <w:autoSpaceDN/>
        <w:bidi w:val="0"/>
        <w:adjustRightInd w:val="0"/>
        <w:snapToGrid w:val="0"/>
        <w:spacing w:after="0" w:line="360" w:lineRule="auto"/>
        <w:ind w:right="0" w:rightChars="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 xml:space="preserve">液体泄漏事故影响后果 </w:t>
      </w:r>
    </w:p>
    <w:p>
      <w:pPr>
        <w:pStyle w:val="11"/>
        <w:pageBreakBefore w:val="0"/>
        <w:widowControl w:val="0"/>
        <w:numPr>
          <w:ilvl w:val="0"/>
          <w:numId w:val="0"/>
        </w:numPr>
        <w:kinsoku/>
        <w:wordWrap/>
        <w:overflowPunct/>
        <w:topLinePunct w:val="0"/>
        <w:autoSpaceDE/>
        <w:autoSpaceDN/>
        <w:bidi w:val="0"/>
        <w:adjustRightInd w:val="0"/>
        <w:snapToGrid w:val="0"/>
        <w:spacing w:after="0" w:line="360" w:lineRule="auto"/>
        <w:ind w:right="0" w:rightChars="0" w:firstLine="0" w:firstLineChars="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如果发生收集池高浓度有机废水泄漏，废水通过渗透进入地下水层，会引起场区及下游地下水污染。本项目产生的废水主要为养殖废水，不含重金属污染物，主要污染物为COD，地下水污染及迁移是一个极其缓慢的过程，在该过程中COD 浓度也将逐渐降低，故如果发生泄漏对地下水的影响较小。如果发生收集池高浓度有机废水泄漏，废水最有可能进入的地表水体为项目</w:t>
      </w:r>
      <w:r>
        <w:rPr>
          <w:rFonts w:hint="default" w:ascii="Times New Roman" w:hAnsi="Times New Roman" w:cs="Times New Roman"/>
          <w:color w:val="auto"/>
          <w:kern w:val="2"/>
          <w:sz w:val="24"/>
          <w:szCs w:val="24"/>
          <w:lang w:val="en-US" w:eastAsia="zh-CN" w:bidi="ar-SA"/>
        </w:rPr>
        <w:t>西</w:t>
      </w:r>
      <w:r>
        <w:rPr>
          <w:rFonts w:hint="default" w:ascii="Times New Roman" w:hAnsi="Times New Roman" w:eastAsia="宋体" w:cs="Times New Roman"/>
          <w:color w:val="auto"/>
          <w:kern w:val="2"/>
          <w:sz w:val="24"/>
          <w:szCs w:val="24"/>
          <w:lang w:val="en-US" w:eastAsia="zh-CN" w:bidi="ar-SA"/>
        </w:rPr>
        <w:t>侧的</w:t>
      </w:r>
      <w:r>
        <w:rPr>
          <w:rFonts w:hint="default" w:ascii="Times New Roman" w:hAnsi="Times New Roman" w:cs="Times New Roman"/>
          <w:color w:val="auto"/>
          <w:kern w:val="2"/>
          <w:sz w:val="24"/>
          <w:szCs w:val="24"/>
          <w:lang w:val="en-US" w:eastAsia="zh-CN" w:bidi="ar-SA"/>
        </w:rPr>
        <w:t>第三濮清南</w:t>
      </w:r>
      <w:r>
        <w:rPr>
          <w:rFonts w:hint="default" w:ascii="Times New Roman" w:hAnsi="Times New Roman" w:eastAsia="宋体" w:cs="Times New Roman"/>
          <w:color w:val="auto"/>
          <w:kern w:val="2"/>
          <w:sz w:val="24"/>
          <w:szCs w:val="24"/>
          <w:lang w:val="en-US" w:eastAsia="zh-CN" w:bidi="ar-SA"/>
        </w:rPr>
        <w:t>。项目高浓度有机废水的随着河流流动将逐步降解，降低。主要会对污水进入河流入口附近的灌溉农田产生一定的影响，如发生泄漏事故，可以告知周边农户，停止灌溉，故对地表水及周边农田的影响较小。</w:t>
      </w:r>
    </w:p>
    <w:p>
      <w:pPr>
        <w:keepNext/>
        <w:keepLines/>
        <w:pageBreakBefore w:val="0"/>
        <w:numPr>
          <w:ilvl w:val="2"/>
          <w:numId w:val="0"/>
        </w:numPr>
        <w:tabs>
          <w:tab w:val="left" w:pos="709"/>
        </w:tabs>
        <w:kinsoku/>
        <w:wordWrap/>
        <w:overflowPunct/>
        <w:topLinePunct w:val="0"/>
        <w:autoSpaceDE/>
        <w:autoSpaceDN/>
        <w:bidi w:val="0"/>
        <w:adjustRightInd w:val="0"/>
        <w:snapToGrid w:val="0"/>
        <w:spacing w:line="360" w:lineRule="auto"/>
        <w:ind w:firstLine="0" w:firstLineChars="0"/>
        <w:jc w:val="both"/>
        <w:textAlignment w:val="auto"/>
        <w:outlineLvl w:val="2"/>
        <w:rPr>
          <w:rFonts w:hint="default" w:ascii="Times New Roman" w:hAnsi="Times New Roman" w:eastAsia="黑体" w:cs="Times New Roman"/>
          <w:bCs/>
          <w:color w:val="auto"/>
          <w:sz w:val="26"/>
          <w:szCs w:val="26"/>
          <w:lang w:val="en-GB"/>
        </w:rPr>
      </w:pPr>
      <w:r>
        <w:rPr>
          <w:rFonts w:hint="default" w:ascii="Times New Roman" w:hAnsi="Times New Roman" w:eastAsia="黑体" w:cs="Times New Roman"/>
          <w:bCs/>
          <w:color w:val="auto"/>
          <w:sz w:val="26"/>
          <w:szCs w:val="26"/>
          <w:lang w:val="en-GB"/>
        </w:rPr>
        <w:t>5.3.6 环境风险管理</w:t>
      </w:r>
    </w:p>
    <w:p>
      <w:pPr>
        <w:keepNext/>
        <w:keepLines/>
        <w:pageBreakBefore w:val="0"/>
        <w:numPr>
          <w:ilvl w:val="3"/>
          <w:numId w:val="0"/>
        </w:numPr>
        <w:kinsoku/>
        <w:wordWrap/>
        <w:overflowPunct/>
        <w:topLinePunct w:val="0"/>
        <w:autoSpaceDE/>
        <w:autoSpaceDN/>
        <w:bidi w:val="0"/>
        <w:adjustRightInd w:val="0"/>
        <w:snapToGrid w:val="0"/>
        <w:spacing w:line="360" w:lineRule="auto"/>
        <w:ind w:firstLine="0" w:firstLineChars="0"/>
        <w:jc w:val="both"/>
        <w:textAlignment w:val="auto"/>
        <w:outlineLvl w:val="3"/>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5.3.6.1沼气泄漏预防</w:t>
      </w:r>
    </w:p>
    <w:p>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（1）黑膜沼气池、管线进行适当的整体试验、外观检查或非破坏性的测厚检查、射线探伤，检查记录应存档备查。定期对黑膜沼气池外部检查，及时发现破损和漏处。</w:t>
      </w:r>
    </w:p>
    <w:p>
      <w:pPr>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（2）黑膜沼气池施工阶段确保四周粘严，同时黑膜沼气池四周设置防护网。</w:t>
      </w:r>
    </w:p>
    <w:p>
      <w:pPr>
        <w:pageBreakBefore w:val="0"/>
        <w:widowControl/>
        <w:kinsoku/>
        <w:wordWrap/>
        <w:overflowPunct/>
        <w:topLinePunct w:val="0"/>
        <w:autoSpaceDE/>
        <w:autoSpaceDN/>
        <w:bidi w:val="0"/>
        <w:adjustRightInd w:val="0"/>
        <w:snapToGrid w:val="0"/>
        <w:spacing w:line="360" w:lineRule="auto"/>
        <w:ind w:firstLine="0" w:firstLineChars="0"/>
        <w:jc w:val="both"/>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经常检查管道，若地下管道应采用防腐蚀材料，并在埋设的地面作标记，以防开挖时破坏管道，地上管道应防止汽车碰撞，并控制管道支撑的磨损。定期系统试压、定期检漏。管道施工应按规范要求进行。</w:t>
      </w:r>
    </w:p>
    <w:p>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bCs/>
          <w:color w:val="auto"/>
          <w:sz w:val="24"/>
          <w:szCs w:val="24"/>
        </w:rPr>
        <w:t>（4）</w:t>
      </w:r>
      <w:r>
        <w:rPr>
          <w:rFonts w:hint="default" w:ascii="Times New Roman" w:hAnsi="Times New Roman" w:cs="Times New Roman"/>
          <w:color w:val="auto"/>
          <w:sz w:val="24"/>
          <w:szCs w:val="24"/>
        </w:rPr>
        <w:t>定期对设备进行安全检测，检测内容、时间、人员应有记录保存，安全检测应根据设备的安全性、危险性设定检测频次。</w:t>
      </w:r>
    </w:p>
    <w:p>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（5）严控火源</w:t>
      </w:r>
    </w:p>
    <w:p>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严禁火源进入治污区，对明火严格控制，在黑膜沼气池附近20m内不准有明火；b、对设备维修检查，需进行维修焊接，应经安全部门确认、准许，并有记录在案；另外，在危险区作业是不能使用能产生撞击火花的金属物体，应用铜工具，如用钢工具，表面应涂黄油；c、在黑膜沼气池上设置永久性接地装置；d、在装置区内的所有设备，电气装置都应满足防爆防火的要求。</w:t>
      </w:r>
    </w:p>
    <w:p>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（6）人员的管理</w:t>
      </w:r>
    </w:p>
    <w:p>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a、加强沼气安全知识的宣传，加强对有关人员的培训教育和考核；</w:t>
      </w:r>
    </w:p>
    <w:p>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b、严格规章制度和安全操作规程，强化安全监督检查和管理；</w:t>
      </w:r>
    </w:p>
    <w:p>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c、沼气工程外设专职人员进行监理和维护，严禁其他人员进入。</w:t>
      </w:r>
    </w:p>
    <w:p>
      <w:pPr>
        <w:keepNext/>
        <w:keepLines/>
        <w:pageBreakBefore w:val="0"/>
        <w:numPr>
          <w:ilvl w:val="3"/>
          <w:numId w:val="0"/>
        </w:numPr>
        <w:kinsoku/>
        <w:wordWrap/>
        <w:overflowPunct/>
        <w:topLinePunct w:val="0"/>
        <w:autoSpaceDE/>
        <w:autoSpaceDN/>
        <w:bidi w:val="0"/>
        <w:adjustRightInd w:val="0"/>
        <w:snapToGrid w:val="0"/>
        <w:spacing w:line="360" w:lineRule="auto"/>
        <w:ind w:firstLine="0" w:firstLineChars="0"/>
        <w:jc w:val="both"/>
        <w:textAlignment w:val="auto"/>
        <w:outlineLvl w:val="3"/>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5.3.6.2黑膜沼气池泄漏预防措施</w:t>
      </w:r>
    </w:p>
    <w:p>
      <w:pPr>
        <w:pageBreakBefore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（1）定期对收集池池壁及池底进行检查，发现防渗层破裂及时修补；</w:t>
      </w:r>
    </w:p>
    <w:p>
      <w:pPr>
        <w:pageBreakBefore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（2）对管道及阀门进行保养及维护，预防跑冒滴漏现象的发生；</w:t>
      </w:r>
    </w:p>
    <w:p>
      <w:pPr>
        <w:pageBreakBefore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（3）治污区设置值班人员，如发现设备运行故障及时停产检修；</w:t>
      </w:r>
    </w:p>
    <w:p>
      <w:pPr>
        <w:pageBreakBefore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（4）定期对废水处理设施下游设置的监测井取水进行监测。</w:t>
      </w:r>
    </w:p>
    <w:p>
      <w:pPr>
        <w:keepNext/>
        <w:keepLines/>
        <w:pageBreakBefore w:val="0"/>
        <w:numPr>
          <w:ilvl w:val="3"/>
          <w:numId w:val="0"/>
        </w:numPr>
        <w:kinsoku/>
        <w:wordWrap/>
        <w:overflowPunct/>
        <w:topLinePunct w:val="0"/>
        <w:autoSpaceDE/>
        <w:autoSpaceDN/>
        <w:bidi w:val="0"/>
        <w:adjustRightInd w:val="0"/>
        <w:snapToGrid w:val="0"/>
        <w:spacing w:line="360" w:lineRule="auto"/>
        <w:ind w:firstLine="0" w:firstLineChars="0"/>
        <w:jc w:val="both"/>
        <w:textAlignment w:val="auto"/>
        <w:outlineLvl w:val="3"/>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5.3.6.3沼液输送管道风险防范措施</w:t>
      </w:r>
    </w:p>
    <w:p>
      <w:pPr>
        <w:pageBreakBefore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为了防止沼液输送过程中管道破裂而污染土壤和浅层地下水，评价提出如下建议措施：</w:t>
      </w:r>
    </w:p>
    <w:p>
      <w:pPr>
        <w:pageBreakBefore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（1）合理设置管道阀门，在出现破裂时，能及时通过阀门控制泄漏量。</w:t>
      </w:r>
    </w:p>
    <w:p>
      <w:pPr>
        <w:pageBreakBefore w:val="0"/>
        <w:numPr>
          <w:ilvl w:val="6"/>
          <w:numId w:val="0"/>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（2）选用优质管材，减少管道破裂的几率。</w:t>
      </w:r>
    </w:p>
    <w:p>
      <w:pPr>
        <w:pageBreakBefore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（3）加强管理，做好管道的维护工作，发现破裂时能及时做应急处理。</w:t>
      </w:r>
    </w:p>
    <w:p>
      <w:pPr>
        <w:pageBreakBefore w:val="0"/>
        <w:tabs>
          <w:tab w:val="left" w:pos="5625"/>
        </w:tabs>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评价认为采取以上措施后可有效降低沼液输送过程中发生风险的几率。</w:t>
      </w:r>
    </w:p>
    <w:p>
      <w:pPr>
        <w:keepNext/>
        <w:keepLines/>
        <w:pageBreakBefore w:val="0"/>
        <w:numPr>
          <w:ilvl w:val="3"/>
          <w:numId w:val="0"/>
        </w:numPr>
        <w:kinsoku/>
        <w:wordWrap/>
        <w:overflowPunct/>
        <w:topLinePunct w:val="0"/>
        <w:autoSpaceDE/>
        <w:autoSpaceDN/>
        <w:bidi w:val="0"/>
        <w:adjustRightInd w:val="0"/>
        <w:snapToGrid w:val="0"/>
        <w:spacing w:line="360" w:lineRule="auto"/>
        <w:ind w:firstLine="0" w:firstLineChars="0"/>
        <w:jc w:val="both"/>
        <w:textAlignment w:val="auto"/>
        <w:outlineLvl w:val="3"/>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5.3.6.4沼液贮存风险防范措施</w:t>
      </w:r>
    </w:p>
    <w:p>
      <w:pPr>
        <w:pageBreakBefore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根据《畜禽养殖业污染防治技术规范》（HJ/T81-2001）规定：①养殖场的排水系统应实行雨水和污水收集输送系统分离，在场区内设置的污水收集输送系统，不得采取明沟布设；②贮存设施应采取有效的防渗处理工艺，防止畜禽粪便污染地下水；③贮存设施应采取设置顶盖及围堰等防止雨水进入的措施。</w:t>
      </w:r>
    </w:p>
    <w:p>
      <w:pPr>
        <w:pageBreakBefore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本项目</w:t>
      </w:r>
      <w:r>
        <w:rPr>
          <w:rFonts w:hint="default" w:ascii="Times New Roman" w:hAnsi="Times New Roman" w:cs="Times New Roman"/>
          <w:b/>
          <w:bCs/>
          <w:color w:val="auto"/>
          <w:sz w:val="24"/>
          <w:szCs w:val="24"/>
          <w:u w:val="single"/>
          <w:lang w:eastAsia="zh-CN"/>
        </w:rPr>
        <w:t>黑膜</w:t>
      </w:r>
      <w:r>
        <w:rPr>
          <w:rFonts w:hint="default" w:ascii="Times New Roman" w:hAnsi="Times New Roman" w:cs="Times New Roman"/>
          <w:b/>
          <w:bCs/>
          <w:color w:val="auto"/>
          <w:sz w:val="24"/>
          <w:szCs w:val="24"/>
          <w:u w:val="single"/>
        </w:rPr>
        <w:t>沼气池、沼液存储池均采用黑膜密闭，可避免雨水进入。</w:t>
      </w:r>
    </w:p>
    <w:p>
      <w:pPr>
        <w:pageBreakBefore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项目沼液暂存池池壁在清场夯压的基础上采用HDPE防渗膜进行防渗，黑膜沼气池采用素土夯实+HDPE防渗膜进行防渗，收集池为</w:t>
      </w:r>
      <w:r>
        <w:rPr>
          <w:rFonts w:hint="default" w:ascii="Times New Roman" w:hAnsi="Times New Roman" w:cs="Times New Roman"/>
          <w:b/>
          <w:bCs/>
          <w:color w:val="auto"/>
          <w:sz w:val="24"/>
          <w:szCs w:val="24"/>
          <w:u w:val="single"/>
          <w:lang w:eastAsia="zh-CN"/>
        </w:rPr>
        <w:t>混凝土防渗</w:t>
      </w:r>
      <w:r>
        <w:rPr>
          <w:rFonts w:hint="default" w:ascii="Times New Roman" w:hAnsi="Times New Roman" w:cs="Times New Roman"/>
          <w:b/>
          <w:bCs/>
          <w:color w:val="auto"/>
          <w:sz w:val="24"/>
          <w:szCs w:val="24"/>
          <w:u w:val="single"/>
        </w:rPr>
        <w:t>。项目区各池子均做了有效的防渗措施，同时在日常运行中应定期对池底防渗膜进行检查，发现渗漏及时进行维修。在污水处理站地下水下游方位设置监测井，定期对地下水进行监测，如发现指标异常，应立即对污水处理系统进行排查检修。经过上述处理后，沼液下渗污染地下水和土壤的风险很小。</w:t>
      </w:r>
    </w:p>
    <w:p>
      <w:pPr>
        <w:keepNext/>
        <w:keepLines/>
        <w:pageBreakBefore w:val="0"/>
        <w:numPr>
          <w:ilvl w:val="3"/>
          <w:numId w:val="0"/>
        </w:numPr>
        <w:kinsoku/>
        <w:wordWrap/>
        <w:overflowPunct/>
        <w:topLinePunct w:val="0"/>
        <w:autoSpaceDE/>
        <w:autoSpaceDN/>
        <w:bidi w:val="0"/>
        <w:adjustRightInd w:val="0"/>
        <w:snapToGrid w:val="0"/>
        <w:spacing w:line="360" w:lineRule="auto"/>
        <w:jc w:val="both"/>
        <w:textAlignment w:val="auto"/>
        <w:outlineLvl w:val="3"/>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5.3.6.5场区雨污水漏入附近河流风险防范措施</w:t>
      </w:r>
    </w:p>
    <w:p>
      <w:pPr>
        <w:pageBreakBefore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项目建成后养殖废水经污水处理系统处理后，暂存于</w:t>
      </w:r>
      <w:r>
        <w:rPr>
          <w:rFonts w:hint="default" w:ascii="Times New Roman" w:hAnsi="Times New Roman" w:cs="Times New Roman"/>
          <w:b/>
          <w:bCs/>
          <w:color w:val="auto"/>
          <w:sz w:val="24"/>
          <w:szCs w:val="24"/>
          <w:u w:val="single"/>
          <w:lang w:eastAsia="zh-CN"/>
        </w:rPr>
        <w:t>沼液存储池</w:t>
      </w:r>
      <w:r>
        <w:rPr>
          <w:rFonts w:hint="default" w:ascii="Times New Roman" w:hAnsi="Times New Roman" w:cs="Times New Roman"/>
          <w:b/>
          <w:bCs/>
          <w:color w:val="auto"/>
          <w:sz w:val="24"/>
          <w:szCs w:val="24"/>
          <w:u w:val="single"/>
        </w:rPr>
        <w:t>，施肥季节，通过管网输送到沼液消纳地。因沼液输送管道破裂等情况发生泄漏，可能导致沼液流入</w:t>
      </w:r>
      <w:r>
        <w:rPr>
          <w:rFonts w:hint="default" w:ascii="Times New Roman" w:hAnsi="Times New Roman" w:cs="Times New Roman"/>
          <w:b/>
          <w:bCs/>
          <w:color w:val="auto"/>
          <w:sz w:val="24"/>
          <w:szCs w:val="24"/>
          <w:u w:val="single"/>
          <w:lang w:eastAsia="zh-CN"/>
        </w:rPr>
        <w:t>第三濮清南</w:t>
      </w:r>
      <w:r>
        <w:rPr>
          <w:rFonts w:hint="default" w:ascii="Times New Roman" w:hAnsi="Times New Roman" w:cs="Times New Roman"/>
          <w:b/>
          <w:bCs/>
          <w:color w:val="auto"/>
          <w:sz w:val="24"/>
          <w:szCs w:val="24"/>
          <w:u w:val="single"/>
        </w:rPr>
        <w:t>，雨季降水可能会经</w:t>
      </w:r>
      <w:r>
        <w:rPr>
          <w:rFonts w:hint="default" w:ascii="Times New Roman" w:hAnsi="Times New Roman" w:cs="Times New Roman"/>
          <w:b/>
          <w:bCs/>
          <w:color w:val="auto"/>
          <w:sz w:val="24"/>
          <w:szCs w:val="24"/>
          <w:u w:val="single"/>
          <w:lang w:eastAsia="zh-CN"/>
        </w:rPr>
        <w:t>第三濮清南</w:t>
      </w:r>
      <w:r>
        <w:rPr>
          <w:rFonts w:hint="default" w:ascii="Times New Roman" w:hAnsi="Times New Roman" w:cs="Times New Roman"/>
          <w:b/>
          <w:bCs/>
          <w:color w:val="auto"/>
          <w:sz w:val="24"/>
          <w:szCs w:val="24"/>
          <w:u w:val="single"/>
        </w:rPr>
        <w:t>流出，流经地区的土壤可能会受到影响，评价要求</w:t>
      </w:r>
      <w:r>
        <w:rPr>
          <w:rFonts w:hint="default" w:ascii="Times New Roman" w:hAnsi="Times New Roman" w:cs="Times New Roman"/>
          <w:b/>
          <w:bCs/>
          <w:color w:val="auto"/>
          <w:sz w:val="24"/>
          <w:szCs w:val="24"/>
          <w:u w:val="single"/>
          <w:lang w:eastAsia="zh-CN"/>
        </w:rPr>
        <w:t>第三濮清南</w:t>
      </w:r>
      <w:r>
        <w:rPr>
          <w:rFonts w:hint="default" w:ascii="Times New Roman" w:hAnsi="Times New Roman" w:cs="Times New Roman"/>
          <w:b/>
          <w:bCs/>
          <w:color w:val="auto"/>
          <w:sz w:val="24"/>
          <w:szCs w:val="24"/>
          <w:u w:val="single"/>
        </w:rPr>
        <w:t>两侧建设实体围堰，沼液输送过程中应做好防渗、防漏等措施，杜绝沼液事故排放状况的发生。</w:t>
      </w:r>
    </w:p>
    <w:p>
      <w:pPr>
        <w:pageBreakBefore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snapToGrid w:val="0"/>
          <w:color w:val="auto"/>
          <w:sz w:val="24"/>
          <w:szCs w:val="24"/>
          <w:u w:val="single"/>
        </w:rPr>
      </w:pPr>
      <w:r>
        <w:rPr>
          <w:rFonts w:hint="default" w:ascii="Times New Roman" w:hAnsi="Times New Roman" w:cs="Times New Roman"/>
          <w:b/>
          <w:bCs/>
          <w:color w:val="auto"/>
          <w:sz w:val="24"/>
          <w:szCs w:val="24"/>
          <w:u w:val="single"/>
        </w:rPr>
        <w:t>为避免项目污水流入</w:t>
      </w:r>
      <w:r>
        <w:rPr>
          <w:rFonts w:hint="default" w:ascii="Times New Roman" w:hAnsi="Times New Roman" w:cs="Times New Roman"/>
          <w:b/>
          <w:bCs/>
          <w:color w:val="auto"/>
          <w:sz w:val="24"/>
          <w:szCs w:val="24"/>
          <w:u w:val="single"/>
          <w:lang w:eastAsia="zh-CN"/>
        </w:rPr>
        <w:t>第三濮清南</w:t>
      </w:r>
      <w:r>
        <w:rPr>
          <w:rFonts w:hint="default" w:ascii="Times New Roman" w:hAnsi="Times New Roman" w:cs="Times New Roman"/>
          <w:b/>
          <w:bCs/>
          <w:color w:val="auto"/>
          <w:sz w:val="24"/>
          <w:szCs w:val="24"/>
          <w:u w:val="single"/>
        </w:rPr>
        <w:t>，建议项目施工时提高场区内靠近总干排沟部分的地面高度。本项目在场区内铺设有雨水、污水、粪便的输送管线，企业应加强管理，定期维护，避免管线出现故障导致污水乱流未经处理排出场区，项目初期雨水中污染物主要为场区地面上可能沾有的猪粪，通过调节阀门，使初期雨水入污水站处理，后期干净雨水才可排出场外。</w:t>
      </w:r>
    </w:p>
    <w:p>
      <w:pPr>
        <w:keepNext/>
        <w:keepLines/>
        <w:pageBreakBefore w:val="0"/>
        <w:numPr>
          <w:ilvl w:val="3"/>
          <w:numId w:val="0"/>
        </w:numPr>
        <w:kinsoku/>
        <w:wordWrap/>
        <w:overflowPunct/>
        <w:topLinePunct w:val="0"/>
        <w:autoSpaceDE/>
        <w:autoSpaceDN/>
        <w:bidi w:val="0"/>
        <w:adjustRightInd w:val="0"/>
        <w:snapToGrid w:val="0"/>
        <w:spacing w:line="360" w:lineRule="auto"/>
        <w:ind w:firstLine="0" w:firstLineChars="0"/>
        <w:jc w:val="both"/>
        <w:textAlignment w:val="auto"/>
        <w:outlineLvl w:val="3"/>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5.3.6.6臭气污染风险防范措施</w:t>
      </w:r>
    </w:p>
    <w:p>
      <w:pPr>
        <w:pageBreakBefore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u w:val="single"/>
        </w:rPr>
      </w:pPr>
      <w:r>
        <w:rPr>
          <w:rFonts w:hint="default" w:ascii="Times New Roman" w:hAnsi="Times New Roman" w:cs="Times New Roman"/>
          <w:b/>
          <w:bCs/>
          <w:color w:val="auto"/>
          <w:sz w:val="24"/>
          <w:szCs w:val="24"/>
          <w:u w:val="single"/>
        </w:rPr>
        <w:t>本项目产生臭气的主要单元为猪舍、粪污处理区、污水处理区等，其主要通过喷洒除臭剂，进行密闭、安装除臭装置进行除臭。如发生除臭装置停止运行、密闭措施破裂等情况将产生臭气大量排出，污染周围环境的风险，应避免恶臭气体排出，对设备维修后在正常运行。对于猪舍区、污水处理区通过喷洒除臭剂进行除臭的区域，要加强制度的建设和人员的管理，建立岗位责任制，每天由专人定期、定量进行除臭剂的喷洒，并安排专人进行检查，起到督促监督作用。如发现沼气池及存储池上黑膜破裂，恶臭气体排出，应立即安排人员先用胶布临时封堵破裂口，然后进行黑膜的修复工作。</w:t>
      </w:r>
    </w:p>
    <w:p>
      <w:pPr>
        <w:keepNext/>
        <w:keepLines/>
        <w:pageBreakBefore w:val="0"/>
        <w:numPr>
          <w:ilvl w:val="2"/>
          <w:numId w:val="0"/>
        </w:numPr>
        <w:tabs>
          <w:tab w:val="left" w:pos="709"/>
        </w:tabs>
        <w:kinsoku/>
        <w:wordWrap/>
        <w:overflowPunct/>
        <w:topLinePunct w:val="0"/>
        <w:autoSpaceDE/>
        <w:autoSpaceDN/>
        <w:bidi w:val="0"/>
        <w:adjustRightInd w:val="0"/>
        <w:snapToGrid w:val="0"/>
        <w:spacing w:line="360" w:lineRule="auto"/>
        <w:ind w:firstLine="0" w:firstLineChars="0"/>
        <w:jc w:val="both"/>
        <w:textAlignment w:val="auto"/>
        <w:outlineLvl w:val="2"/>
        <w:rPr>
          <w:rFonts w:hint="default" w:ascii="Times New Roman" w:hAnsi="Times New Roman" w:eastAsia="黑体" w:cs="Times New Roman"/>
          <w:bCs/>
          <w:color w:val="auto"/>
          <w:sz w:val="26"/>
          <w:szCs w:val="26"/>
          <w:lang w:val="en-GB"/>
        </w:rPr>
      </w:pPr>
      <w:r>
        <w:rPr>
          <w:rFonts w:hint="default" w:ascii="Times New Roman" w:hAnsi="Times New Roman" w:eastAsia="黑体" w:cs="Times New Roman"/>
          <w:bCs/>
          <w:color w:val="auto"/>
          <w:sz w:val="26"/>
          <w:szCs w:val="26"/>
          <w:lang w:val="en-GB"/>
        </w:rPr>
        <w:t>5.3.7应急预案</w:t>
      </w:r>
    </w:p>
    <w:p>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应急预案是指根据预测危险源、危险目标可能发生事故的类别和危害程度而制定的事故应急救援方案，是针对危险源制定的一项应急反应计划。</w:t>
      </w:r>
    </w:p>
    <w:p>
      <w:pPr>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在生产过程中，必须在强化生产安全与环境风险管理的基础上，制定和不断完善事故应急预案。应急预案应按照《关于印发〈突发环境事件应急预案管理暂行办法〉的通知》（环发[2010]113号）和《关于进一步加强环境影响评价管理防范环境风险的通知》（环发[2012]77号）进行编制，应急预案需要明确和制定的内容见表5.3-22。</w:t>
      </w:r>
    </w:p>
    <w:p>
      <w:pPr>
        <w:pStyle w:val="8"/>
        <w:pageBreakBefore w:val="0"/>
        <w:numPr>
          <w:ilvl w:val="0"/>
          <w:numId w:val="9"/>
        </w:numPr>
        <w:kinsoku/>
        <w:wordWrap/>
        <w:overflowPunct/>
        <w:topLinePunct w:val="0"/>
        <w:autoSpaceDE/>
        <w:autoSpaceDN/>
        <w:bidi w:val="0"/>
        <w:adjustRightInd w:val="0"/>
        <w:snapToGrid w:val="0"/>
        <w:spacing w:line="360" w:lineRule="auto"/>
        <w:ind w:left="0"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环境风险的突发性事故应急预案纲要</w:t>
      </w:r>
    </w:p>
    <w:tbl>
      <w:tblPr>
        <w:tblStyle w:val="25"/>
        <w:tblW w:w="8946" w:type="dxa"/>
        <w:tblInd w:w="0" w:type="dxa"/>
        <w:tblBorders>
          <w:top w:val="single" w:color="auto" w:sz="2" w:space="0"/>
          <w:left w:val="none" w:color="auto" w:sz="0" w:space="0"/>
          <w:bottom w:val="single" w:color="auto" w:sz="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976"/>
        <w:gridCol w:w="6094"/>
      </w:tblGrid>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6"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1976"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项目</w:t>
            </w:r>
          </w:p>
        </w:tc>
        <w:tc>
          <w:tcPr>
            <w:tcW w:w="6094"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内容及要求</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6"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976"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总则</w:t>
            </w:r>
          </w:p>
        </w:tc>
        <w:tc>
          <w:tcPr>
            <w:tcW w:w="6094"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简述生产过程中涉及物料性质及可能产生的突发事故</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6"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976"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危险源概况</w:t>
            </w:r>
          </w:p>
        </w:tc>
        <w:tc>
          <w:tcPr>
            <w:tcW w:w="6094"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评述危险源类型，数量及其分布</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6"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976"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应急计划区</w:t>
            </w:r>
          </w:p>
        </w:tc>
        <w:tc>
          <w:tcPr>
            <w:tcW w:w="6094"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生产、贮存区、邻区</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6"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976"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应急组织</w:t>
            </w:r>
          </w:p>
        </w:tc>
        <w:tc>
          <w:tcPr>
            <w:tcW w:w="6094"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养殖场：场指挥部—负责全场全面指挥</w:t>
            </w:r>
          </w:p>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专业救援队—负责事故控制、救援善后处理</w:t>
            </w:r>
          </w:p>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地区：地区指挥部—负责场区附近地区，全面指挥、救援、疏散</w:t>
            </w:r>
          </w:p>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专业救援队—负责对场区专业救援队伍支援</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6"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976"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应急状态分类及应急相应程序</w:t>
            </w:r>
          </w:p>
        </w:tc>
        <w:tc>
          <w:tcPr>
            <w:tcW w:w="6094"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规定事故的级别及相应的应急分类相应程序</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6"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1976"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应急设施、设备与材料</w:t>
            </w:r>
          </w:p>
        </w:tc>
        <w:tc>
          <w:tcPr>
            <w:tcW w:w="6094"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生产装置：</w:t>
            </w:r>
          </w:p>
          <w:p>
            <w:pPr>
              <w:keepNext w:val="0"/>
              <w:keepLines w:val="0"/>
              <w:pageBreakBefore w:val="0"/>
              <w:widowControl w:val="0"/>
              <w:numPr>
                <w:ilvl w:val="0"/>
                <w:numId w:val="10"/>
              </w:numPr>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防火灾、爆炸事故应急设施、设备与材料，主要为消防器材；</w:t>
            </w:r>
          </w:p>
          <w:p>
            <w:pPr>
              <w:keepNext w:val="0"/>
              <w:keepLines w:val="0"/>
              <w:pageBreakBefore w:val="0"/>
              <w:widowControl w:val="0"/>
              <w:numPr>
                <w:ilvl w:val="0"/>
                <w:numId w:val="10"/>
              </w:numPr>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事故中使用的防毒设备与材料；</w:t>
            </w:r>
          </w:p>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贮存区：</w:t>
            </w:r>
          </w:p>
          <w:p>
            <w:pPr>
              <w:keepNext w:val="0"/>
              <w:keepLines w:val="0"/>
              <w:pageBreakBefore w:val="0"/>
              <w:widowControl w:val="0"/>
              <w:numPr>
                <w:ilvl w:val="0"/>
                <w:numId w:val="11"/>
              </w:numPr>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防火灾、爆炸事故应急设施、设备与材料，主要为消防器材；</w:t>
            </w:r>
          </w:p>
          <w:p>
            <w:pPr>
              <w:keepNext w:val="0"/>
              <w:keepLines w:val="0"/>
              <w:pageBreakBefore w:val="0"/>
              <w:widowControl w:val="0"/>
              <w:numPr>
                <w:ilvl w:val="0"/>
                <w:numId w:val="11"/>
              </w:numPr>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事故中使用的防毒设备与材料；</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6"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1976"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应急通讯、通知与交通</w:t>
            </w:r>
          </w:p>
        </w:tc>
        <w:tc>
          <w:tcPr>
            <w:tcW w:w="6094"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规定应急状态下的通讯方式，通知方式和交通保障、管制</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6"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1976"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应急环境监测及事故后评估</w:t>
            </w:r>
          </w:p>
        </w:tc>
        <w:tc>
          <w:tcPr>
            <w:tcW w:w="6094"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由专业队伍对事故现场进行的监测，对事故性质、参数与后果进行评估，为指挥部门提供决策依据</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6"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1976"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应急防护措施，消除泄漏方法和器材</w:t>
            </w:r>
          </w:p>
        </w:tc>
        <w:tc>
          <w:tcPr>
            <w:tcW w:w="6094"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事故现场：</w:t>
            </w:r>
          </w:p>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控制事故、防止扩大、漫延及连锁反应、消除现场泄漏物；</w:t>
            </w:r>
          </w:p>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邻近区域：</w:t>
            </w:r>
          </w:p>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控制事故影响范围，控制和消除污染措施及相应设备配备；</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6"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976"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应急剂量控制、撤离组织计划、医疗救护与公众健康</w:t>
            </w:r>
          </w:p>
        </w:tc>
        <w:tc>
          <w:tcPr>
            <w:tcW w:w="6094"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事故现场：</w:t>
            </w:r>
          </w:p>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事故处理人员对毒物的应急剂量控制规定，现场及邻近装置人员撤离组织计划及救护；</w:t>
            </w:r>
          </w:p>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养殖场邻近区：</w:t>
            </w:r>
          </w:p>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受事故影响的邻近区域人员及公众对毒物应急剂量控制规定，撤离组织计划及救护方案；</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6"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1976"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事故状态装置与恢复措施</w:t>
            </w:r>
          </w:p>
        </w:tc>
        <w:tc>
          <w:tcPr>
            <w:tcW w:w="6094"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规定应急状态终止程序：事故善后处理，恢复措施，邻近区域解除事故警戒及善后恢复措施</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6"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w:t>
            </w:r>
          </w:p>
        </w:tc>
        <w:tc>
          <w:tcPr>
            <w:tcW w:w="1976"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人员培训与演练</w:t>
            </w:r>
          </w:p>
        </w:tc>
        <w:tc>
          <w:tcPr>
            <w:tcW w:w="6094"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应急计划制定后，平时安排主要岗位人员进行安全教育培训与演练。</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6"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w:t>
            </w:r>
          </w:p>
        </w:tc>
        <w:tc>
          <w:tcPr>
            <w:tcW w:w="1976"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公众教育和信息</w:t>
            </w:r>
          </w:p>
        </w:tc>
        <w:tc>
          <w:tcPr>
            <w:tcW w:w="6094"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加强公众宣传教育和培训，让公众和员工对主要化学化工原料、产品等有深刻的了解、认识和安全防患意识。</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6"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w:t>
            </w:r>
          </w:p>
        </w:tc>
        <w:tc>
          <w:tcPr>
            <w:tcW w:w="1976"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记录和报告</w:t>
            </w:r>
          </w:p>
        </w:tc>
        <w:tc>
          <w:tcPr>
            <w:tcW w:w="6094"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设置应急事故专门记录，建立档案和专门报告制度，设专门部门并负责管理。</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6"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1976"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附件</w:t>
            </w:r>
          </w:p>
        </w:tc>
        <w:tc>
          <w:tcPr>
            <w:tcW w:w="6094" w:type="dxa"/>
            <w:noWrap w:val="0"/>
            <w:vAlign w:val="center"/>
          </w:tcPr>
          <w:p>
            <w:pPr>
              <w:keepNext w:val="0"/>
              <w:keepLines w:val="0"/>
              <w:pageBreakBefore w:val="0"/>
              <w:widowControl w:val="0"/>
              <w:tabs>
                <w:tab w:val="left" w:pos="2709"/>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与应急事故有关的多种附件材料的准备和新成。</w:t>
            </w:r>
          </w:p>
        </w:tc>
      </w:tr>
    </w:tbl>
    <w:p>
      <w:pPr>
        <w:keepNext/>
        <w:keepLines/>
        <w:numPr>
          <w:ilvl w:val="2"/>
          <w:numId w:val="0"/>
        </w:numPr>
        <w:tabs>
          <w:tab w:val="left" w:pos="709"/>
        </w:tabs>
        <w:spacing w:line="360" w:lineRule="auto"/>
        <w:outlineLvl w:val="2"/>
        <w:rPr>
          <w:rFonts w:hint="default" w:ascii="Times New Roman" w:hAnsi="Times New Roman" w:eastAsia="黑体" w:cs="Times New Roman"/>
          <w:bCs/>
          <w:color w:val="auto"/>
          <w:sz w:val="26"/>
          <w:szCs w:val="26"/>
          <w:lang w:val="en-GB"/>
        </w:rPr>
      </w:pPr>
      <w:r>
        <w:rPr>
          <w:rFonts w:hint="default" w:ascii="Times New Roman" w:hAnsi="Times New Roman" w:eastAsia="黑体" w:cs="Times New Roman"/>
          <w:bCs/>
          <w:color w:val="auto"/>
          <w:sz w:val="26"/>
          <w:szCs w:val="26"/>
          <w:lang w:val="en-GB"/>
        </w:rPr>
        <w:t>5.3.8防范措施及投资</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综上，本项目环境风险防范措施汇总详见表5.3-23。</w:t>
      </w:r>
    </w:p>
    <w:p>
      <w:pPr>
        <w:pStyle w:val="8"/>
        <w:numPr>
          <w:ilvl w:val="0"/>
          <w:numId w:val="9"/>
        </w:numPr>
        <w:spacing w:before="120" w:beforeLines="50" w:line="360" w:lineRule="auto"/>
        <w:ind w:left="0" w:firstLine="843" w:firstLineChars="400"/>
        <w:jc w:val="left"/>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 xml:space="preserve">                风险防范措施一览表</w:t>
      </w:r>
    </w:p>
    <w:tbl>
      <w:tblPr>
        <w:tblStyle w:val="25"/>
        <w:tblW w:w="8944" w:type="dxa"/>
        <w:tblInd w:w="0" w:type="dxa"/>
        <w:tblBorders>
          <w:top w:val="single" w:color="auto" w:sz="2" w:space="0"/>
          <w:left w:val="none" w:color="auto" w:sz="0" w:space="0"/>
          <w:bottom w:val="single" w:color="auto" w:sz="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12"/>
        <w:gridCol w:w="7332"/>
      </w:tblGrid>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12"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内  容</w:t>
            </w:r>
          </w:p>
        </w:tc>
        <w:tc>
          <w:tcPr>
            <w:tcW w:w="7332"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防范措施</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12" w:type="dxa"/>
            <w:vMerge w:val="restart"/>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场所、设备设计</w:t>
            </w:r>
          </w:p>
        </w:tc>
        <w:tc>
          <w:tcPr>
            <w:tcW w:w="7332"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严格执行有关防水、防爆、防中毒的规定；高温和有明火的设备尽量远离散发可燃气体的场所。</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12" w:type="dxa"/>
            <w:vMerge w:val="continue"/>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p>
        </w:tc>
        <w:tc>
          <w:tcPr>
            <w:tcW w:w="7332"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应有急救设施、救援通道及应急疏散通道。</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12" w:type="dxa"/>
            <w:vMerge w:val="continue"/>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p>
        </w:tc>
        <w:tc>
          <w:tcPr>
            <w:tcW w:w="7332"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设计应留有一定的安全系统。</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12" w:type="dxa"/>
            <w:vMerge w:val="continue"/>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p>
        </w:tc>
        <w:tc>
          <w:tcPr>
            <w:tcW w:w="7332"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储气装置设有阻火器，防止回火。</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12" w:type="dxa"/>
            <w:vMerge w:val="continue"/>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p>
        </w:tc>
        <w:tc>
          <w:tcPr>
            <w:tcW w:w="7332"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加强对系统设备和密封单元的维护保养，严防泄漏。</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612" w:type="dxa"/>
            <w:vMerge w:val="continue"/>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p>
        </w:tc>
        <w:tc>
          <w:tcPr>
            <w:tcW w:w="7332"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管道设防腐层、降低管道腐蚀风险，并定期进行管道壁厚的测量，对严重管壁减薄的管段，及时维修更换，避免爆管、泄漏事故发生。</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612" w:type="dxa"/>
            <w:vMerge w:val="continue"/>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p>
        </w:tc>
        <w:tc>
          <w:tcPr>
            <w:tcW w:w="7332"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做好各区的防渗工作，严格按照规范要求进行防渗层的铺设，他投入运行前对污水处理站的防渗层的防渗效果进行全面的检查</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612" w:type="dxa"/>
            <w:vMerge w:val="continue"/>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p>
        </w:tc>
        <w:tc>
          <w:tcPr>
            <w:tcW w:w="7332"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具有火灾、爆炸等危害的作业区，应设计事故状态时能延时工作的事故照明灯，装置内潮湿和高温等危险环境采用安全电压。</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12" w:type="dxa"/>
            <w:vMerge w:val="continue"/>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p>
        </w:tc>
        <w:tc>
          <w:tcPr>
            <w:tcW w:w="7332"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配备足够的消防设施，个人防护设备。</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12" w:type="dxa"/>
            <w:vMerge w:val="continue"/>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p>
        </w:tc>
        <w:tc>
          <w:tcPr>
            <w:tcW w:w="7332"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建筑物采取防雷措施，安装避雷针。</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12" w:type="dxa"/>
            <w:vMerge w:val="restart"/>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工程设计</w:t>
            </w:r>
          </w:p>
        </w:tc>
        <w:tc>
          <w:tcPr>
            <w:tcW w:w="7332"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严格执行防火、防雷等设计规范。</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12" w:type="dxa"/>
            <w:vMerge w:val="continue"/>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p>
        </w:tc>
        <w:tc>
          <w:tcPr>
            <w:tcW w:w="7332"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严把工程质量关，验收合格后方能投入使用。</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12" w:type="dxa"/>
            <w:vMerge w:val="restart"/>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安全制度</w:t>
            </w:r>
          </w:p>
        </w:tc>
        <w:tc>
          <w:tcPr>
            <w:tcW w:w="7332"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加强岗位培训，落实规范操作及安全生产责任制。</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12" w:type="dxa"/>
            <w:vMerge w:val="continue"/>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p>
        </w:tc>
        <w:tc>
          <w:tcPr>
            <w:tcW w:w="7332"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场区内严禁烟火。</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12" w:type="dxa"/>
            <w:vMerge w:val="continue"/>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p>
        </w:tc>
        <w:tc>
          <w:tcPr>
            <w:tcW w:w="7332" w:type="dxa"/>
            <w:noWrap w:val="0"/>
            <w:vAlign w:val="center"/>
          </w:tcPr>
          <w:p>
            <w:pPr>
              <w:keepNext w:val="0"/>
              <w:keepLines w:val="0"/>
              <w:pageBreakBefore w:val="0"/>
              <w:widowControl w:val="0"/>
              <w:tabs>
                <w:tab w:val="left" w:pos="645"/>
              </w:tabs>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应加强设备的管理、检查与维修、切实做好火灾、爆炸、渗漏和消防等安全措施。</w:t>
            </w:r>
          </w:p>
        </w:tc>
      </w:tr>
    </w:tbl>
    <w:p>
      <w:pPr>
        <w:keepNext/>
        <w:keepLines/>
        <w:pageBreakBefore w:val="0"/>
        <w:numPr>
          <w:ilvl w:val="2"/>
          <w:numId w:val="0"/>
        </w:numPr>
        <w:tabs>
          <w:tab w:val="left" w:pos="709"/>
        </w:tabs>
        <w:kinsoku/>
        <w:wordWrap/>
        <w:overflowPunct/>
        <w:topLinePunct w:val="0"/>
        <w:autoSpaceDE/>
        <w:autoSpaceDN/>
        <w:bidi w:val="0"/>
        <w:adjustRightInd w:val="0"/>
        <w:snapToGrid w:val="0"/>
        <w:spacing w:line="360" w:lineRule="auto"/>
        <w:textAlignment w:val="auto"/>
        <w:outlineLvl w:val="2"/>
        <w:rPr>
          <w:rFonts w:hint="default" w:ascii="Times New Roman" w:hAnsi="Times New Roman" w:eastAsia="黑体" w:cs="Times New Roman"/>
          <w:bCs/>
          <w:color w:val="auto"/>
          <w:sz w:val="26"/>
          <w:szCs w:val="26"/>
          <w:lang w:val="en-GB"/>
        </w:rPr>
      </w:pPr>
      <w:bookmarkStart w:id="568" w:name="_Toc441509196"/>
      <w:bookmarkStart w:id="569" w:name="_Toc413845809"/>
      <w:r>
        <w:rPr>
          <w:rFonts w:hint="default" w:ascii="Times New Roman" w:hAnsi="Times New Roman" w:eastAsia="黑体" w:cs="Times New Roman"/>
          <w:bCs/>
          <w:color w:val="auto"/>
          <w:sz w:val="26"/>
          <w:szCs w:val="26"/>
          <w:lang w:val="en-GB"/>
        </w:rPr>
        <w:t>5.3.9 风险评价结论</w:t>
      </w:r>
      <w:bookmarkEnd w:id="568"/>
      <w:bookmarkEnd w:id="569"/>
    </w:p>
    <w:p>
      <w:pPr>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本项目环境风险主要表现在沼气发生泄漏引起大气污染、火灾、爆炸事故引发的大气污染。收集池废水泄漏，对地表水及地下水产生的影响。</w:t>
      </w:r>
    </w:p>
    <w:p>
      <w:pPr>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通过分析可知，在严格落实本环评提出的各项风险防范措施和事故应急预案后，该项目发生风险事故的可能进一步降低，其潜在的环境风险是可以接受的。</w:t>
      </w:r>
    </w:p>
    <w:p>
      <w:pPr>
        <w:keepNext/>
        <w:keepLines/>
        <w:pageBreakBefore w:val="0"/>
        <w:numPr>
          <w:ilvl w:val="2"/>
          <w:numId w:val="0"/>
        </w:numPr>
        <w:tabs>
          <w:tab w:val="left" w:pos="709"/>
        </w:tabs>
        <w:kinsoku/>
        <w:wordWrap/>
        <w:overflowPunct/>
        <w:topLinePunct w:val="0"/>
        <w:autoSpaceDE/>
        <w:autoSpaceDN/>
        <w:bidi w:val="0"/>
        <w:adjustRightInd w:val="0"/>
        <w:snapToGrid w:val="0"/>
        <w:spacing w:line="360" w:lineRule="auto"/>
        <w:textAlignment w:val="auto"/>
        <w:outlineLvl w:val="2"/>
        <w:rPr>
          <w:rFonts w:hint="default" w:ascii="Times New Roman" w:hAnsi="Times New Roman" w:eastAsia="黑体" w:cs="Times New Roman"/>
          <w:bCs/>
          <w:color w:val="auto"/>
          <w:sz w:val="26"/>
          <w:szCs w:val="26"/>
          <w:lang w:val="en-GB"/>
        </w:rPr>
      </w:pPr>
      <w:r>
        <w:rPr>
          <w:rFonts w:hint="default" w:ascii="Times New Roman" w:hAnsi="Times New Roman" w:eastAsia="黑体" w:cs="Times New Roman"/>
          <w:bCs/>
          <w:color w:val="auto"/>
          <w:sz w:val="26"/>
          <w:szCs w:val="26"/>
          <w:lang w:val="en-GB"/>
        </w:rPr>
        <w:t>5.3.10 环境风险评价自查表</w:t>
      </w:r>
    </w:p>
    <w:p>
      <w:pPr>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本次环境风险评价完成后，对环境风险评价主要内容与结论进行自查，详见下表。</w:t>
      </w:r>
    </w:p>
    <w:p>
      <w:pPr>
        <w:pStyle w:val="8"/>
        <w:numPr>
          <w:ilvl w:val="0"/>
          <w:numId w:val="9"/>
        </w:numPr>
        <w:spacing w:before="120" w:beforeLines="50"/>
        <w:ind w:left="0" w:firstLine="843" w:firstLineChars="400"/>
        <w:jc w:val="left"/>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 xml:space="preserve">                环境风险评价自查表</w:t>
      </w:r>
    </w:p>
    <w:tbl>
      <w:tblPr>
        <w:tblStyle w:val="25"/>
        <w:tblW w:w="8730" w:type="dxa"/>
        <w:tblInd w:w="0" w:type="dxa"/>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395"/>
        <w:gridCol w:w="26"/>
        <w:gridCol w:w="26"/>
        <w:gridCol w:w="1189"/>
        <w:gridCol w:w="1041"/>
        <w:gridCol w:w="297"/>
        <w:gridCol w:w="892"/>
        <w:gridCol w:w="595"/>
        <w:gridCol w:w="890"/>
        <w:gridCol w:w="449"/>
        <w:gridCol w:w="890"/>
        <w:gridCol w:w="746"/>
        <w:gridCol w:w="148"/>
        <w:gridCol w:w="1146"/>
      </w:tblGrid>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636" w:type="dxa"/>
            <w:gridSpan w:val="4"/>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b/>
                <w:color w:val="auto"/>
                <w:sz w:val="21"/>
                <w:szCs w:val="21"/>
                <w:lang w:eastAsia="en-US"/>
              </w:rPr>
            </w:pPr>
            <w:r>
              <w:rPr>
                <w:rFonts w:hint="default" w:ascii="Times New Roman" w:hAnsi="Times New Roman" w:cs="Times New Roman"/>
                <w:b/>
                <w:color w:val="auto"/>
                <w:sz w:val="21"/>
                <w:szCs w:val="21"/>
                <w:lang w:eastAsia="zh-CN"/>
              </w:rPr>
              <w:t xml:space="preserve"> </w:t>
            </w:r>
            <w:r>
              <w:rPr>
                <w:rFonts w:hint="default" w:ascii="Times New Roman" w:hAnsi="Times New Roman" w:cs="Times New Roman"/>
                <w:b/>
                <w:color w:val="auto"/>
                <w:sz w:val="21"/>
                <w:szCs w:val="21"/>
                <w:lang w:eastAsia="en-US"/>
              </w:rPr>
              <w:t>工作内容</w:t>
            </w:r>
          </w:p>
        </w:tc>
        <w:tc>
          <w:tcPr>
            <w:tcW w:w="7094" w:type="dxa"/>
            <w:gridSpan w:val="10"/>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b/>
                <w:color w:val="auto"/>
                <w:sz w:val="21"/>
                <w:szCs w:val="21"/>
                <w:lang w:eastAsia="zh-CN"/>
              </w:rPr>
            </w:pPr>
            <w:r>
              <w:rPr>
                <w:rFonts w:hint="default" w:ascii="Times New Roman" w:hAnsi="Times New Roman" w:cs="Times New Roman"/>
                <w:b/>
                <w:color w:val="auto"/>
                <w:sz w:val="21"/>
                <w:szCs w:val="21"/>
                <w:lang w:eastAsia="zh-CN"/>
              </w:rPr>
              <w:t>完成情况</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47" w:type="dxa"/>
            <w:gridSpan w:val="3"/>
            <w:vMerge w:val="restart"/>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风险调查</w:t>
            </w:r>
          </w:p>
        </w:tc>
        <w:tc>
          <w:tcPr>
            <w:tcW w:w="1189" w:type="dxa"/>
            <w:vMerge w:val="restart"/>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zh-CN"/>
              </w:rPr>
              <w:t>危险</w:t>
            </w:r>
            <w:r>
              <w:rPr>
                <w:rFonts w:hint="default" w:ascii="Times New Roman" w:hAnsi="Times New Roman" w:cs="Times New Roman"/>
                <w:color w:val="auto"/>
                <w:sz w:val="21"/>
                <w:szCs w:val="21"/>
                <w:lang w:eastAsia="en-US"/>
              </w:rPr>
              <w:t>物质</w:t>
            </w:r>
          </w:p>
        </w:tc>
        <w:tc>
          <w:tcPr>
            <w:tcW w:w="1041" w:type="dxa"/>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en-US"/>
              </w:rPr>
              <w:t>名称</w:t>
            </w:r>
          </w:p>
        </w:tc>
        <w:tc>
          <w:tcPr>
            <w:tcW w:w="1189" w:type="dxa"/>
            <w:gridSpan w:val="2"/>
            <w:tcBorders>
              <w:left w:val="single" w:color="auto" w:sz="4" w:space="0"/>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沼气</w:t>
            </w:r>
          </w:p>
        </w:tc>
        <w:tc>
          <w:tcPr>
            <w:tcW w:w="1934" w:type="dxa"/>
            <w:gridSpan w:val="3"/>
            <w:tcBorders>
              <w:left w:val="single" w:color="auto" w:sz="4" w:space="0"/>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zh-CN"/>
              </w:rPr>
              <w:t>高浓度有机废液</w:t>
            </w:r>
          </w:p>
        </w:tc>
        <w:tc>
          <w:tcPr>
            <w:tcW w:w="2930" w:type="dxa"/>
            <w:gridSpan w:val="4"/>
            <w:tcBorders>
              <w:lef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47" w:type="dxa"/>
            <w:gridSpan w:val="3"/>
            <w:vMerge w:val="continue"/>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p>
        </w:tc>
        <w:tc>
          <w:tcPr>
            <w:tcW w:w="1189" w:type="dxa"/>
            <w:vMerge w:val="continue"/>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p>
        </w:tc>
        <w:tc>
          <w:tcPr>
            <w:tcW w:w="1041" w:type="dxa"/>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en-US"/>
              </w:rPr>
              <w:t>存在总量</w:t>
            </w:r>
            <w:r>
              <w:rPr>
                <w:rFonts w:hint="default" w:ascii="Times New Roman" w:hAnsi="Times New Roman" w:cs="Times New Roman"/>
                <w:color w:val="auto"/>
                <w:sz w:val="21"/>
                <w:szCs w:val="21"/>
                <w:lang w:eastAsia="zh-CN"/>
              </w:rPr>
              <w:t>/t</w:t>
            </w:r>
          </w:p>
        </w:tc>
        <w:tc>
          <w:tcPr>
            <w:tcW w:w="1189" w:type="dxa"/>
            <w:gridSpan w:val="2"/>
            <w:tcBorders>
              <w:left w:val="single" w:color="auto" w:sz="4" w:space="0"/>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3.8</w:t>
            </w:r>
          </w:p>
        </w:tc>
        <w:tc>
          <w:tcPr>
            <w:tcW w:w="1934" w:type="dxa"/>
            <w:gridSpan w:val="3"/>
            <w:tcBorders>
              <w:left w:val="single" w:color="auto" w:sz="4" w:space="0"/>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val="en-US" w:eastAsia="en-US"/>
              </w:rPr>
            </w:pPr>
            <w:r>
              <w:rPr>
                <w:rFonts w:hint="default" w:ascii="Times New Roman" w:hAnsi="Times New Roman" w:cs="Times New Roman"/>
                <w:color w:val="auto"/>
                <w:sz w:val="21"/>
                <w:szCs w:val="21"/>
                <w:lang w:val="en-US" w:eastAsia="zh-CN"/>
              </w:rPr>
              <w:t>2234.4</w:t>
            </w:r>
          </w:p>
        </w:tc>
        <w:tc>
          <w:tcPr>
            <w:tcW w:w="2930" w:type="dxa"/>
            <w:gridSpan w:val="4"/>
            <w:tcBorders>
              <w:lef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47" w:type="dxa"/>
            <w:gridSpan w:val="3"/>
            <w:vMerge w:val="continue"/>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p>
        </w:tc>
        <w:tc>
          <w:tcPr>
            <w:tcW w:w="1189" w:type="dxa"/>
            <w:vMerge w:val="restart"/>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zh-CN"/>
              </w:rPr>
              <w:t>环境</w:t>
            </w:r>
            <w:r>
              <w:rPr>
                <w:rFonts w:hint="default" w:ascii="Times New Roman" w:hAnsi="Times New Roman" w:cs="Times New Roman"/>
                <w:color w:val="auto"/>
                <w:sz w:val="21"/>
                <w:szCs w:val="21"/>
                <w:lang w:eastAsia="en-US"/>
              </w:rPr>
              <w:t>敏感性</w:t>
            </w:r>
          </w:p>
        </w:tc>
        <w:tc>
          <w:tcPr>
            <w:tcW w:w="1041" w:type="dxa"/>
            <w:vMerge w:val="restart"/>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en-US"/>
              </w:rPr>
              <w:t>大气</w:t>
            </w:r>
          </w:p>
        </w:tc>
        <w:tc>
          <w:tcPr>
            <w:tcW w:w="3123" w:type="dxa"/>
            <w:gridSpan w:val="5"/>
            <w:tcBorders>
              <w:left w:val="single" w:color="auto" w:sz="4" w:space="0"/>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500m范围内人口数</w:t>
            </w:r>
            <w:r>
              <w:rPr>
                <w:rFonts w:hint="default" w:ascii="Times New Roman" w:hAnsi="Times New Roman" w:cs="Times New Roman"/>
                <w:color w:val="auto"/>
                <w:sz w:val="21"/>
                <w:szCs w:val="21"/>
                <w:u w:val="single"/>
                <w:lang w:eastAsia="zh-CN"/>
              </w:rPr>
              <w:t>0</w:t>
            </w:r>
            <w:r>
              <w:rPr>
                <w:rFonts w:hint="default" w:ascii="Times New Roman" w:hAnsi="Times New Roman" w:cs="Times New Roman"/>
                <w:color w:val="auto"/>
                <w:sz w:val="21"/>
                <w:szCs w:val="21"/>
                <w:lang w:eastAsia="zh-CN"/>
              </w:rPr>
              <w:t>人</w:t>
            </w:r>
          </w:p>
        </w:tc>
        <w:tc>
          <w:tcPr>
            <w:tcW w:w="2930" w:type="dxa"/>
            <w:gridSpan w:val="4"/>
            <w:tcBorders>
              <w:lef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5km范围内人口数</w:t>
            </w:r>
            <w:r>
              <w:rPr>
                <w:rFonts w:hint="default" w:ascii="Times New Roman" w:hAnsi="Times New Roman" w:cs="Times New Roman"/>
                <w:color w:val="auto"/>
                <w:sz w:val="21"/>
                <w:szCs w:val="21"/>
                <w:u w:val="single"/>
                <w:lang w:eastAsia="zh-CN"/>
              </w:rPr>
              <w:t xml:space="preserve"> </w:t>
            </w:r>
            <w:r>
              <w:rPr>
                <w:rFonts w:hint="default" w:ascii="Times New Roman" w:hAnsi="Times New Roman" w:cs="Times New Roman"/>
                <w:color w:val="auto"/>
                <w:sz w:val="21"/>
                <w:szCs w:val="21"/>
                <w:u w:val="single"/>
                <w:lang w:val="en-US" w:eastAsia="zh-CN"/>
              </w:rPr>
              <w:t>6</w:t>
            </w:r>
            <w:r>
              <w:rPr>
                <w:rFonts w:hint="default" w:ascii="Times New Roman" w:hAnsi="Times New Roman" w:cs="Times New Roman"/>
                <w:color w:val="auto"/>
                <w:sz w:val="21"/>
                <w:szCs w:val="21"/>
                <w:u w:val="single"/>
                <w:lang w:eastAsia="zh-CN"/>
              </w:rPr>
              <w:t xml:space="preserve">万 </w:t>
            </w:r>
            <w:r>
              <w:rPr>
                <w:rFonts w:hint="default" w:ascii="Times New Roman" w:hAnsi="Times New Roman" w:cs="Times New Roman"/>
                <w:color w:val="auto"/>
                <w:sz w:val="21"/>
                <w:szCs w:val="21"/>
                <w:lang w:eastAsia="zh-CN"/>
              </w:rPr>
              <w:t>人</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47" w:type="dxa"/>
            <w:gridSpan w:val="3"/>
            <w:vMerge w:val="continue"/>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p>
        </w:tc>
        <w:tc>
          <w:tcPr>
            <w:tcW w:w="1189" w:type="dxa"/>
            <w:vMerge w:val="continue"/>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p>
        </w:tc>
        <w:tc>
          <w:tcPr>
            <w:tcW w:w="1041" w:type="dxa"/>
            <w:vMerge w:val="continue"/>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p>
        </w:tc>
        <w:tc>
          <w:tcPr>
            <w:tcW w:w="4907" w:type="dxa"/>
            <w:gridSpan w:val="8"/>
            <w:tcBorders>
              <w:lef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每公里管段周边200m范围内人口数（最大）</w:t>
            </w:r>
          </w:p>
        </w:tc>
        <w:tc>
          <w:tcPr>
            <w:tcW w:w="1146" w:type="dxa"/>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u w:val="single"/>
                <w:lang w:eastAsia="zh-CN"/>
              </w:rPr>
              <w:t xml:space="preserve">   </w:t>
            </w:r>
            <w:r>
              <w:rPr>
                <w:rFonts w:hint="default" w:ascii="Times New Roman" w:hAnsi="Times New Roman" w:cs="Times New Roman"/>
                <w:color w:val="auto"/>
                <w:sz w:val="21"/>
                <w:szCs w:val="21"/>
                <w:lang w:eastAsia="zh-CN"/>
              </w:rPr>
              <w:t>人</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47" w:type="dxa"/>
            <w:gridSpan w:val="3"/>
            <w:vMerge w:val="continue"/>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p>
        </w:tc>
        <w:tc>
          <w:tcPr>
            <w:tcW w:w="1189" w:type="dxa"/>
            <w:vMerge w:val="continue"/>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p>
        </w:tc>
        <w:tc>
          <w:tcPr>
            <w:tcW w:w="1041" w:type="dxa"/>
            <w:vMerge w:val="restart"/>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en-US"/>
              </w:rPr>
              <w:t>地表水</w:t>
            </w:r>
          </w:p>
        </w:tc>
        <w:tc>
          <w:tcPr>
            <w:tcW w:w="1784" w:type="dxa"/>
            <w:gridSpan w:val="3"/>
            <w:tcBorders>
              <w:lef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en-US"/>
              </w:rPr>
              <w:t>地表水功能敏感性</w:t>
            </w:r>
          </w:p>
        </w:tc>
        <w:tc>
          <w:tcPr>
            <w:tcW w:w="1339" w:type="dxa"/>
            <w:gridSpan w:val="2"/>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F1</w:t>
            </w:r>
            <w:r>
              <w:rPr>
                <w:rFonts w:hint="default" w:ascii="Times New Roman" w:hAnsi="Times New Roman" w:cs="Times New Roman"/>
                <w:color w:val="auto"/>
                <w:sz w:val="21"/>
                <w:szCs w:val="21"/>
                <w:lang w:eastAsia="en-US"/>
              </w:rPr>
              <w:t>□</w:t>
            </w:r>
          </w:p>
        </w:tc>
        <w:tc>
          <w:tcPr>
            <w:tcW w:w="1784" w:type="dxa"/>
            <w:gridSpan w:val="3"/>
            <w:tcBorders>
              <w:lef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zh-CN"/>
              </w:rPr>
              <w:t>F2</w:t>
            </w:r>
            <w:r>
              <w:rPr>
                <w:rFonts w:hint="default" w:ascii="Times New Roman" w:hAnsi="Times New Roman" w:cs="Times New Roman"/>
                <w:color w:val="auto"/>
                <w:sz w:val="21"/>
                <w:szCs w:val="21"/>
                <w:lang w:eastAsia="en-US"/>
              </w:rPr>
              <w:t>□</w:t>
            </w:r>
          </w:p>
        </w:tc>
        <w:tc>
          <w:tcPr>
            <w:tcW w:w="1146" w:type="dxa"/>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zh-CN"/>
              </w:rPr>
              <w:t>F3</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47" w:type="dxa"/>
            <w:gridSpan w:val="3"/>
            <w:vMerge w:val="continue"/>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p>
        </w:tc>
        <w:tc>
          <w:tcPr>
            <w:tcW w:w="1189" w:type="dxa"/>
            <w:vMerge w:val="continue"/>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p>
        </w:tc>
        <w:tc>
          <w:tcPr>
            <w:tcW w:w="1041" w:type="dxa"/>
            <w:vMerge w:val="continue"/>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p>
        </w:tc>
        <w:tc>
          <w:tcPr>
            <w:tcW w:w="1784" w:type="dxa"/>
            <w:gridSpan w:val="3"/>
            <w:tcBorders>
              <w:lef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en-US"/>
              </w:rPr>
              <w:t>环境敏感目标分级</w:t>
            </w:r>
          </w:p>
        </w:tc>
        <w:tc>
          <w:tcPr>
            <w:tcW w:w="1339" w:type="dxa"/>
            <w:gridSpan w:val="2"/>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zh-CN"/>
              </w:rPr>
              <w:t>S1</w:t>
            </w:r>
            <w:r>
              <w:rPr>
                <w:rFonts w:hint="default" w:ascii="Times New Roman" w:hAnsi="Times New Roman" w:cs="Times New Roman"/>
                <w:color w:val="auto"/>
                <w:sz w:val="21"/>
                <w:szCs w:val="21"/>
                <w:lang w:eastAsia="en-US"/>
              </w:rPr>
              <w:t>□</w:t>
            </w:r>
          </w:p>
        </w:tc>
        <w:tc>
          <w:tcPr>
            <w:tcW w:w="1784" w:type="dxa"/>
            <w:gridSpan w:val="3"/>
            <w:tcBorders>
              <w:lef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zh-CN"/>
              </w:rPr>
              <w:t>S2</w:t>
            </w:r>
            <w:r>
              <w:rPr>
                <w:rFonts w:hint="default" w:ascii="Times New Roman" w:hAnsi="Times New Roman" w:cs="Times New Roman"/>
                <w:color w:val="auto"/>
                <w:sz w:val="21"/>
                <w:szCs w:val="21"/>
                <w:lang w:eastAsia="en-US"/>
              </w:rPr>
              <w:t>□</w:t>
            </w:r>
          </w:p>
        </w:tc>
        <w:tc>
          <w:tcPr>
            <w:tcW w:w="1146" w:type="dxa"/>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S3</w:t>
            </w:r>
            <w:r>
              <w:rPr>
                <w:rFonts w:hint="default" w:ascii="Times New Roman" w:hAnsi="Times New Roman" w:cs="Times New Roman"/>
                <w:color w:val="auto"/>
                <w:kern w:val="0"/>
                <w:sz w:val="21"/>
                <w:szCs w:val="21"/>
              </w:rPr>
              <w:t></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47" w:type="dxa"/>
            <w:gridSpan w:val="3"/>
            <w:vMerge w:val="continue"/>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p>
        </w:tc>
        <w:tc>
          <w:tcPr>
            <w:tcW w:w="1189" w:type="dxa"/>
            <w:vMerge w:val="continue"/>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p>
        </w:tc>
        <w:tc>
          <w:tcPr>
            <w:tcW w:w="1041" w:type="dxa"/>
            <w:vMerge w:val="restart"/>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en-US"/>
              </w:rPr>
              <w:t>地下水</w:t>
            </w:r>
          </w:p>
        </w:tc>
        <w:tc>
          <w:tcPr>
            <w:tcW w:w="1784" w:type="dxa"/>
            <w:gridSpan w:val="3"/>
            <w:tcBorders>
              <w:lef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zh-CN"/>
              </w:rPr>
              <w:t>地下水</w:t>
            </w:r>
            <w:r>
              <w:rPr>
                <w:rFonts w:hint="default" w:ascii="Times New Roman" w:hAnsi="Times New Roman" w:cs="Times New Roman"/>
                <w:color w:val="auto"/>
                <w:sz w:val="21"/>
                <w:szCs w:val="21"/>
                <w:lang w:eastAsia="en-US"/>
              </w:rPr>
              <w:t>功能敏感性</w:t>
            </w:r>
          </w:p>
        </w:tc>
        <w:tc>
          <w:tcPr>
            <w:tcW w:w="1339" w:type="dxa"/>
            <w:gridSpan w:val="2"/>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zh-CN"/>
              </w:rPr>
              <w:t>G1</w:t>
            </w:r>
            <w:r>
              <w:rPr>
                <w:rFonts w:hint="default" w:ascii="Times New Roman" w:hAnsi="Times New Roman" w:cs="Times New Roman"/>
                <w:color w:val="auto"/>
                <w:sz w:val="21"/>
                <w:szCs w:val="21"/>
                <w:lang w:eastAsia="en-US"/>
              </w:rPr>
              <w:t>□</w:t>
            </w:r>
          </w:p>
        </w:tc>
        <w:tc>
          <w:tcPr>
            <w:tcW w:w="1784" w:type="dxa"/>
            <w:gridSpan w:val="3"/>
            <w:tcBorders>
              <w:lef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zh-CN"/>
              </w:rPr>
              <w:t>G2</w:t>
            </w:r>
            <w:r>
              <w:rPr>
                <w:rFonts w:hint="default" w:ascii="Times New Roman" w:hAnsi="Times New Roman" w:cs="Times New Roman"/>
                <w:color w:val="auto"/>
                <w:sz w:val="21"/>
                <w:szCs w:val="21"/>
                <w:lang w:eastAsia="en-US"/>
              </w:rPr>
              <w:t>□</w:t>
            </w:r>
          </w:p>
        </w:tc>
        <w:tc>
          <w:tcPr>
            <w:tcW w:w="1146" w:type="dxa"/>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zh-CN"/>
              </w:rPr>
              <w:t>G3</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47" w:type="dxa"/>
            <w:gridSpan w:val="3"/>
            <w:vMerge w:val="continue"/>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p>
        </w:tc>
        <w:tc>
          <w:tcPr>
            <w:tcW w:w="1189" w:type="dxa"/>
            <w:vMerge w:val="continue"/>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p>
        </w:tc>
        <w:tc>
          <w:tcPr>
            <w:tcW w:w="1041" w:type="dxa"/>
            <w:vMerge w:val="continue"/>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p>
        </w:tc>
        <w:tc>
          <w:tcPr>
            <w:tcW w:w="1784" w:type="dxa"/>
            <w:gridSpan w:val="3"/>
            <w:tcBorders>
              <w:lef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en-US"/>
              </w:rPr>
              <w:t>包气带防污性能</w:t>
            </w:r>
          </w:p>
        </w:tc>
        <w:tc>
          <w:tcPr>
            <w:tcW w:w="1339" w:type="dxa"/>
            <w:gridSpan w:val="2"/>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zh-CN"/>
              </w:rPr>
              <w:t>D1</w:t>
            </w:r>
            <w:r>
              <w:rPr>
                <w:rFonts w:hint="default" w:ascii="Times New Roman" w:hAnsi="Times New Roman" w:cs="Times New Roman"/>
                <w:color w:val="auto"/>
                <w:sz w:val="21"/>
                <w:szCs w:val="21"/>
                <w:lang w:eastAsia="en-US"/>
              </w:rPr>
              <w:t>□</w:t>
            </w:r>
          </w:p>
        </w:tc>
        <w:tc>
          <w:tcPr>
            <w:tcW w:w="1784" w:type="dxa"/>
            <w:gridSpan w:val="3"/>
            <w:tcBorders>
              <w:lef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zh-CN"/>
              </w:rPr>
              <w:t>D2</w:t>
            </w:r>
            <w:r>
              <w:rPr>
                <w:rFonts w:hint="default" w:ascii="Times New Roman" w:hAnsi="Times New Roman" w:cs="Times New Roman"/>
                <w:color w:val="auto"/>
                <w:sz w:val="21"/>
                <w:szCs w:val="21"/>
                <w:lang w:eastAsia="en-US"/>
              </w:rPr>
              <w:t>□</w:t>
            </w:r>
          </w:p>
        </w:tc>
        <w:tc>
          <w:tcPr>
            <w:tcW w:w="1146" w:type="dxa"/>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zh-CN"/>
              </w:rPr>
              <w:t>D3</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636" w:type="dxa"/>
            <w:gridSpan w:val="4"/>
            <w:vMerge w:val="restart"/>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物质及工艺系统危险性</w:t>
            </w:r>
          </w:p>
        </w:tc>
        <w:tc>
          <w:tcPr>
            <w:tcW w:w="1041" w:type="dxa"/>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Q值</w:t>
            </w:r>
          </w:p>
        </w:tc>
        <w:tc>
          <w:tcPr>
            <w:tcW w:w="1784" w:type="dxa"/>
            <w:gridSpan w:val="3"/>
            <w:tcBorders>
              <w:lef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Q＜1</w:t>
            </w:r>
            <w:r>
              <w:rPr>
                <w:rFonts w:hint="default" w:ascii="Times New Roman" w:hAnsi="Times New Roman" w:cs="Times New Roman"/>
                <w:color w:val="auto"/>
                <w:sz w:val="21"/>
                <w:szCs w:val="21"/>
                <w:lang w:eastAsia="en-US"/>
              </w:rPr>
              <w:t>□</w:t>
            </w:r>
          </w:p>
        </w:tc>
        <w:tc>
          <w:tcPr>
            <w:tcW w:w="1339" w:type="dxa"/>
            <w:gridSpan w:val="2"/>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1≤Q＜10</w:t>
            </w:r>
            <w:r>
              <w:rPr>
                <w:rFonts w:hint="default" w:ascii="Times New Roman" w:hAnsi="Times New Roman" w:cs="Times New Roman"/>
                <w:color w:val="auto"/>
                <w:sz w:val="21"/>
                <w:szCs w:val="21"/>
                <w:lang w:eastAsia="en-US"/>
              </w:rPr>
              <w:t>□</w:t>
            </w:r>
          </w:p>
        </w:tc>
        <w:tc>
          <w:tcPr>
            <w:tcW w:w="1784" w:type="dxa"/>
            <w:gridSpan w:val="3"/>
            <w:tcBorders>
              <w:lef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10≤Q＜100</w:t>
            </w:r>
            <w:r>
              <w:rPr>
                <w:rFonts w:hint="default" w:ascii="Times New Roman" w:hAnsi="Times New Roman" w:cs="Times New Roman"/>
                <w:color w:val="auto"/>
                <w:sz w:val="21"/>
                <w:szCs w:val="21"/>
                <w:lang w:eastAsia="en-US"/>
              </w:rPr>
              <w:sym w:font="Wingdings 2" w:char="0052"/>
            </w:r>
          </w:p>
        </w:tc>
        <w:tc>
          <w:tcPr>
            <w:tcW w:w="1146" w:type="dxa"/>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Q＞100</w:t>
            </w:r>
            <w:r>
              <w:rPr>
                <w:rFonts w:hint="default" w:ascii="Times New Roman" w:hAnsi="Times New Roman" w:cs="Times New Roman"/>
                <w:color w:val="auto"/>
                <w:sz w:val="21"/>
                <w:szCs w:val="21"/>
                <w:lang w:eastAsia="en-US"/>
              </w:rPr>
              <w:t>□</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636" w:type="dxa"/>
            <w:gridSpan w:val="4"/>
            <w:vMerge w:val="continue"/>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p>
        </w:tc>
        <w:tc>
          <w:tcPr>
            <w:tcW w:w="1041" w:type="dxa"/>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M值</w:t>
            </w:r>
          </w:p>
        </w:tc>
        <w:tc>
          <w:tcPr>
            <w:tcW w:w="1784" w:type="dxa"/>
            <w:gridSpan w:val="3"/>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zh-CN"/>
              </w:rPr>
              <w:t>M1</w:t>
            </w:r>
            <w:r>
              <w:rPr>
                <w:rFonts w:hint="default" w:ascii="Times New Roman" w:hAnsi="Times New Roman" w:cs="Times New Roman"/>
                <w:color w:val="auto"/>
                <w:sz w:val="21"/>
                <w:szCs w:val="21"/>
                <w:lang w:eastAsia="en-US"/>
              </w:rPr>
              <w:t>□</w:t>
            </w:r>
          </w:p>
        </w:tc>
        <w:tc>
          <w:tcPr>
            <w:tcW w:w="1339" w:type="dxa"/>
            <w:gridSpan w:val="2"/>
            <w:tcBorders>
              <w:lef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zh-CN"/>
              </w:rPr>
              <w:t>M2</w:t>
            </w:r>
            <w:r>
              <w:rPr>
                <w:rFonts w:hint="default" w:ascii="Times New Roman" w:hAnsi="Times New Roman" w:cs="Times New Roman"/>
                <w:color w:val="auto"/>
                <w:sz w:val="21"/>
                <w:szCs w:val="21"/>
                <w:lang w:eastAsia="en-US"/>
              </w:rPr>
              <w:t>□</w:t>
            </w:r>
          </w:p>
        </w:tc>
        <w:tc>
          <w:tcPr>
            <w:tcW w:w="1784" w:type="dxa"/>
            <w:gridSpan w:val="3"/>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zh-CN"/>
              </w:rPr>
              <w:t>M3</w:t>
            </w:r>
            <w:r>
              <w:rPr>
                <w:rFonts w:hint="default" w:ascii="Times New Roman" w:hAnsi="Times New Roman" w:cs="Times New Roman"/>
                <w:color w:val="auto"/>
                <w:sz w:val="21"/>
                <w:szCs w:val="21"/>
                <w:lang w:eastAsia="en-US"/>
              </w:rPr>
              <w:t>□</w:t>
            </w:r>
          </w:p>
        </w:tc>
        <w:tc>
          <w:tcPr>
            <w:tcW w:w="1146" w:type="dxa"/>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M4</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636" w:type="dxa"/>
            <w:gridSpan w:val="4"/>
            <w:vMerge w:val="continue"/>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p>
        </w:tc>
        <w:tc>
          <w:tcPr>
            <w:tcW w:w="1041" w:type="dxa"/>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P值</w:t>
            </w:r>
          </w:p>
        </w:tc>
        <w:tc>
          <w:tcPr>
            <w:tcW w:w="1784" w:type="dxa"/>
            <w:gridSpan w:val="3"/>
            <w:tcBorders>
              <w:lef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zh-CN"/>
              </w:rPr>
              <w:t>P1</w:t>
            </w:r>
            <w:r>
              <w:rPr>
                <w:rFonts w:hint="default" w:ascii="Times New Roman" w:hAnsi="Times New Roman" w:cs="Times New Roman"/>
                <w:color w:val="auto"/>
                <w:sz w:val="21"/>
                <w:szCs w:val="21"/>
                <w:lang w:eastAsia="en-US"/>
              </w:rPr>
              <w:t>□</w:t>
            </w:r>
          </w:p>
        </w:tc>
        <w:tc>
          <w:tcPr>
            <w:tcW w:w="1339" w:type="dxa"/>
            <w:gridSpan w:val="2"/>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zh-CN"/>
              </w:rPr>
              <w:t>P2</w:t>
            </w:r>
            <w:r>
              <w:rPr>
                <w:rFonts w:hint="default" w:ascii="Times New Roman" w:hAnsi="Times New Roman" w:cs="Times New Roman"/>
                <w:color w:val="auto"/>
                <w:sz w:val="21"/>
                <w:szCs w:val="21"/>
                <w:lang w:eastAsia="en-US"/>
              </w:rPr>
              <w:t>□</w:t>
            </w:r>
          </w:p>
        </w:tc>
        <w:tc>
          <w:tcPr>
            <w:tcW w:w="1784" w:type="dxa"/>
            <w:gridSpan w:val="3"/>
            <w:tcBorders>
              <w:lef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zh-CN"/>
              </w:rPr>
              <w:t>P3</w:t>
            </w:r>
            <w:r>
              <w:rPr>
                <w:rFonts w:hint="default" w:ascii="Times New Roman" w:hAnsi="Times New Roman" w:cs="Times New Roman"/>
                <w:color w:val="auto"/>
                <w:sz w:val="21"/>
                <w:szCs w:val="21"/>
                <w:lang w:eastAsia="en-US"/>
              </w:rPr>
              <w:t>□</w:t>
            </w:r>
          </w:p>
        </w:tc>
        <w:tc>
          <w:tcPr>
            <w:tcW w:w="1146" w:type="dxa"/>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 xml:space="preserve">P4 </w:t>
            </w:r>
            <w:r>
              <w:rPr>
                <w:rFonts w:hint="default" w:ascii="Times New Roman" w:hAnsi="Times New Roman" w:cs="Times New Roman"/>
                <w:color w:val="auto"/>
                <w:sz w:val="21"/>
                <w:szCs w:val="21"/>
                <w:lang w:eastAsia="zh-CN"/>
              </w:rPr>
              <w:sym w:font="Wingdings 2" w:char="0052"/>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636" w:type="dxa"/>
            <w:gridSpan w:val="4"/>
            <w:vMerge w:val="restart"/>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环境敏感程度</w:t>
            </w:r>
          </w:p>
        </w:tc>
        <w:tc>
          <w:tcPr>
            <w:tcW w:w="1041" w:type="dxa"/>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en-US"/>
              </w:rPr>
              <w:t>大气</w:t>
            </w:r>
          </w:p>
        </w:tc>
        <w:tc>
          <w:tcPr>
            <w:tcW w:w="1784" w:type="dxa"/>
            <w:gridSpan w:val="3"/>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E1</w:t>
            </w:r>
            <w:r>
              <w:rPr>
                <w:rFonts w:hint="default" w:ascii="Times New Roman" w:hAnsi="Times New Roman" w:cs="Times New Roman"/>
                <w:color w:val="auto"/>
                <w:sz w:val="21"/>
                <w:szCs w:val="21"/>
                <w:lang w:eastAsia="en-US"/>
              </w:rPr>
              <w:t>□</w:t>
            </w:r>
          </w:p>
        </w:tc>
        <w:tc>
          <w:tcPr>
            <w:tcW w:w="2229" w:type="dxa"/>
            <w:gridSpan w:val="3"/>
            <w:tcBorders>
              <w:lef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zh-CN"/>
              </w:rPr>
              <w:t>E2</w:t>
            </w:r>
          </w:p>
        </w:tc>
        <w:tc>
          <w:tcPr>
            <w:tcW w:w="2040" w:type="dxa"/>
            <w:gridSpan w:val="3"/>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zh-CN"/>
              </w:rPr>
              <w:t xml:space="preserve">  E3</w:t>
            </w:r>
            <w:r>
              <w:rPr>
                <w:rFonts w:hint="default" w:ascii="Times New Roman" w:hAnsi="Times New Roman" w:cs="Times New Roman"/>
                <w:color w:val="auto"/>
                <w:sz w:val="21"/>
                <w:szCs w:val="21"/>
                <w:lang w:eastAsia="en-US"/>
              </w:rPr>
              <w:t>□</w:t>
            </w:r>
            <w:r>
              <w:rPr>
                <w:rFonts w:hint="default" w:ascii="Times New Roman" w:hAnsi="Times New Roman" w:cs="Times New Roman"/>
                <w:color w:val="auto"/>
                <w:sz w:val="21"/>
                <w:szCs w:val="21"/>
                <w:lang w:eastAsia="zh-CN"/>
              </w:rPr>
              <w:t></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636" w:type="dxa"/>
            <w:gridSpan w:val="4"/>
            <w:vMerge w:val="continue"/>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p>
        </w:tc>
        <w:tc>
          <w:tcPr>
            <w:tcW w:w="1041" w:type="dxa"/>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en-US"/>
              </w:rPr>
              <w:t>地表水</w:t>
            </w:r>
          </w:p>
        </w:tc>
        <w:tc>
          <w:tcPr>
            <w:tcW w:w="1784" w:type="dxa"/>
            <w:gridSpan w:val="3"/>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E1</w:t>
            </w:r>
            <w:r>
              <w:rPr>
                <w:rFonts w:hint="default" w:ascii="Times New Roman" w:hAnsi="Times New Roman" w:cs="Times New Roman"/>
                <w:color w:val="auto"/>
                <w:sz w:val="21"/>
                <w:szCs w:val="21"/>
                <w:lang w:eastAsia="en-US"/>
              </w:rPr>
              <w:t>□</w:t>
            </w:r>
          </w:p>
        </w:tc>
        <w:tc>
          <w:tcPr>
            <w:tcW w:w="2229" w:type="dxa"/>
            <w:gridSpan w:val="3"/>
            <w:tcBorders>
              <w:lef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zh-CN"/>
              </w:rPr>
              <w:t>E2</w:t>
            </w:r>
            <w:r>
              <w:rPr>
                <w:rFonts w:hint="default" w:ascii="Times New Roman" w:hAnsi="Times New Roman" w:cs="Times New Roman"/>
                <w:color w:val="auto"/>
                <w:sz w:val="21"/>
                <w:szCs w:val="21"/>
                <w:lang w:eastAsia="en-US"/>
              </w:rPr>
              <w:t>□</w:t>
            </w:r>
          </w:p>
        </w:tc>
        <w:tc>
          <w:tcPr>
            <w:tcW w:w="2040" w:type="dxa"/>
            <w:gridSpan w:val="3"/>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zh-CN"/>
              </w:rPr>
              <w:t>E3</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636" w:type="dxa"/>
            <w:gridSpan w:val="4"/>
            <w:vMerge w:val="continue"/>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p>
        </w:tc>
        <w:tc>
          <w:tcPr>
            <w:tcW w:w="1041" w:type="dxa"/>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en-US"/>
              </w:rPr>
              <w:t>地下水</w:t>
            </w:r>
          </w:p>
        </w:tc>
        <w:tc>
          <w:tcPr>
            <w:tcW w:w="1784" w:type="dxa"/>
            <w:gridSpan w:val="3"/>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E1</w:t>
            </w:r>
            <w:r>
              <w:rPr>
                <w:rFonts w:hint="default" w:ascii="Times New Roman" w:hAnsi="Times New Roman" w:cs="Times New Roman"/>
                <w:color w:val="auto"/>
                <w:sz w:val="21"/>
                <w:szCs w:val="21"/>
                <w:lang w:eastAsia="en-US"/>
              </w:rPr>
              <w:t>□</w:t>
            </w:r>
          </w:p>
        </w:tc>
        <w:tc>
          <w:tcPr>
            <w:tcW w:w="2229" w:type="dxa"/>
            <w:gridSpan w:val="3"/>
            <w:tcBorders>
              <w:lef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zh-CN"/>
              </w:rPr>
              <w:t>E2</w:t>
            </w:r>
            <w:r>
              <w:rPr>
                <w:rFonts w:hint="default" w:ascii="Times New Roman" w:hAnsi="Times New Roman" w:cs="Times New Roman"/>
                <w:color w:val="auto"/>
                <w:sz w:val="21"/>
                <w:szCs w:val="21"/>
                <w:lang w:eastAsia="en-US"/>
              </w:rPr>
              <w:t>□</w:t>
            </w:r>
          </w:p>
        </w:tc>
        <w:tc>
          <w:tcPr>
            <w:tcW w:w="2040" w:type="dxa"/>
            <w:gridSpan w:val="3"/>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zh-CN"/>
              </w:rPr>
              <w:t>E3</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636" w:type="dxa"/>
            <w:gridSpan w:val="4"/>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环境风险潜势</w:t>
            </w:r>
          </w:p>
        </w:tc>
        <w:tc>
          <w:tcPr>
            <w:tcW w:w="1338" w:type="dxa"/>
            <w:gridSpan w:val="2"/>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en-US"/>
              </w:rPr>
              <w:t>Ⅳ</w:t>
            </w:r>
            <w:r>
              <w:rPr>
                <w:rFonts w:hint="default" w:ascii="Times New Roman" w:hAnsi="Times New Roman" w:cs="Times New Roman"/>
                <w:color w:val="auto"/>
                <w:sz w:val="21"/>
                <w:szCs w:val="21"/>
                <w:vertAlign w:val="superscript"/>
                <w:lang w:eastAsia="en-US"/>
              </w:rPr>
              <w:t>+</w:t>
            </w:r>
            <w:r>
              <w:rPr>
                <w:rFonts w:hint="default" w:ascii="Times New Roman" w:hAnsi="Times New Roman" w:cs="Times New Roman"/>
                <w:color w:val="auto"/>
                <w:sz w:val="21"/>
                <w:szCs w:val="21"/>
                <w:lang w:eastAsia="en-US"/>
              </w:rPr>
              <w:t>□</w:t>
            </w:r>
          </w:p>
        </w:tc>
        <w:tc>
          <w:tcPr>
            <w:tcW w:w="1487" w:type="dxa"/>
            <w:gridSpan w:val="2"/>
            <w:tcBorders>
              <w:lef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Ⅳ</w:t>
            </w:r>
            <w:r>
              <w:rPr>
                <w:rFonts w:hint="default" w:ascii="Times New Roman" w:hAnsi="Times New Roman" w:cs="Times New Roman"/>
                <w:color w:val="auto"/>
                <w:sz w:val="21"/>
                <w:szCs w:val="21"/>
                <w:lang w:eastAsia="en-US"/>
              </w:rPr>
              <w:t>□</w:t>
            </w:r>
          </w:p>
        </w:tc>
        <w:tc>
          <w:tcPr>
            <w:tcW w:w="1339" w:type="dxa"/>
            <w:gridSpan w:val="2"/>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Ⅲ</w:t>
            </w:r>
            <w:r>
              <w:rPr>
                <w:rFonts w:hint="default" w:ascii="Times New Roman" w:hAnsi="Times New Roman" w:cs="Times New Roman"/>
                <w:color w:val="auto"/>
                <w:sz w:val="21"/>
                <w:szCs w:val="21"/>
                <w:lang w:eastAsia="en-US"/>
              </w:rPr>
              <w:t>□</w:t>
            </w:r>
          </w:p>
        </w:tc>
        <w:tc>
          <w:tcPr>
            <w:tcW w:w="1636" w:type="dxa"/>
            <w:gridSpan w:val="2"/>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Ⅱ</w:t>
            </w:r>
            <w:r>
              <w:rPr>
                <w:rFonts w:hint="default" w:ascii="Times New Roman" w:hAnsi="Times New Roman" w:cs="Times New Roman"/>
                <w:color w:val="auto"/>
                <w:sz w:val="21"/>
                <w:szCs w:val="21"/>
                <w:lang w:eastAsia="en-US"/>
              </w:rPr>
              <w:sym w:font="Wingdings 2" w:char="0052"/>
            </w:r>
          </w:p>
        </w:tc>
        <w:tc>
          <w:tcPr>
            <w:tcW w:w="1294" w:type="dxa"/>
            <w:gridSpan w:val="2"/>
            <w:tcBorders>
              <w:bottom w:val="single" w:color="auto" w:sz="6" w:space="0"/>
            </w:tcBorders>
            <w:noWrap w:val="0"/>
            <w:vAlign w:val="center"/>
          </w:tcPr>
          <w:p>
            <w:pPr>
              <w:keepNext w:val="0"/>
              <w:keepLines w:val="0"/>
              <w:pageBreakBefore w:val="0"/>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Ⅰ</w:t>
            </w:r>
            <w:r>
              <w:rPr>
                <w:rFonts w:hint="default" w:ascii="Times New Roman" w:hAnsi="Times New Roman" w:cs="Times New Roman"/>
                <w:color w:val="auto"/>
                <w:sz w:val="21"/>
                <w:szCs w:val="21"/>
                <w:lang w:eastAsia="en-US"/>
              </w:rPr>
              <w:t>□</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636" w:type="dxa"/>
            <w:gridSpan w:val="4"/>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评价等级</w:t>
            </w:r>
          </w:p>
        </w:tc>
        <w:tc>
          <w:tcPr>
            <w:tcW w:w="2825" w:type="dxa"/>
            <w:gridSpan w:val="4"/>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一级</w:t>
            </w:r>
            <w:r>
              <w:rPr>
                <w:rFonts w:hint="default" w:ascii="Times New Roman" w:hAnsi="Times New Roman" w:cs="Times New Roman"/>
                <w:color w:val="auto"/>
                <w:sz w:val="21"/>
                <w:szCs w:val="21"/>
                <w:lang w:eastAsia="en-US"/>
              </w:rPr>
              <w:t>□</w:t>
            </w:r>
          </w:p>
        </w:tc>
        <w:tc>
          <w:tcPr>
            <w:tcW w:w="1339" w:type="dxa"/>
            <w:gridSpan w:val="2"/>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二级</w:t>
            </w:r>
            <w:r>
              <w:rPr>
                <w:rFonts w:hint="default" w:ascii="Times New Roman" w:hAnsi="Times New Roman" w:cs="Times New Roman"/>
                <w:color w:val="auto"/>
                <w:sz w:val="21"/>
                <w:szCs w:val="21"/>
                <w:lang w:eastAsia="en-US"/>
              </w:rPr>
              <w:t>□</w:t>
            </w:r>
          </w:p>
        </w:tc>
        <w:tc>
          <w:tcPr>
            <w:tcW w:w="1636" w:type="dxa"/>
            <w:gridSpan w:val="2"/>
            <w:tcBorders>
              <w:lef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三级</w:t>
            </w:r>
            <w:r>
              <w:rPr>
                <w:rFonts w:hint="default" w:ascii="Times New Roman" w:hAnsi="Times New Roman" w:cs="Times New Roman"/>
                <w:color w:val="auto"/>
                <w:sz w:val="21"/>
                <w:szCs w:val="21"/>
                <w:lang w:eastAsia="en-US"/>
              </w:rPr>
              <w:sym w:font="Wingdings 2" w:char="0052"/>
            </w:r>
          </w:p>
        </w:tc>
        <w:tc>
          <w:tcPr>
            <w:tcW w:w="1294" w:type="dxa"/>
            <w:gridSpan w:val="2"/>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简单分析</w:t>
            </w:r>
            <w:r>
              <w:rPr>
                <w:rFonts w:hint="default" w:ascii="Times New Roman" w:hAnsi="Times New Roman" w:cs="Times New Roman"/>
                <w:color w:val="auto"/>
                <w:sz w:val="21"/>
                <w:szCs w:val="21"/>
                <w:lang w:eastAsia="en-US"/>
              </w:rPr>
              <w:t>□</w:t>
            </w:r>
            <w:r>
              <w:rPr>
                <w:rFonts w:hint="default" w:ascii="Times New Roman" w:hAnsi="Times New Roman" w:cs="Times New Roman"/>
                <w:color w:val="auto"/>
                <w:sz w:val="21"/>
                <w:szCs w:val="21"/>
                <w:lang w:eastAsia="zh-CN"/>
              </w:rPr>
              <w:t></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21" w:type="dxa"/>
            <w:gridSpan w:val="2"/>
            <w:vMerge w:val="restart"/>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风险识别</w:t>
            </w:r>
          </w:p>
        </w:tc>
        <w:tc>
          <w:tcPr>
            <w:tcW w:w="1215" w:type="dxa"/>
            <w:gridSpan w:val="2"/>
            <w:tcBorders>
              <w:lef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物质危险性</w:t>
            </w:r>
          </w:p>
        </w:tc>
        <w:tc>
          <w:tcPr>
            <w:tcW w:w="3715" w:type="dxa"/>
            <w:gridSpan w:val="5"/>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有毒有害</w:t>
            </w:r>
          </w:p>
        </w:tc>
        <w:tc>
          <w:tcPr>
            <w:tcW w:w="3379" w:type="dxa"/>
            <w:gridSpan w:val="5"/>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易燃易爆 </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21" w:type="dxa"/>
            <w:gridSpan w:val="2"/>
            <w:vMerge w:val="continue"/>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p>
        </w:tc>
        <w:tc>
          <w:tcPr>
            <w:tcW w:w="1215" w:type="dxa"/>
            <w:gridSpan w:val="2"/>
            <w:tcBorders>
              <w:lef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pacing w:val="-10"/>
                <w:sz w:val="21"/>
                <w:szCs w:val="21"/>
                <w:lang w:eastAsia="zh-CN"/>
              </w:rPr>
            </w:pPr>
            <w:r>
              <w:rPr>
                <w:rFonts w:hint="default" w:ascii="Times New Roman" w:hAnsi="Times New Roman" w:cs="Times New Roman"/>
                <w:color w:val="auto"/>
                <w:spacing w:val="-10"/>
                <w:sz w:val="21"/>
                <w:szCs w:val="21"/>
                <w:lang w:eastAsia="zh-CN"/>
              </w:rPr>
              <w:t>环境风险类型</w:t>
            </w:r>
          </w:p>
        </w:tc>
        <w:tc>
          <w:tcPr>
            <w:tcW w:w="2825" w:type="dxa"/>
            <w:gridSpan w:val="4"/>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泄漏</w:t>
            </w:r>
          </w:p>
        </w:tc>
        <w:tc>
          <w:tcPr>
            <w:tcW w:w="4269" w:type="dxa"/>
            <w:gridSpan w:val="6"/>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火灾、爆炸/次生污染物排放</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421" w:type="dxa"/>
            <w:gridSpan w:val="2"/>
            <w:vMerge w:val="continue"/>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p>
        </w:tc>
        <w:tc>
          <w:tcPr>
            <w:tcW w:w="1215" w:type="dxa"/>
            <w:gridSpan w:val="2"/>
            <w:tcBorders>
              <w:lef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环境途径</w:t>
            </w:r>
          </w:p>
        </w:tc>
        <w:tc>
          <w:tcPr>
            <w:tcW w:w="2825" w:type="dxa"/>
            <w:gridSpan w:val="4"/>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大气 </w:t>
            </w:r>
          </w:p>
        </w:tc>
        <w:tc>
          <w:tcPr>
            <w:tcW w:w="2229" w:type="dxa"/>
            <w:gridSpan w:val="3"/>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地表水</w:t>
            </w:r>
          </w:p>
        </w:tc>
        <w:tc>
          <w:tcPr>
            <w:tcW w:w="2040" w:type="dxa"/>
            <w:gridSpan w:val="3"/>
            <w:tcBorders>
              <w:lef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地下水</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636" w:type="dxa"/>
            <w:gridSpan w:val="4"/>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事故情形分析</w:t>
            </w:r>
          </w:p>
        </w:tc>
        <w:tc>
          <w:tcPr>
            <w:tcW w:w="1338" w:type="dxa"/>
            <w:gridSpan w:val="2"/>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en-US"/>
              </w:rPr>
              <w:t>源强设定方法</w:t>
            </w:r>
          </w:p>
        </w:tc>
        <w:tc>
          <w:tcPr>
            <w:tcW w:w="1487" w:type="dxa"/>
            <w:gridSpan w:val="2"/>
            <w:tcBorders>
              <w:lef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计算法</w:t>
            </w:r>
            <w:r>
              <w:rPr>
                <w:rFonts w:hint="default" w:ascii="Times New Roman" w:hAnsi="Times New Roman" w:cs="Times New Roman"/>
                <w:color w:val="auto"/>
                <w:sz w:val="21"/>
                <w:szCs w:val="21"/>
                <w:lang w:eastAsia="en-US"/>
              </w:rPr>
              <w:t>□</w:t>
            </w:r>
          </w:p>
        </w:tc>
        <w:tc>
          <w:tcPr>
            <w:tcW w:w="2229" w:type="dxa"/>
            <w:gridSpan w:val="3"/>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经验估算法</w:t>
            </w:r>
            <w:r>
              <w:rPr>
                <w:rFonts w:hint="default" w:ascii="Times New Roman" w:hAnsi="Times New Roman" w:cs="Times New Roman"/>
                <w:color w:val="auto"/>
                <w:sz w:val="21"/>
                <w:szCs w:val="21"/>
                <w:lang w:eastAsia="en-US"/>
              </w:rPr>
              <w:t>□</w:t>
            </w:r>
          </w:p>
        </w:tc>
        <w:tc>
          <w:tcPr>
            <w:tcW w:w="2040" w:type="dxa"/>
            <w:gridSpan w:val="3"/>
            <w:tcBorders>
              <w:lef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其他估算法</w:t>
            </w:r>
            <w:r>
              <w:rPr>
                <w:rFonts w:hint="default" w:ascii="Times New Roman" w:hAnsi="Times New Roman" w:cs="Times New Roman"/>
                <w:color w:val="auto"/>
                <w:sz w:val="21"/>
                <w:szCs w:val="21"/>
                <w:lang w:eastAsia="en-US"/>
              </w:rPr>
              <w:sym w:font="Wingdings 2" w:char="0052"/>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395" w:type="dxa"/>
            <w:vMerge w:val="restart"/>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风险预测与评价</w:t>
            </w:r>
          </w:p>
        </w:tc>
        <w:tc>
          <w:tcPr>
            <w:tcW w:w="1241" w:type="dxa"/>
            <w:gridSpan w:val="3"/>
            <w:vMerge w:val="restart"/>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en-US"/>
              </w:rPr>
              <w:t>大气</w:t>
            </w:r>
          </w:p>
        </w:tc>
        <w:tc>
          <w:tcPr>
            <w:tcW w:w="1338" w:type="dxa"/>
            <w:gridSpan w:val="2"/>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en-US"/>
              </w:rPr>
              <w:t>预测模型</w:t>
            </w:r>
          </w:p>
        </w:tc>
        <w:tc>
          <w:tcPr>
            <w:tcW w:w="1487" w:type="dxa"/>
            <w:gridSpan w:val="2"/>
            <w:tcBorders>
              <w:lef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SLAB</w:t>
            </w:r>
            <w:r>
              <w:rPr>
                <w:rFonts w:hint="default" w:ascii="Times New Roman" w:hAnsi="Times New Roman" w:cs="Times New Roman"/>
                <w:color w:val="auto"/>
                <w:sz w:val="21"/>
                <w:szCs w:val="21"/>
                <w:lang w:eastAsia="en-US"/>
              </w:rPr>
              <w:t>□</w:t>
            </w:r>
          </w:p>
        </w:tc>
        <w:tc>
          <w:tcPr>
            <w:tcW w:w="2229" w:type="dxa"/>
            <w:gridSpan w:val="3"/>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AFTOX</w:t>
            </w:r>
            <w:r>
              <w:rPr>
                <w:rFonts w:hint="default" w:ascii="Times New Roman" w:hAnsi="Times New Roman" w:cs="Times New Roman"/>
                <w:color w:val="auto"/>
                <w:sz w:val="21"/>
                <w:szCs w:val="21"/>
                <w:lang w:eastAsia="en-US"/>
              </w:rPr>
              <w:t>□</w:t>
            </w:r>
            <w:r>
              <w:rPr>
                <w:rFonts w:hint="default" w:ascii="Times New Roman" w:hAnsi="Times New Roman" w:cs="Times New Roman"/>
                <w:color w:val="auto"/>
                <w:sz w:val="21"/>
                <w:szCs w:val="21"/>
                <w:lang w:val="en-US" w:eastAsia="en-US"/>
              </w:rPr>
              <w:t></w:t>
            </w:r>
          </w:p>
        </w:tc>
        <w:tc>
          <w:tcPr>
            <w:tcW w:w="2040" w:type="dxa"/>
            <w:gridSpan w:val="3"/>
            <w:tcBorders>
              <w:lef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其他</w:t>
            </w:r>
            <w:r>
              <w:rPr>
                <w:rFonts w:hint="default" w:ascii="Times New Roman" w:hAnsi="Times New Roman" w:cs="Times New Roman"/>
                <w:color w:val="auto"/>
                <w:sz w:val="21"/>
                <w:szCs w:val="21"/>
                <w:lang w:eastAsia="en-US"/>
              </w:rPr>
              <w:t>□</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395" w:type="dxa"/>
            <w:vMerge w:val="continue"/>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p>
        </w:tc>
        <w:tc>
          <w:tcPr>
            <w:tcW w:w="1241" w:type="dxa"/>
            <w:gridSpan w:val="3"/>
            <w:vMerge w:val="continue"/>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p>
        </w:tc>
        <w:tc>
          <w:tcPr>
            <w:tcW w:w="1338" w:type="dxa"/>
            <w:gridSpan w:val="2"/>
            <w:vMerge w:val="restart"/>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en-US"/>
              </w:rPr>
              <w:t>预测结果</w:t>
            </w:r>
          </w:p>
        </w:tc>
        <w:tc>
          <w:tcPr>
            <w:tcW w:w="5756" w:type="dxa"/>
            <w:gridSpan w:val="8"/>
            <w:tcBorders>
              <w:lef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大气毒性终点浓度-1  最大影响范围</w:t>
            </w:r>
            <w:r>
              <w:rPr>
                <w:rFonts w:hint="default" w:ascii="Times New Roman" w:hAnsi="Times New Roman" w:cs="Times New Roman"/>
                <w:color w:val="auto"/>
                <w:sz w:val="21"/>
                <w:szCs w:val="21"/>
                <w:u w:val="single"/>
                <w:lang w:val="en-US" w:eastAsia="zh-CN"/>
              </w:rPr>
              <w:t xml:space="preserve"> </w:t>
            </w:r>
            <w:r>
              <w:rPr>
                <w:rFonts w:hint="default" w:ascii="Times New Roman" w:hAnsi="Times New Roman" w:cs="Times New Roman"/>
                <w:color w:val="auto"/>
                <w:sz w:val="21"/>
                <w:szCs w:val="21"/>
                <w:lang w:val="en-US" w:eastAsia="zh-CN"/>
              </w:rPr>
              <w:t>m</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395" w:type="dxa"/>
            <w:vMerge w:val="continue"/>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p>
        </w:tc>
        <w:tc>
          <w:tcPr>
            <w:tcW w:w="1241" w:type="dxa"/>
            <w:gridSpan w:val="3"/>
            <w:vMerge w:val="continue"/>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p>
        </w:tc>
        <w:tc>
          <w:tcPr>
            <w:tcW w:w="1338" w:type="dxa"/>
            <w:gridSpan w:val="2"/>
            <w:vMerge w:val="continue"/>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p>
        </w:tc>
        <w:tc>
          <w:tcPr>
            <w:tcW w:w="5756" w:type="dxa"/>
            <w:gridSpan w:val="8"/>
            <w:tcBorders>
              <w:lef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大气毒性终点浓度-2  最大影响范围</w:t>
            </w:r>
            <w:r>
              <w:rPr>
                <w:rFonts w:hint="default" w:ascii="Times New Roman" w:hAnsi="Times New Roman" w:cs="Times New Roman"/>
                <w:color w:val="auto"/>
                <w:sz w:val="21"/>
                <w:szCs w:val="21"/>
                <w:u w:val="single"/>
                <w:lang w:val="en-US" w:eastAsia="zh-CN"/>
              </w:rPr>
              <w:t xml:space="preserve"> </w:t>
            </w:r>
            <w:r>
              <w:rPr>
                <w:rFonts w:hint="default" w:ascii="Times New Roman" w:hAnsi="Times New Roman" w:cs="Times New Roman"/>
                <w:color w:val="auto"/>
                <w:sz w:val="21"/>
                <w:szCs w:val="21"/>
                <w:lang w:val="en-US" w:eastAsia="zh-CN"/>
              </w:rPr>
              <w:t>m</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395" w:type="dxa"/>
            <w:vMerge w:val="continue"/>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p>
        </w:tc>
        <w:tc>
          <w:tcPr>
            <w:tcW w:w="1241" w:type="dxa"/>
            <w:gridSpan w:val="3"/>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en-US"/>
              </w:rPr>
              <w:t>地表水</w:t>
            </w:r>
          </w:p>
        </w:tc>
        <w:tc>
          <w:tcPr>
            <w:tcW w:w="7094" w:type="dxa"/>
            <w:gridSpan w:val="10"/>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最近环境敏感目标</w:t>
            </w:r>
            <w:r>
              <w:rPr>
                <w:rFonts w:hint="default" w:ascii="Times New Roman" w:hAnsi="Times New Roman" w:cs="Times New Roman"/>
                <w:color w:val="auto"/>
                <w:sz w:val="21"/>
                <w:szCs w:val="21"/>
                <w:u w:val="single"/>
                <w:lang w:eastAsia="zh-CN"/>
              </w:rPr>
              <w:t xml:space="preserve">  </w:t>
            </w:r>
            <w:r>
              <w:rPr>
                <w:rFonts w:hint="default" w:ascii="Times New Roman" w:hAnsi="Times New Roman" w:cs="Times New Roman"/>
                <w:color w:val="auto"/>
                <w:sz w:val="21"/>
                <w:szCs w:val="21"/>
                <w:lang w:eastAsia="zh-CN"/>
              </w:rPr>
              <w:t>，到达时间</w:t>
            </w:r>
            <w:r>
              <w:rPr>
                <w:rFonts w:hint="default" w:ascii="Times New Roman" w:hAnsi="Times New Roman" w:cs="Times New Roman"/>
                <w:color w:val="auto"/>
                <w:sz w:val="21"/>
                <w:szCs w:val="21"/>
                <w:u w:val="single"/>
                <w:lang w:eastAsia="zh-CN"/>
              </w:rPr>
              <w:t xml:space="preserve">  </w:t>
            </w:r>
            <w:r>
              <w:rPr>
                <w:rFonts w:hint="default" w:ascii="Times New Roman" w:hAnsi="Times New Roman" w:cs="Times New Roman"/>
                <w:color w:val="auto"/>
                <w:sz w:val="21"/>
                <w:szCs w:val="21"/>
                <w:lang w:eastAsia="zh-CN"/>
              </w:rPr>
              <w:t xml:space="preserve">h  </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395" w:type="dxa"/>
            <w:vMerge w:val="continue"/>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p>
        </w:tc>
        <w:tc>
          <w:tcPr>
            <w:tcW w:w="1241" w:type="dxa"/>
            <w:gridSpan w:val="3"/>
            <w:vMerge w:val="restart"/>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en-US"/>
              </w:rPr>
            </w:pPr>
            <w:r>
              <w:rPr>
                <w:rFonts w:hint="default" w:ascii="Times New Roman" w:hAnsi="Times New Roman" w:cs="Times New Roman"/>
                <w:color w:val="auto"/>
                <w:sz w:val="21"/>
                <w:szCs w:val="21"/>
                <w:lang w:eastAsia="en-US"/>
              </w:rPr>
              <w:t>地下水</w:t>
            </w:r>
          </w:p>
        </w:tc>
        <w:tc>
          <w:tcPr>
            <w:tcW w:w="7094" w:type="dxa"/>
            <w:gridSpan w:val="10"/>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下游厂区厂界到达时间</w:t>
            </w:r>
            <w:r>
              <w:rPr>
                <w:rFonts w:hint="default" w:ascii="Times New Roman" w:hAnsi="Times New Roman" w:cs="Times New Roman"/>
                <w:color w:val="auto"/>
                <w:sz w:val="21"/>
                <w:szCs w:val="21"/>
                <w:u w:val="single"/>
                <w:lang w:eastAsia="zh-CN"/>
              </w:rPr>
              <w:t xml:space="preserve">  </w:t>
            </w:r>
            <w:r>
              <w:rPr>
                <w:rFonts w:hint="default" w:ascii="Times New Roman" w:hAnsi="Times New Roman" w:cs="Times New Roman"/>
                <w:color w:val="auto"/>
                <w:sz w:val="21"/>
                <w:szCs w:val="21"/>
                <w:lang w:eastAsia="zh-CN"/>
              </w:rPr>
              <w:t>d</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395" w:type="dxa"/>
            <w:vMerge w:val="continue"/>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p>
        </w:tc>
        <w:tc>
          <w:tcPr>
            <w:tcW w:w="1241" w:type="dxa"/>
            <w:gridSpan w:val="3"/>
            <w:vMerge w:val="continue"/>
            <w:tcBorders>
              <w:right w:val="single" w:color="auto" w:sz="4" w:space="0"/>
            </w:tcBorders>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p>
        </w:tc>
        <w:tc>
          <w:tcPr>
            <w:tcW w:w="7094" w:type="dxa"/>
            <w:gridSpan w:val="10"/>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最近环境敏感目标</w:t>
            </w:r>
            <w:r>
              <w:rPr>
                <w:rFonts w:hint="default" w:ascii="Times New Roman" w:hAnsi="Times New Roman" w:cs="Times New Roman"/>
                <w:color w:val="auto"/>
                <w:sz w:val="21"/>
                <w:szCs w:val="21"/>
                <w:u w:val="single"/>
                <w:lang w:val="en-US" w:eastAsia="zh-CN"/>
              </w:rPr>
              <w:t xml:space="preserve">  </w:t>
            </w:r>
            <w:r>
              <w:rPr>
                <w:rFonts w:hint="default" w:ascii="Times New Roman" w:hAnsi="Times New Roman" w:cs="Times New Roman"/>
                <w:color w:val="auto"/>
                <w:sz w:val="21"/>
                <w:szCs w:val="21"/>
                <w:lang w:val="en-US" w:eastAsia="zh-CN"/>
              </w:rPr>
              <w:t>，到达时间</w:t>
            </w:r>
            <w:r>
              <w:rPr>
                <w:rFonts w:hint="default" w:ascii="Times New Roman" w:hAnsi="Times New Roman" w:cs="Times New Roman"/>
                <w:color w:val="auto"/>
                <w:sz w:val="21"/>
                <w:szCs w:val="21"/>
                <w:u w:val="single"/>
                <w:lang w:val="en-US" w:eastAsia="zh-CN"/>
              </w:rPr>
              <w:t xml:space="preserve">  </w:t>
            </w:r>
            <w:r>
              <w:rPr>
                <w:rFonts w:hint="default" w:ascii="Times New Roman" w:hAnsi="Times New Roman" w:cs="Times New Roman"/>
                <w:color w:val="auto"/>
                <w:sz w:val="21"/>
                <w:szCs w:val="21"/>
                <w:lang w:val="en-US" w:eastAsia="zh-CN"/>
              </w:rPr>
              <w:t xml:space="preserve">d  </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636" w:type="dxa"/>
            <w:gridSpan w:val="4"/>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重点防范措施</w:t>
            </w:r>
          </w:p>
        </w:tc>
        <w:tc>
          <w:tcPr>
            <w:tcW w:w="7094" w:type="dxa"/>
            <w:gridSpan w:val="10"/>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安放消防器材，设置阻火器，张贴禁止明火标志，编制应急预案</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1636" w:type="dxa"/>
            <w:gridSpan w:val="4"/>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评价结论与建议</w:t>
            </w:r>
          </w:p>
        </w:tc>
        <w:tc>
          <w:tcPr>
            <w:tcW w:w="7094" w:type="dxa"/>
            <w:gridSpan w:val="10"/>
            <w:noWrap w:val="0"/>
            <w:vAlign w:val="center"/>
          </w:tcPr>
          <w:p>
            <w:pPr>
              <w:keepNext w:val="0"/>
              <w:keepLines w:val="0"/>
              <w:pageBreakBefore w:val="0"/>
              <w:widowControl/>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w:t>
            </w:r>
            <w:r>
              <w:rPr>
                <w:rFonts w:hint="default" w:ascii="Times New Roman" w:hAnsi="Times New Roman" w:cs="Times New Roman"/>
                <w:color w:val="auto"/>
                <w:spacing w:val="-4"/>
                <w:kern w:val="0"/>
                <w:sz w:val="21"/>
                <w:szCs w:val="21"/>
              </w:rPr>
              <w:t>项目环境风险主要表现在沼气发生泄漏引起大气污染、火灾、爆炸事故引发的大气污染。收集池废水泄漏，对地表水及地下水产生的影响。</w:t>
            </w:r>
          </w:p>
          <w:p>
            <w:pPr>
              <w:keepNext w:val="0"/>
              <w:keepLines w:val="0"/>
              <w:pageBreakBefore w:val="0"/>
              <w:widowControl/>
              <w:kinsoku/>
              <w:wordWrap/>
              <w:overflowPunct/>
              <w:topLinePunct w:val="0"/>
              <w:bidi w:val="0"/>
              <w:adjustRightInd w:val="0"/>
              <w:snapToGrid w:val="0"/>
              <w:spacing w:line="240" w:lineRule="auto"/>
              <w:ind w:firstLine="0" w:firstLineChars="0"/>
              <w:jc w:val="left"/>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通过分析可知，在严格落实本环评提出的各项风险防范措施和事故应急预案后，该项目发生风险事故的可能进一步降低，其潜在的环境风险是可以接受的。</w:t>
            </w:r>
          </w:p>
        </w:tc>
      </w:tr>
      <w:tr>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8730" w:type="dxa"/>
            <w:gridSpan w:val="14"/>
            <w:noWrap w:val="0"/>
            <w:vAlign w:val="center"/>
          </w:tcPr>
          <w:p>
            <w:pPr>
              <w:pStyle w:val="56"/>
              <w:keepNext w:val="0"/>
              <w:keepLines w:val="0"/>
              <w:pageBreakBefore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注：“□”，填“√”；“（</w:t>
            </w:r>
            <w:r>
              <w:rPr>
                <w:rFonts w:hint="default" w:ascii="Times New Roman" w:hAnsi="Times New Roman" w:cs="Times New Roman"/>
                <w:color w:val="auto"/>
                <w:sz w:val="21"/>
                <w:szCs w:val="21"/>
                <w:lang w:eastAsia="zh-CN"/>
              </w:rPr>
              <w:tab/>
            </w:r>
            <w:r>
              <w:rPr>
                <w:rFonts w:hint="default" w:ascii="Times New Roman" w:hAnsi="Times New Roman" w:cs="Times New Roman"/>
                <w:color w:val="auto"/>
                <w:sz w:val="21"/>
                <w:szCs w:val="21"/>
                <w:lang w:eastAsia="zh-CN"/>
              </w:rPr>
              <w:t>）”为内容填写项</w:t>
            </w:r>
          </w:p>
        </w:tc>
      </w:tr>
    </w:tbl>
    <w:p>
      <w:pPr>
        <w:pStyle w:val="5"/>
        <w:rPr>
          <w:rFonts w:hint="default" w:ascii="Times New Roman" w:hAnsi="Times New Roman" w:cs="Times New Roman"/>
          <w:color w:val="auto"/>
        </w:rPr>
      </w:pPr>
    </w:p>
    <w:p>
      <w:pPr>
        <w:ind w:firstLine="480"/>
        <w:rPr>
          <w:rFonts w:hint="default" w:ascii="Times New Roman" w:hAnsi="Times New Roman" w:cs="Times New Roman"/>
          <w:color w:val="auto"/>
        </w:rPr>
        <w:sectPr>
          <w:headerReference r:id="rId19" w:type="default"/>
          <w:pgSz w:w="11906" w:h="16838"/>
          <w:pgMar w:top="1701" w:right="1588" w:bottom="1985" w:left="1588" w:header="1134"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cs="Times New Roman"/>
          <w:color w:val="auto"/>
        </w:rPr>
        <w:br w:type="page"/>
      </w:r>
      <w:bookmarkStart w:id="570" w:name="_Toc295121209"/>
      <w:bookmarkStart w:id="571" w:name="_Toc295121178"/>
      <w:bookmarkStart w:id="572" w:name="_Toc476923206"/>
      <w:bookmarkStart w:id="573" w:name="_Toc476921990"/>
      <w:bookmarkStart w:id="574" w:name="_Toc477187507"/>
      <w:bookmarkStart w:id="575" w:name="_Toc477357375"/>
      <w:bookmarkStart w:id="576" w:name="_Toc366760295"/>
      <w:bookmarkStart w:id="577" w:name="_Toc485580428"/>
    </w:p>
    <w:p>
      <w:pPr>
        <w:pStyle w:val="24"/>
        <w:ind w:left="480" w:firstLine="480"/>
        <w:rPr>
          <w:rFonts w:hint="default" w:ascii="Times New Roman" w:hAnsi="Times New Roman" w:cs="Times New Roman"/>
          <w:color w:val="auto"/>
        </w:rPr>
      </w:pPr>
    </w:p>
    <w:p>
      <w:pPr>
        <w:pStyle w:val="3"/>
        <w:spacing w:line="360" w:lineRule="auto"/>
        <w:ind w:firstLine="0" w:firstLineChars="0"/>
        <w:rPr>
          <w:rFonts w:hint="default" w:ascii="Times New Roman" w:hAnsi="Times New Roman" w:cs="Times New Roman"/>
          <w:color w:val="auto"/>
          <w:sz w:val="44"/>
        </w:rPr>
      </w:pPr>
      <w:bookmarkStart w:id="578" w:name="_Toc3876"/>
      <w:bookmarkStart w:id="579" w:name="_Toc29408"/>
      <w:r>
        <w:rPr>
          <w:rFonts w:hint="default" w:ascii="Times New Roman" w:hAnsi="Times New Roman" w:cs="Times New Roman"/>
          <w:color w:val="auto"/>
        </w:rPr>
        <w:t xml:space="preserve">第六章  </w:t>
      </w:r>
      <w:bookmarkEnd w:id="570"/>
      <w:bookmarkEnd w:id="571"/>
      <w:r>
        <w:rPr>
          <w:rFonts w:hint="default" w:ascii="Times New Roman" w:hAnsi="Times New Roman" w:cs="Times New Roman"/>
          <w:color w:val="auto"/>
          <w:szCs w:val="28"/>
        </w:rPr>
        <w:t>防污减污措施评价</w:t>
      </w:r>
      <w:bookmarkEnd w:id="572"/>
      <w:bookmarkEnd w:id="573"/>
      <w:bookmarkEnd w:id="574"/>
      <w:bookmarkEnd w:id="575"/>
      <w:bookmarkEnd w:id="576"/>
      <w:bookmarkEnd w:id="577"/>
      <w:bookmarkEnd w:id="578"/>
      <w:bookmarkEnd w:id="579"/>
    </w:p>
    <w:p>
      <w:pPr>
        <w:pStyle w:val="4"/>
        <w:spacing w:before="0"/>
        <w:ind w:firstLine="0" w:firstLineChars="0"/>
        <w:rPr>
          <w:rFonts w:hint="default" w:ascii="Times New Roman" w:hAnsi="Times New Roman" w:cs="Times New Roman"/>
          <w:color w:val="auto"/>
          <w:sz w:val="28"/>
          <w:szCs w:val="20"/>
        </w:rPr>
      </w:pPr>
      <w:bookmarkStart w:id="580" w:name="_Toc476921991"/>
      <w:bookmarkStart w:id="581" w:name="_Toc477357376"/>
      <w:bookmarkStart w:id="582" w:name="_Toc477187508"/>
      <w:bookmarkStart w:id="583" w:name="_Toc476923207"/>
      <w:bookmarkStart w:id="584" w:name="_Toc3692"/>
      <w:bookmarkStart w:id="585" w:name="_Toc485580429"/>
      <w:bookmarkStart w:id="586" w:name="_Toc14268"/>
      <w:bookmarkStart w:id="587" w:name="_Toc295121179"/>
      <w:bookmarkStart w:id="588" w:name="_Toc366760296"/>
      <w:bookmarkStart w:id="589" w:name="_Toc295121210"/>
      <w:r>
        <w:rPr>
          <w:rFonts w:hint="default" w:ascii="Times New Roman" w:hAnsi="Times New Roman" w:cs="Times New Roman"/>
          <w:color w:val="auto"/>
          <w:sz w:val="28"/>
          <w:szCs w:val="20"/>
        </w:rPr>
        <w:t xml:space="preserve">6.1  </w:t>
      </w:r>
      <w:bookmarkEnd w:id="580"/>
      <w:bookmarkEnd w:id="581"/>
      <w:bookmarkEnd w:id="582"/>
      <w:bookmarkEnd w:id="583"/>
      <w:r>
        <w:rPr>
          <w:rFonts w:hint="default" w:ascii="Times New Roman" w:hAnsi="Times New Roman" w:cs="Times New Roman"/>
          <w:color w:val="auto"/>
          <w:sz w:val="28"/>
          <w:szCs w:val="20"/>
        </w:rPr>
        <w:t>施工期污染防治措施</w:t>
      </w:r>
      <w:bookmarkEnd w:id="584"/>
      <w:bookmarkEnd w:id="585"/>
      <w:bookmarkEnd w:id="586"/>
    </w:p>
    <w:p>
      <w:pPr>
        <w:ind w:firstLine="480"/>
        <w:rPr>
          <w:rFonts w:hint="default" w:ascii="Times New Roman" w:hAnsi="Times New Roman" w:cs="Times New Roman"/>
          <w:color w:val="auto"/>
        </w:rPr>
      </w:pPr>
      <w:r>
        <w:rPr>
          <w:rFonts w:hint="default" w:ascii="Times New Roman" w:hAnsi="Times New Roman" w:cs="Times New Roman"/>
          <w:color w:val="auto"/>
        </w:rPr>
        <w:t>评价针对项目施工期可能对环境造成的影响，以保护项目区的环境、最大限度地减少项目建设对环境造成的不利影响为目的，对施工期环境影响因素进行简要分析并提出具体的防范措施。</w:t>
      </w:r>
    </w:p>
    <w:p>
      <w:pPr>
        <w:pStyle w:val="5"/>
        <w:rPr>
          <w:rFonts w:hint="default" w:ascii="Times New Roman" w:hAnsi="Times New Roman" w:cs="Times New Roman"/>
          <w:color w:val="auto"/>
        </w:rPr>
      </w:pPr>
      <w:r>
        <w:rPr>
          <w:rFonts w:hint="default" w:ascii="Times New Roman" w:hAnsi="Times New Roman" w:cs="Times New Roman"/>
          <w:color w:val="auto"/>
        </w:rPr>
        <w:t>6.1.1施工期水环境影响及保护措施</w:t>
      </w:r>
    </w:p>
    <w:p>
      <w:pPr>
        <w:ind w:firstLine="480"/>
        <w:rPr>
          <w:rFonts w:hint="default" w:ascii="Times New Roman" w:hAnsi="Times New Roman" w:cs="Times New Roman"/>
          <w:color w:val="auto"/>
        </w:rPr>
      </w:pPr>
      <w:r>
        <w:rPr>
          <w:rFonts w:hint="default" w:ascii="Times New Roman" w:hAnsi="Times New Roman" w:cs="Times New Roman"/>
          <w:color w:val="auto"/>
        </w:rPr>
        <w:t>项目对水环境的污染主要包括施工期生产废水、施工人员生活污水，评价针对环境特点提出项目施工期水环境保护措施，详见表6.1-1。</w:t>
      </w:r>
    </w:p>
    <w:p>
      <w:pPr>
        <w:spacing w:afterLines="30"/>
        <w:ind w:firstLine="442"/>
        <w:jc w:val="center"/>
        <w:rPr>
          <w:rFonts w:hint="default" w:ascii="Times New Roman" w:hAnsi="Times New Roman" w:cs="Times New Roman"/>
          <w:b/>
          <w:color w:val="auto"/>
          <w:sz w:val="22"/>
          <w:szCs w:val="22"/>
        </w:rPr>
      </w:pPr>
      <w:r>
        <w:rPr>
          <w:rFonts w:hint="default" w:ascii="Times New Roman" w:hAnsi="Times New Roman" w:cs="Times New Roman"/>
          <w:b/>
          <w:color w:val="auto"/>
          <w:sz w:val="22"/>
          <w:szCs w:val="22"/>
        </w:rPr>
        <w:t>表6.1-1                 施工期水环境保护措施一览表</w:t>
      </w:r>
    </w:p>
    <w:tbl>
      <w:tblPr>
        <w:tblStyle w:val="25"/>
        <w:tblW w:w="8900" w:type="dxa"/>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24"/>
        <w:gridCol w:w="2316"/>
        <w:gridCol w:w="3418"/>
        <w:gridCol w:w="2442"/>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724"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2316"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主要环境影响</w:t>
            </w:r>
          </w:p>
        </w:tc>
        <w:tc>
          <w:tcPr>
            <w:tcW w:w="3418"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环保措施</w:t>
            </w:r>
          </w:p>
        </w:tc>
        <w:tc>
          <w:tcPr>
            <w:tcW w:w="2442"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效 益</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724"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316"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施工排水可能对水环境产生影响，造成水土流失</w:t>
            </w:r>
          </w:p>
        </w:tc>
        <w:tc>
          <w:tcPr>
            <w:tcW w:w="3418"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施工用水尽量做到节约用水，重复利用，可用于拌和水泥，简单沉淀后用于洒水抑尘，严禁排入地表水体</w:t>
            </w:r>
          </w:p>
        </w:tc>
        <w:tc>
          <w:tcPr>
            <w:tcW w:w="2442"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节约用水，减少水土流失，减轻或避免生活污水、粪便对环境污染影响</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724"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316"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生活污水、粪便随便排放对环境污染影响</w:t>
            </w:r>
          </w:p>
        </w:tc>
        <w:tc>
          <w:tcPr>
            <w:tcW w:w="3418"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施工期修建化粪池，施工期生活污水及粪便经化粪池处理后定期由附近农民拉走堆肥</w:t>
            </w:r>
          </w:p>
        </w:tc>
        <w:tc>
          <w:tcPr>
            <w:tcW w:w="2442"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保护施工人员居住处的环境卫生</w:t>
            </w:r>
          </w:p>
        </w:tc>
      </w:tr>
    </w:tbl>
    <w:p>
      <w:pPr>
        <w:pStyle w:val="5"/>
        <w:rPr>
          <w:rFonts w:hint="default" w:ascii="Times New Roman" w:hAnsi="Times New Roman" w:cs="Times New Roman"/>
          <w:color w:val="auto"/>
          <w:lang w:val="en-US"/>
        </w:rPr>
      </w:pPr>
      <w:r>
        <w:rPr>
          <w:rFonts w:hint="default" w:ascii="Times New Roman" w:hAnsi="Times New Roman" w:cs="Times New Roman"/>
          <w:color w:val="auto"/>
          <w:lang w:val="en-US"/>
        </w:rPr>
        <w:t>6.1.2施工期环境空气保护措施分析</w:t>
      </w:r>
    </w:p>
    <w:p>
      <w:pPr>
        <w:ind w:firstLine="480"/>
        <w:rPr>
          <w:rFonts w:hint="default" w:ascii="Times New Roman" w:hAnsi="Times New Roman" w:cs="Times New Roman"/>
          <w:color w:val="auto"/>
        </w:rPr>
      </w:pPr>
      <w:r>
        <w:rPr>
          <w:rFonts w:hint="default" w:ascii="Times New Roman" w:hAnsi="Times New Roman" w:cs="Times New Roman"/>
          <w:color w:val="auto"/>
        </w:rPr>
        <w:t>施工期对环境空气的污染主要包括扬尘及施工车辆尾气排放，评价针对各种污染物排放特点及性质提出施工期环境空气污染防治措施，详见表6.1-2。</w:t>
      </w:r>
    </w:p>
    <w:p>
      <w:pPr>
        <w:spacing w:afterLines="30" w:line="500" w:lineRule="exact"/>
        <w:ind w:firstLine="482"/>
        <w:jc w:val="center"/>
        <w:rPr>
          <w:rFonts w:hint="default" w:ascii="Times New Roman" w:hAnsi="Times New Roman" w:cs="Times New Roman"/>
          <w:b/>
          <w:color w:val="auto"/>
        </w:rPr>
      </w:pPr>
      <w:r>
        <w:rPr>
          <w:rFonts w:hint="default" w:ascii="Times New Roman" w:hAnsi="Times New Roman" w:cs="Times New Roman"/>
          <w:b/>
          <w:color w:val="auto"/>
        </w:rPr>
        <w:t>表6.1-2                  施工期环境空气保护措施一览表</w:t>
      </w:r>
    </w:p>
    <w:tbl>
      <w:tblPr>
        <w:tblStyle w:val="25"/>
        <w:tblW w:w="8844" w:type="dxa"/>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50"/>
        <w:gridCol w:w="2130"/>
        <w:gridCol w:w="3122"/>
        <w:gridCol w:w="2842"/>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750" w:type="dxa"/>
            <w:tcMar>
              <w:top w:w="57" w:type="dxa"/>
              <w:left w:w="57" w:type="dxa"/>
              <w:bottom w:w="57"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2130" w:type="dxa"/>
            <w:tcMar>
              <w:top w:w="57" w:type="dxa"/>
              <w:left w:w="57" w:type="dxa"/>
              <w:bottom w:w="57"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主要环境影响</w:t>
            </w:r>
          </w:p>
        </w:tc>
        <w:tc>
          <w:tcPr>
            <w:tcW w:w="3122" w:type="dxa"/>
            <w:tcMar>
              <w:top w:w="57" w:type="dxa"/>
              <w:left w:w="57" w:type="dxa"/>
              <w:bottom w:w="57"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环保措施</w:t>
            </w:r>
          </w:p>
        </w:tc>
        <w:tc>
          <w:tcPr>
            <w:tcW w:w="2842" w:type="dxa"/>
            <w:tcMar>
              <w:top w:w="57" w:type="dxa"/>
              <w:left w:w="57" w:type="dxa"/>
              <w:bottom w:w="57"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效 益</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0" w:type="dxa"/>
            <w:tcMar>
              <w:top w:w="57" w:type="dxa"/>
              <w:left w:w="57" w:type="dxa"/>
              <w:bottom w:w="57"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130" w:type="dxa"/>
            <w:tcMar>
              <w:top w:w="57" w:type="dxa"/>
              <w:left w:w="57" w:type="dxa"/>
              <w:bottom w:w="57"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运输汽车运行产生道路扬尘污染</w:t>
            </w:r>
          </w:p>
        </w:tc>
        <w:tc>
          <w:tcPr>
            <w:tcW w:w="3122" w:type="dxa"/>
            <w:tcMar>
              <w:top w:w="57" w:type="dxa"/>
              <w:left w:w="57" w:type="dxa"/>
              <w:bottom w:w="57"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运输路线应定期洒水</w:t>
            </w:r>
          </w:p>
        </w:tc>
        <w:tc>
          <w:tcPr>
            <w:tcW w:w="2842" w:type="dxa"/>
            <w:tcMar>
              <w:top w:w="57" w:type="dxa"/>
              <w:left w:w="57" w:type="dxa"/>
              <w:bottom w:w="57" w:type="dxa"/>
              <w:right w:w="57" w:type="dxa"/>
            </w:tcMar>
            <w:vAlign w:val="center"/>
          </w:tcPr>
          <w:p>
            <w:pPr>
              <w:pStyle w:val="12"/>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减少道路扬尘对施工场区内人员、施工区周围厂房以及运输道路范围内污染影响</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0" w:type="dxa"/>
            <w:tcMar>
              <w:top w:w="57" w:type="dxa"/>
              <w:left w:w="57" w:type="dxa"/>
              <w:bottom w:w="57"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130" w:type="dxa"/>
            <w:tcMar>
              <w:top w:w="57" w:type="dxa"/>
              <w:left w:w="57" w:type="dxa"/>
              <w:bottom w:w="57"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运输过程中撒落砂石、土等材料，产生二次污染</w:t>
            </w:r>
          </w:p>
        </w:tc>
        <w:tc>
          <w:tcPr>
            <w:tcW w:w="3122" w:type="dxa"/>
            <w:tcMar>
              <w:top w:w="57" w:type="dxa"/>
              <w:left w:w="57" w:type="dxa"/>
              <w:bottom w:w="57"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加强运输管理，保证汽车文明、安全、中速行驶，运输砂石、土、水泥、石灰的车辆表面应加以覆盖，避免砂石、土洒落造成二次污染影响</w:t>
            </w:r>
          </w:p>
        </w:tc>
        <w:tc>
          <w:tcPr>
            <w:tcW w:w="2842" w:type="dxa"/>
            <w:tcMar>
              <w:top w:w="57" w:type="dxa"/>
              <w:left w:w="57" w:type="dxa"/>
              <w:bottom w:w="57"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减少二次污染影响</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50" w:type="dxa"/>
            <w:tcMar>
              <w:top w:w="57" w:type="dxa"/>
              <w:left w:w="57" w:type="dxa"/>
              <w:bottom w:w="57"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130" w:type="dxa"/>
            <w:tcMar>
              <w:top w:w="57" w:type="dxa"/>
              <w:left w:w="57" w:type="dxa"/>
              <w:bottom w:w="57"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扬尘对灰土拌合操作人员身体健康影响</w:t>
            </w:r>
          </w:p>
        </w:tc>
        <w:tc>
          <w:tcPr>
            <w:tcW w:w="3122" w:type="dxa"/>
            <w:tcMar>
              <w:top w:w="57" w:type="dxa"/>
              <w:left w:w="57" w:type="dxa"/>
              <w:bottom w:w="57"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对拌合点操作人员实行卫生保护，如配戴口罩、风镜等</w:t>
            </w:r>
          </w:p>
        </w:tc>
        <w:tc>
          <w:tcPr>
            <w:tcW w:w="2842" w:type="dxa"/>
            <w:tcMar>
              <w:top w:w="57" w:type="dxa"/>
              <w:left w:w="57" w:type="dxa"/>
              <w:bottom w:w="57"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减轻灰土扬尘对操作人员健康的影响</w:t>
            </w:r>
          </w:p>
        </w:tc>
      </w:tr>
    </w:tbl>
    <w:p>
      <w:pPr>
        <w:ind w:firstLine="480"/>
        <w:rPr>
          <w:rFonts w:hint="default" w:ascii="Times New Roman" w:hAnsi="Times New Roman" w:cs="Times New Roman"/>
          <w:color w:val="auto"/>
        </w:rPr>
      </w:pPr>
      <w:bookmarkStart w:id="590" w:name="_Toc509584398"/>
      <w:r>
        <w:rPr>
          <w:rFonts w:hint="default" w:ascii="Times New Roman" w:hAnsi="Times New Roman" w:cs="Times New Roman"/>
          <w:color w:val="auto"/>
        </w:rPr>
        <w:t>为保护项目区周边的空气环境质量，根据《《河南省2019年大气污染防治攻坚战实施方案的通知》（豫环攻坚办[2019]25号）要求，结合《濮阳市环境污染防治攻坚战指挥部办公室关于印发濮阳市2019年大气污染防治攻坚战实施方案的通知》（豫环攻坚办[2019]82号），施工过程应做到以下几点：</w:t>
      </w:r>
    </w:p>
    <w:p>
      <w:pPr>
        <w:ind w:firstLine="480"/>
        <w:rPr>
          <w:rFonts w:hint="default" w:ascii="Times New Roman" w:hAnsi="Times New Roman" w:cs="Times New Roman"/>
          <w:color w:val="auto"/>
        </w:rPr>
      </w:pPr>
      <w:r>
        <w:rPr>
          <w:rFonts w:hint="default" w:ascii="Times New Roman" w:hAnsi="Times New Roman" w:cs="Times New Roman"/>
          <w:color w:val="auto"/>
        </w:rPr>
        <w:t>（1）施工过程严格落实“六个百分之百”（100%围挡、裸露黄土及易起尘物料100%覆盖、施工现场主要道路100%硬化、进出车辆100%冲洗、拆除和土方工程100%湿法作业、渣土运输车辆100%封闭）、“两个禁止”（施工现场禁止搅拌混凝土、禁止配制砂浆）、开复工验收、“三员”（扬尘污染防治监督员、网格员、管理员）管理等。</w:t>
      </w:r>
    </w:p>
    <w:p>
      <w:pPr>
        <w:ind w:firstLine="480"/>
        <w:rPr>
          <w:rFonts w:hint="default" w:ascii="Times New Roman" w:hAnsi="Times New Roman" w:cs="Times New Roman"/>
          <w:color w:val="auto"/>
        </w:rPr>
      </w:pPr>
      <w:r>
        <w:rPr>
          <w:rFonts w:hint="default" w:ascii="Times New Roman" w:hAnsi="Times New Roman" w:cs="Times New Roman"/>
          <w:color w:val="auto"/>
        </w:rPr>
        <w:t>（2）强化施工扬尘监管：全面推进施工场地环境监督管理，建立施工企业污染防治信用管理制度。</w:t>
      </w:r>
    </w:p>
    <w:p>
      <w:pPr>
        <w:ind w:firstLine="480"/>
        <w:rPr>
          <w:rFonts w:hint="default" w:ascii="Times New Roman" w:hAnsi="Times New Roman" w:cs="Times New Roman"/>
          <w:color w:val="auto"/>
        </w:rPr>
      </w:pPr>
      <w:r>
        <w:rPr>
          <w:rFonts w:hint="default" w:ascii="Times New Roman" w:hAnsi="Times New Roman" w:cs="Times New Roman"/>
          <w:color w:val="auto"/>
        </w:rPr>
        <w:t>（3）施工单位应建立相应的责任制度，并指定专人具体负责施工现场扬尘污染防治的管理工作。工地的主要出入口处或主要位置应设置醒目的环保施工标牌，标明下列内容：工程项目名称、防治扬尘污染采用的措施、环保负责人的姓名和监督电话。</w:t>
      </w:r>
    </w:p>
    <w:p>
      <w:pPr>
        <w:ind w:firstLine="480"/>
        <w:rPr>
          <w:rFonts w:hint="default" w:ascii="Times New Roman" w:hAnsi="Times New Roman" w:cs="Times New Roman"/>
          <w:color w:val="auto"/>
        </w:rPr>
      </w:pPr>
      <w:r>
        <w:rPr>
          <w:rFonts w:hint="default" w:ascii="Times New Roman" w:hAnsi="Times New Roman" w:cs="Times New Roman"/>
          <w:color w:val="auto"/>
        </w:rPr>
        <w:t>（4）施工现场必须沿工地四周连续设置稳固、整齐、美观的围挡（墙），本项目围挡（墙）不低于2.5m。围挡对减少扬尘对环境的污染有明显作用，当风速为2.5m/s 时可使影响距离缩短40%。</w:t>
      </w:r>
    </w:p>
    <w:p>
      <w:pPr>
        <w:ind w:firstLine="480"/>
        <w:rPr>
          <w:rFonts w:hint="default" w:ascii="Times New Roman" w:hAnsi="Times New Roman" w:cs="Times New Roman"/>
          <w:color w:val="auto"/>
        </w:rPr>
      </w:pPr>
      <w:r>
        <w:rPr>
          <w:rFonts w:hint="default" w:ascii="Times New Roman" w:hAnsi="Times New Roman" w:cs="Times New Roman"/>
          <w:color w:val="auto"/>
        </w:rPr>
        <w:t>（5）在施工场地安排一些职工定期对施工场地洒水以减少扬尘量，洒水次数根据天气状况而定，一般每天洒水4~5次，若遇大风或干燥天气可适当增加洒水次数，遇雨雪天气则不必洒水。场地洒水后，扬尘量将降低70%左右，可大大减少其对环境的影响。</w:t>
      </w:r>
    </w:p>
    <w:p>
      <w:pPr>
        <w:ind w:firstLine="480"/>
        <w:rPr>
          <w:rFonts w:hint="default" w:ascii="Times New Roman" w:hAnsi="Times New Roman" w:cs="Times New Roman"/>
          <w:color w:val="auto"/>
        </w:rPr>
      </w:pPr>
      <w:r>
        <w:rPr>
          <w:rFonts w:hint="default" w:ascii="Times New Roman" w:hAnsi="Times New Roman" w:cs="Times New Roman"/>
          <w:color w:val="auto"/>
        </w:rPr>
        <w:t>（6）合理安排施工期，尽可能加快施工进度，遇大风天气，增加洒水次数或停止物料运输等易产生扬尘的施工作业。</w:t>
      </w:r>
    </w:p>
    <w:p>
      <w:pPr>
        <w:ind w:firstLine="480"/>
        <w:rPr>
          <w:rFonts w:hint="default" w:ascii="Times New Roman" w:hAnsi="Times New Roman" w:cs="Times New Roman"/>
          <w:color w:val="auto"/>
        </w:rPr>
      </w:pPr>
      <w:r>
        <w:rPr>
          <w:rFonts w:hint="default" w:ascii="Times New Roman" w:hAnsi="Times New Roman" w:cs="Times New Roman"/>
          <w:color w:val="auto"/>
        </w:rPr>
        <w:t>（7）道路保洁方面，除采用混凝土硬化出入口、施工现场的道路和场地；应设置冲洗轮胎水池和高压水枪，车辆驶出工地时对车轮进行冲刷，保持出场车辆清洁，对运载建筑材料及建筑垃圾的车辆加盖蓬布减少散落，车辆行驶应按规定路线进行。</w:t>
      </w:r>
    </w:p>
    <w:p>
      <w:pPr>
        <w:ind w:firstLine="480"/>
        <w:rPr>
          <w:rFonts w:hint="default" w:ascii="Times New Roman" w:hAnsi="Times New Roman" w:cs="Times New Roman"/>
          <w:color w:val="auto"/>
        </w:rPr>
      </w:pPr>
      <w:r>
        <w:rPr>
          <w:rFonts w:hint="default" w:ascii="Times New Roman" w:hAnsi="Times New Roman" w:cs="Times New Roman"/>
          <w:color w:val="auto"/>
        </w:rPr>
        <w:t>采取上述减少扬尘措施后，项目施工期扬尘对周边环境影响较小。</w:t>
      </w:r>
      <w:bookmarkEnd w:id="590"/>
    </w:p>
    <w:p>
      <w:pPr>
        <w:pStyle w:val="5"/>
        <w:rPr>
          <w:rFonts w:hint="default" w:ascii="Times New Roman" w:hAnsi="Times New Roman" w:cs="Times New Roman"/>
          <w:color w:val="auto"/>
        </w:rPr>
      </w:pPr>
      <w:r>
        <w:rPr>
          <w:rFonts w:hint="default" w:ascii="Times New Roman" w:hAnsi="Times New Roman" w:cs="Times New Roman"/>
          <w:color w:val="auto"/>
        </w:rPr>
        <w:t>6.1.3施工期噪声污染防治措施</w:t>
      </w:r>
    </w:p>
    <w:p>
      <w:pPr>
        <w:ind w:firstLine="480"/>
        <w:rPr>
          <w:rFonts w:hint="default" w:ascii="Times New Roman" w:hAnsi="Times New Roman" w:cs="Times New Roman"/>
          <w:color w:val="auto"/>
        </w:rPr>
      </w:pPr>
      <w:r>
        <w:rPr>
          <w:rFonts w:hint="default" w:ascii="Times New Roman" w:hAnsi="Times New Roman" w:cs="Times New Roman"/>
          <w:color w:val="auto"/>
        </w:rPr>
        <w:t>项目施工期噪声的污染主要是机械噪声，评价根据项目特点提出施工期噪声污染防治措施见表6.1-3。</w:t>
      </w:r>
    </w:p>
    <w:p>
      <w:pPr>
        <w:spacing w:afterLines="30" w:line="500" w:lineRule="exact"/>
        <w:ind w:firstLine="482"/>
        <w:jc w:val="center"/>
        <w:rPr>
          <w:rFonts w:hint="default" w:ascii="Times New Roman" w:hAnsi="Times New Roman" w:cs="Times New Roman"/>
          <w:b/>
          <w:color w:val="auto"/>
        </w:rPr>
      </w:pPr>
      <w:r>
        <w:rPr>
          <w:rFonts w:hint="default" w:ascii="Times New Roman" w:hAnsi="Times New Roman" w:cs="Times New Roman"/>
          <w:b/>
          <w:color w:val="auto"/>
        </w:rPr>
        <w:t>表6.1-3                施工期噪声污染防治措施一览表</w:t>
      </w:r>
    </w:p>
    <w:tbl>
      <w:tblPr>
        <w:tblStyle w:val="25"/>
        <w:tblW w:w="8900" w:type="dxa"/>
        <w:tblInd w:w="0"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72"/>
        <w:gridCol w:w="1855"/>
        <w:gridCol w:w="4098"/>
        <w:gridCol w:w="2175"/>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4" w:hRule="atLeast"/>
        </w:trPr>
        <w:tc>
          <w:tcPr>
            <w:tcW w:w="772"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855" w:type="dxa"/>
            <w:tcMar>
              <w:top w:w="57" w:type="dxa"/>
              <w:left w:w="85" w:type="dxa"/>
              <w:bottom w:w="57" w:type="dxa"/>
              <w:right w:w="85" w:type="dxa"/>
            </w:tcMar>
            <w:vAlign w:val="center"/>
          </w:tcPr>
          <w:p>
            <w:pPr>
              <w:pStyle w:val="12"/>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主要环境影响</w:t>
            </w:r>
          </w:p>
        </w:tc>
        <w:tc>
          <w:tcPr>
            <w:tcW w:w="4098" w:type="dxa"/>
            <w:tcMar>
              <w:top w:w="57" w:type="dxa"/>
              <w:left w:w="85" w:type="dxa"/>
              <w:bottom w:w="57" w:type="dxa"/>
              <w:right w:w="85" w:type="dxa"/>
            </w:tcMar>
            <w:vAlign w:val="center"/>
          </w:tcPr>
          <w:p>
            <w:pPr>
              <w:pStyle w:val="12"/>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环保措施</w:t>
            </w:r>
          </w:p>
        </w:tc>
        <w:tc>
          <w:tcPr>
            <w:tcW w:w="2175" w:type="dxa"/>
            <w:tcMar>
              <w:top w:w="57" w:type="dxa"/>
              <w:left w:w="85" w:type="dxa"/>
              <w:bottom w:w="57" w:type="dxa"/>
              <w:right w:w="85" w:type="dxa"/>
            </w:tcMar>
            <w:vAlign w:val="center"/>
          </w:tcPr>
          <w:p>
            <w:pPr>
              <w:pStyle w:val="12"/>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效 益</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72"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855"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对施工生活区影响</w:t>
            </w:r>
          </w:p>
        </w:tc>
        <w:tc>
          <w:tcPr>
            <w:tcW w:w="4098"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合理规划各种施工机械设备布局，采用科学的施工方法，严格控制施工作业范围和作业时间，禁止夜间施工</w:t>
            </w:r>
          </w:p>
        </w:tc>
        <w:tc>
          <w:tcPr>
            <w:tcW w:w="2175"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减轻噪声对施工生活区影响</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72"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855"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对高噪声源设备操作人员影响</w:t>
            </w:r>
          </w:p>
        </w:tc>
        <w:tc>
          <w:tcPr>
            <w:tcW w:w="4098"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尽量选用低噪声、高效率设备，给高噪声设备安装隔声罩，打桩机、推土机、铲平机等强噪声源设备的操作人员配戴耳塞，加强身体防护</w:t>
            </w:r>
          </w:p>
        </w:tc>
        <w:tc>
          <w:tcPr>
            <w:tcW w:w="2175"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减轻噪声对施工人员身体健康的影响</w:t>
            </w:r>
          </w:p>
        </w:tc>
      </w:tr>
    </w:tbl>
    <w:p>
      <w:pPr>
        <w:pStyle w:val="5"/>
        <w:rPr>
          <w:rFonts w:hint="default" w:ascii="Times New Roman" w:hAnsi="Times New Roman" w:cs="Times New Roman"/>
          <w:color w:val="auto"/>
          <w:lang w:val="en-US"/>
        </w:rPr>
      </w:pPr>
      <w:r>
        <w:rPr>
          <w:rFonts w:hint="default" w:ascii="Times New Roman" w:hAnsi="Times New Roman" w:cs="Times New Roman"/>
          <w:color w:val="auto"/>
          <w:lang w:val="en-US"/>
        </w:rPr>
        <w:t>6.1.4施工期固废污染防治措施分析</w:t>
      </w:r>
    </w:p>
    <w:p>
      <w:pPr>
        <w:ind w:firstLine="480"/>
        <w:rPr>
          <w:rFonts w:hint="default" w:ascii="Times New Roman" w:hAnsi="Times New Roman" w:cs="Times New Roman"/>
          <w:color w:val="auto"/>
        </w:rPr>
      </w:pPr>
      <w:r>
        <w:rPr>
          <w:rFonts w:hint="default" w:ascii="Times New Roman" w:hAnsi="Times New Roman" w:cs="Times New Roman"/>
          <w:color w:val="auto"/>
        </w:rPr>
        <w:t>项目施工期固废主要是施工建筑垃圾及弃土，评价根据各种污染物排放特点及性质提出污染防治措施见表6.1-4。</w:t>
      </w:r>
    </w:p>
    <w:p>
      <w:pPr>
        <w:spacing w:afterLines="30" w:line="500" w:lineRule="exact"/>
        <w:ind w:firstLine="482"/>
        <w:jc w:val="left"/>
        <w:rPr>
          <w:rFonts w:hint="default" w:ascii="Times New Roman" w:hAnsi="Times New Roman" w:cs="Times New Roman"/>
          <w:b/>
          <w:color w:val="auto"/>
        </w:rPr>
      </w:pPr>
      <w:r>
        <w:rPr>
          <w:rFonts w:hint="default" w:ascii="Times New Roman" w:hAnsi="Times New Roman" w:cs="Times New Roman"/>
          <w:b/>
          <w:color w:val="auto"/>
        </w:rPr>
        <w:t>表6.1-4                     施工期固废污染防治措施一览表</w:t>
      </w:r>
    </w:p>
    <w:tbl>
      <w:tblPr>
        <w:tblStyle w:val="25"/>
        <w:tblW w:w="9061" w:type="dxa"/>
        <w:tblInd w:w="0"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25"/>
        <w:gridCol w:w="3050"/>
        <w:gridCol w:w="3126"/>
        <w:gridCol w:w="2160"/>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9" w:hRule="atLeast"/>
        </w:trPr>
        <w:tc>
          <w:tcPr>
            <w:tcW w:w="725"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3050"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主要环境影响</w:t>
            </w:r>
          </w:p>
        </w:tc>
        <w:tc>
          <w:tcPr>
            <w:tcW w:w="3126"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环保措施</w:t>
            </w:r>
          </w:p>
        </w:tc>
        <w:tc>
          <w:tcPr>
            <w:tcW w:w="2160"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效 益</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25"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050"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建筑垃圾遇风、雨、雪等恶劣天气材料流失，对环境产生的影响</w:t>
            </w:r>
          </w:p>
        </w:tc>
        <w:tc>
          <w:tcPr>
            <w:tcW w:w="3126"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建筑垃圾集中堆存，堆场加防尘网覆盖，并及时清运</w:t>
            </w:r>
          </w:p>
        </w:tc>
        <w:tc>
          <w:tcPr>
            <w:tcW w:w="2160"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避免建筑垃圾流失对环境的影响</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25"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3050"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施工废弃物排放占地</w:t>
            </w:r>
          </w:p>
        </w:tc>
        <w:tc>
          <w:tcPr>
            <w:tcW w:w="3126"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施工废弃物及时清除，就近拉至当地垃圾处理厂处置</w:t>
            </w:r>
          </w:p>
        </w:tc>
        <w:tc>
          <w:tcPr>
            <w:tcW w:w="2160"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减少废弃物占地对生态环境影响</w:t>
            </w:r>
          </w:p>
        </w:tc>
      </w:tr>
    </w:tbl>
    <w:p>
      <w:pPr>
        <w:pStyle w:val="5"/>
        <w:rPr>
          <w:rFonts w:hint="default" w:ascii="Times New Roman" w:hAnsi="Times New Roman" w:cs="Times New Roman"/>
          <w:color w:val="auto"/>
          <w:lang w:val="en-US"/>
        </w:rPr>
      </w:pPr>
      <w:r>
        <w:rPr>
          <w:rFonts w:hint="default" w:ascii="Times New Roman" w:hAnsi="Times New Roman" w:cs="Times New Roman"/>
          <w:color w:val="auto"/>
          <w:lang w:val="en-US"/>
        </w:rPr>
        <w:t>6.1.5施工期水土流失防治措施分析</w:t>
      </w:r>
    </w:p>
    <w:p>
      <w:pPr>
        <w:ind w:firstLine="480"/>
        <w:rPr>
          <w:rFonts w:hint="default" w:ascii="Times New Roman" w:hAnsi="Times New Roman" w:cs="Times New Roman"/>
          <w:color w:val="auto"/>
        </w:rPr>
      </w:pPr>
      <w:r>
        <w:rPr>
          <w:rFonts w:hint="default" w:ascii="Times New Roman" w:hAnsi="Times New Roman" w:cs="Times New Roman"/>
          <w:color w:val="auto"/>
        </w:rPr>
        <w:t>施工期水土流失防治措施情况见表6.1-5。</w:t>
      </w:r>
    </w:p>
    <w:p>
      <w:pPr>
        <w:spacing w:afterLines="30" w:line="500" w:lineRule="exact"/>
        <w:ind w:firstLine="482"/>
        <w:jc w:val="left"/>
        <w:rPr>
          <w:rFonts w:hint="default" w:ascii="Times New Roman" w:hAnsi="Times New Roman" w:cs="Times New Roman"/>
          <w:b/>
          <w:color w:val="auto"/>
        </w:rPr>
      </w:pPr>
      <w:r>
        <w:rPr>
          <w:rFonts w:hint="default" w:ascii="Times New Roman" w:hAnsi="Times New Roman" w:cs="Times New Roman"/>
          <w:b/>
          <w:color w:val="auto"/>
        </w:rPr>
        <w:t>表6.1-5                      施工期水土流失防治措施一览表</w:t>
      </w:r>
    </w:p>
    <w:tbl>
      <w:tblPr>
        <w:tblStyle w:val="25"/>
        <w:tblW w:w="9061" w:type="dxa"/>
        <w:tblInd w:w="0"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25"/>
        <w:gridCol w:w="2399"/>
        <w:gridCol w:w="4111"/>
        <w:gridCol w:w="1826"/>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25"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2399"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主要环境影响</w:t>
            </w:r>
          </w:p>
        </w:tc>
        <w:tc>
          <w:tcPr>
            <w:tcW w:w="4111"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环保措施</w:t>
            </w:r>
          </w:p>
        </w:tc>
        <w:tc>
          <w:tcPr>
            <w:tcW w:w="1826"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效益</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25"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399"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项目的建设开挖，植被受到破坏，造成水土流失</w:t>
            </w:r>
          </w:p>
        </w:tc>
        <w:tc>
          <w:tcPr>
            <w:tcW w:w="4111"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对于土质较好的地段，建议采用深挖、表土回覆的方式；对于砾石土，建议将石土分离，土层覆于地表，易与植被恢复。尽量避开农作物生长季节施工，最大限度减少农作物产量。应避开风季、暴雨季施工，减少水土流失</w:t>
            </w:r>
          </w:p>
        </w:tc>
        <w:tc>
          <w:tcPr>
            <w:tcW w:w="1826"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能够有效减轻项目施工造成的水土流水影响</w:t>
            </w:r>
          </w:p>
        </w:tc>
      </w:tr>
    </w:tbl>
    <w:p>
      <w:pPr>
        <w:pStyle w:val="5"/>
        <w:rPr>
          <w:rFonts w:hint="default" w:ascii="Times New Roman" w:hAnsi="Times New Roman" w:cs="Times New Roman"/>
          <w:color w:val="auto"/>
          <w:lang w:val="en-US"/>
        </w:rPr>
      </w:pPr>
      <w:r>
        <w:rPr>
          <w:rFonts w:hint="default" w:ascii="Times New Roman" w:hAnsi="Times New Roman" w:cs="Times New Roman"/>
          <w:color w:val="auto"/>
          <w:lang w:val="en-US"/>
        </w:rPr>
        <w:t>6.1.6加强施工过程的环境监理工作</w:t>
      </w:r>
    </w:p>
    <w:p>
      <w:pPr>
        <w:pStyle w:val="22"/>
        <w:ind w:firstLine="480"/>
        <w:rPr>
          <w:rFonts w:hint="default" w:ascii="Times New Roman" w:hAnsi="Times New Roman" w:cs="Times New Roman"/>
          <w:color w:val="auto"/>
        </w:rPr>
      </w:pPr>
      <w:r>
        <w:rPr>
          <w:rFonts w:hint="default" w:ascii="Times New Roman" w:hAnsi="Times New Roman" w:cs="Times New Roman"/>
          <w:color w:val="auto"/>
        </w:rPr>
        <w:t>为减少建设项目施工期对周围环境产生的影响，建设单位必须加强对施工单位的监督管理，按照环境管理规章制度，聘请具有环境监理资格的人员在项目施工期间进行环境监理，对施工单位进行经常性检查、监督，查看施工单位落实环境保护措施的情况，发现问题及时解决、纠正。</w:t>
      </w:r>
    </w:p>
    <w:p>
      <w:pPr>
        <w:pStyle w:val="4"/>
        <w:spacing w:before="0" w:after="0"/>
        <w:ind w:firstLine="0" w:firstLineChars="0"/>
        <w:rPr>
          <w:rFonts w:hint="default" w:ascii="Times New Roman" w:hAnsi="Times New Roman" w:cs="Times New Roman"/>
          <w:color w:val="auto"/>
          <w:sz w:val="28"/>
          <w:szCs w:val="20"/>
        </w:rPr>
      </w:pPr>
      <w:bookmarkStart w:id="591" w:name="_Toc485580430"/>
      <w:bookmarkStart w:id="592" w:name="_Toc23535"/>
      <w:bookmarkStart w:id="593" w:name="_Toc14559"/>
      <w:bookmarkStart w:id="594" w:name="_Toc477357377"/>
      <w:bookmarkStart w:id="595" w:name="_Toc477187509"/>
      <w:bookmarkStart w:id="596" w:name="_Toc476921992"/>
      <w:bookmarkStart w:id="597" w:name="_Toc476923208"/>
      <w:r>
        <w:rPr>
          <w:rFonts w:hint="default" w:ascii="Times New Roman" w:hAnsi="Times New Roman" w:cs="Times New Roman"/>
          <w:color w:val="auto"/>
          <w:sz w:val="28"/>
          <w:szCs w:val="20"/>
        </w:rPr>
        <w:t>6.2  本次工程防污减污措施评价</w:t>
      </w:r>
      <w:bookmarkEnd w:id="587"/>
      <w:bookmarkEnd w:id="588"/>
      <w:bookmarkEnd w:id="589"/>
      <w:bookmarkEnd w:id="591"/>
      <w:bookmarkEnd w:id="592"/>
      <w:bookmarkEnd w:id="593"/>
      <w:bookmarkEnd w:id="594"/>
      <w:bookmarkEnd w:id="595"/>
      <w:bookmarkEnd w:id="596"/>
      <w:bookmarkEnd w:id="597"/>
      <w:bookmarkStart w:id="598" w:name="_Toc295121211"/>
    </w:p>
    <w:bookmarkEnd w:id="598"/>
    <w:p>
      <w:pPr>
        <w:pStyle w:val="5"/>
        <w:rPr>
          <w:rFonts w:hint="default" w:ascii="Times New Roman" w:hAnsi="Times New Roman" w:cs="Times New Roman"/>
          <w:color w:val="auto"/>
          <w:lang w:val="en-US"/>
        </w:rPr>
      </w:pPr>
      <w:r>
        <w:rPr>
          <w:rFonts w:hint="default" w:ascii="Times New Roman" w:hAnsi="Times New Roman" w:cs="Times New Roman"/>
          <w:color w:val="auto"/>
          <w:lang w:val="en-US"/>
        </w:rPr>
        <w:t>6.2.1养殖场污染治理基本要求</w:t>
      </w:r>
    </w:p>
    <w:p>
      <w:pPr>
        <w:ind w:firstLine="480"/>
        <w:rPr>
          <w:rFonts w:hint="default" w:ascii="Times New Roman" w:hAnsi="Times New Roman" w:cs="Times New Roman"/>
          <w:color w:val="auto"/>
        </w:rPr>
      </w:pPr>
      <w:r>
        <w:rPr>
          <w:rFonts w:hint="default" w:ascii="Times New Roman" w:hAnsi="Times New Roman" w:cs="Times New Roman"/>
          <w:color w:val="auto"/>
        </w:rPr>
        <w:t>《畜禽养殖业污染防治技术规范》（HJ/T81－2001）第四条规定：</w:t>
      </w:r>
    </w:p>
    <w:p>
      <w:pPr>
        <w:ind w:firstLine="480"/>
        <w:rPr>
          <w:rFonts w:hint="default" w:ascii="Times New Roman" w:hAnsi="Times New Roman" w:cs="Times New Roman"/>
          <w:color w:val="auto"/>
        </w:rPr>
      </w:pPr>
      <w:r>
        <w:rPr>
          <w:rFonts w:hint="default" w:ascii="Times New Roman" w:hAnsi="Times New Roman" w:cs="Times New Roman"/>
          <w:color w:val="auto"/>
        </w:rPr>
        <w:t>1、新建、改建、扩建的畜禽养殖场应实现生产区、生活管理区的隔离，粪便污水处理设施，应设在养殖场的生产区、生活管理区的常年主导风向的下风向或侧风向处。</w:t>
      </w:r>
    </w:p>
    <w:p>
      <w:pPr>
        <w:ind w:firstLine="480"/>
        <w:rPr>
          <w:rFonts w:hint="default" w:ascii="Times New Roman" w:hAnsi="Times New Roman" w:cs="Times New Roman"/>
          <w:color w:val="auto"/>
        </w:rPr>
      </w:pPr>
      <w:r>
        <w:rPr>
          <w:rFonts w:hint="default" w:ascii="Times New Roman" w:hAnsi="Times New Roman" w:cs="Times New Roman"/>
          <w:color w:val="auto"/>
        </w:rPr>
        <w:t>2、养殖场的排水系统应实行雨水和污水收集输送系统分离，在场区内外设置的污水收集输送系统，不得采取明沟布设。</w:t>
      </w:r>
    </w:p>
    <w:p>
      <w:pPr>
        <w:ind w:firstLine="480"/>
        <w:rPr>
          <w:rFonts w:hint="default" w:ascii="Times New Roman" w:hAnsi="Times New Roman" w:cs="Times New Roman"/>
          <w:color w:val="auto"/>
        </w:rPr>
      </w:pPr>
      <w:r>
        <w:rPr>
          <w:rFonts w:hint="default" w:ascii="Times New Roman" w:hAnsi="Times New Roman" w:cs="Times New Roman"/>
          <w:color w:val="auto"/>
        </w:rPr>
        <w:t>3、新建、改建、扩建的畜禽养殖场应采取干法清粪工艺，采取有效措施将粪及时、单独清出，不可与尿、污水混合排出，并将产生的粪渣及时运至贮存或处理场所，实现日产日清。</w:t>
      </w:r>
    </w:p>
    <w:p>
      <w:pPr>
        <w:ind w:firstLine="480"/>
        <w:rPr>
          <w:rFonts w:hint="default" w:ascii="Times New Roman" w:hAnsi="Times New Roman" w:cs="Times New Roman"/>
          <w:color w:val="auto"/>
        </w:rPr>
      </w:pPr>
      <w:r>
        <w:rPr>
          <w:rFonts w:hint="default" w:ascii="Times New Roman" w:hAnsi="Times New Roman" w:cs="Times New Roman"/>
          <w:color w:val="auto"/>
        </w:rPr>
        <w:t>本项目养殖场在场区布局上，实行养殖区、办公区与粪污处理区的三区分离，养殖区位于场区中部，办公区位于场区的南部，污水处理设施设在养殖区东北侧，三区由绿化带分离，由此可知，场区的平面布置满足规定要求。</w:t>
      </w:r>
    </w:p>
    <w:p>
      <w:pPr>
        <w:ind w:firstLine="480"/>
        <w:rPr>
          <w:rFonts w:hint="default" w:ascii="Times New Roman" w:hAnsi="Times New Roman" w:cs="Times New Roman"/>
          <w:color w:val="auto"/>
        </w:rPr>
      </w:pPr>
      <w:r>
        <w:rPr>
          <w:rFonts w:hint="default" w:ascii="Times New Roman" w:hAnsi="Times New Roman" w:cs="Times New Roman"/>
          <w:color w:val="auto"/>
        </w:rPr>
        <w:t>本项目场区排水系统实现雨、污分流。雨水经雨水管道排至场区外的田间地沟中，雨水沟可设置为明沟；排污沟应采取暗沟形式，养殖废水则由废水管道收集后，由场区内的废水处理设施处理后的沼液经储存池暂存后做农肥，猪粪收集后发酵制备有机肥</w:t>
      </w:r>
      <w:r>
        <w:rPr>
          <w:rFonts w:hint="default" w:ascii="Times New Roman" w:hAnsi="Times New Roman" w:cs="Times New Roman"/>
          <w:color w:val="auto"/>
          <w:lang w:eastAsia="zh-CN"/>
        </w:rPr>
        <w:t>基料</w:t>
      </w:r>
      <w:r>
        <w:rPr>
          <w:rFonts w:hint="default" w:ascii="Times New Roman" w:hAnsi="Times New Roman" w:cs="Times New Roman"/>
          <w:color w:val="auto"/>
        </w:rPr>
        <w:t>，满足规定要求。</w:t>
      </w:r>
    </w:p>
    <w:p>
      <w:pPr>
        <w:ind w:firstLine="480"/>
        <w:rPr>
          <w:rFonts w:hint="default" w:ascii="Times New Roman" w:hAnsi="Times New Roman" w:cs="Times New Roman"/>
          <w:color w:val="auto"/>
        </w:rPr>
      </w:pPr>
      <w:r>
        <w:rPr>
          <w:rFonts w:hint="default" w:ascii="Times New Roman" w:hAnsi="Times New Roman" w:cs="Times New Roman"/>
          <w:color w:val="auto"/>
        </w:rPr>
        <w:t>本项目采用“干清粪”工艺，粪便由于重力作用离开猪舍进入收集池，收集池中的粪污经固液分离后经固粪处理区堆肥发酵后制有机肥</w:t>
      </w:r>
      <w:r>
        <w:rPr>
          <w:rFonts w:hint="default" w:ascii="Times New Roman" w:hAnsi="Times New Roman" w:cs="Times New Roman"/>
          <w:color w:val="auto"/>
          <w:lang w:eastAsia="zh-CN"/>
        </w:rPr>
        <w:t>基料</w:t>
      </w:r>
      <w:r>
        <w:rPr>
          <w:rFonts w:hint="default" w:ascii="Times New Roman" w:hAnsi="Times New Roman" w:cs="Times New Roman"/>
          <w:color w:val="auto"/>
        </w:rPr>
        <w:t>，满足规定要求。</w:t>
      </w:r>
    </w:p>
    <w:p>
      <w:pPr>
        <w:pStyle w:val="5"/>
        <w:rPr>
          <w:rFonts w:hint="default" w:ascii="Times New Roman" w:hAnsi="Times New Roman" w:cs="Times New Roman"/>
          <w:color w:val="auto"/>
          <w:lang w:val="en-US"/>
        </w:rPr>
      </w:pPr>
      <w:r>
        <w:rPr>
          <w:rFonts w:hint="default" w:ascii="Times New Roman" w:hAnsi="Times New Roman" w:cs="Times New Roman"/>
          <w:color w:val="auto"/>
          <w:lang w:val="en-US"/>
        </w:rPr>
        <w:t>6.2.2 废水处理及综合利用措施分析</w:t>
      </w:r>
    </w:p>
    <w:p>
      <w:pPr>
        <w:tabs>
          <w:tab w:val="left" w:pos="5625"/>
        </w:tabs>
        <w:ind w:firstLine="480"/>
        <w:outlineLvl w:val="3"/>
        <w:rPr>
          <w:rFonts w:hint="default" w:ascii="Times New Roman" w:hAnsi="Times New Roman" w:cs="Times New Roman"/>
          <w:color w:val="auto"/>
        </w:rPr>
      </w:pPr>
      <w:r>
        <w:rPr>
          <w:rFonts w:hint="default" w:ascii="Times New Roman" w:hAnsi="Times New Roman" w:cs="Times New Roman"/>
          <w:color w:val="auto"/>
        </w:rPr>
        <w:t>6.2.2.1废水处理工艺比选</w:t>
      </w:r>
    </w:p>
    <w:p>
      <w:pPr>
        <w:ind w:firstLine="480"/>
        <w:rPr>
          <w:rFonts w:hint="default" w:ascii="Times New Roman" w:hAnsi="Times New Roman" w:cs="Times New Roman"/>
          <w:bCs/>
          <w:color w:val="auto"/>
        </w:rPr>
      </w:pPr>
      <w:r>
        <w:rPr>
          <w:rFonts w:hint="default" w:ascii="Times New Roman" w:hAnsi="Times New Roman" w:cs="Times New Roman"/>
          <w:bCs/>
          <w:color w:val="auto"/>
        </w:rPr>
        <w:t>畜禽养殖废水属于高浓度有机废水，经过厌氧无害化处理后的沼液，不仅含有作物所需的氮、磷、钾等大量元素，还含有硼、铜、铁、锰、钙、锌等丰富的中微量元素，以及大量的有机质、多种氨基酸、维生素、赤霉素、生长素、水解酶、有机酸和腐植酸等生物活性物质，是一种非常理想的液态肥料。</w:t>
      </w:r>
    </w:p>
    <w:p>
      <w:pPr>
        <w:ind w:firstLine="480"/>
        <w:rPr>
          <w:rFonts w:hint="default" w:ascii="Times New Roman" w:hAnsi="Times New Roman" w:cs="Times New Roman"/>
          <w:bCs/>
          <w:color w:val="auto"/>
        </w:rPr>
      </w:pPr>
      <w:r>
        <w:rPr>
          <w:rFonts w:hint="default" w:ascii="Times New Roman" w:hAnsi="Times New Roman" w:cs="Times New Roman"/>
          <w:bCs/>
          <w:color w:val="auto"/>
        </w:rPr>
        <w:t>为了最大限度的将沼液进行农田资源化利用，同时结合《畜禽规模养殖污染防治条例》“防治畜禽养殖污染，推进畜禽养殖废弃物的综合利用和无害化处理”的目的，以及第十六条“国家鼓励和支持采取种植和养殖相结合的方式消纳利用畜禽养殖废弃物，促进畜禽粪便、污水等废弃物就地就近利用，牧原公司在遵循“推动畜禽养殖业污染物的减量化、无害化和资源化”的根本原则下，通过“源头控制、过程处理、末端综合利用”等一系列措施，来达到粪污的资源化利用。</w:t>
      </w:r>
    </w:p>
    <w:p>
      <w:pPr>
        <w:ind w:firstLine="480"/>
        <w:rPr>
          <w:rFonts w:hint="default" w:ascii="Times New Roman" w:hAnsi="Times New Roman" w:cs="Times New Roman"/>
          <w:bCs/>
          <w:color w:val="auto"/>
        </w:rPr>
      </w:pPr>
      <w:r>
        <w:rPr>
          <w:rFonts w:hint="default" w:ascii="Times New Roman" w:hAnsi="Times New Roman" w:cs="Times New Roman"/>
          <w:bCs/>
          <w:color w:val="auto"/>
        </w:rPr>
        <w:t>黑膜沼气池工艺与牧原公司原有UASB工艺对比情况见下表6.2-1。</w:t>
      </w:r>
    </w:p>
    <w:p>
      <w:pPr>
        <w:numPr>
          <w:ilvl w:val="0"/>
          <w:numId w:val="12"/>
        </w:numPr>
        <w:spacing w:beforeLines="50" w:afterLines="50"/>
        <w:ind w:left="0" w:firstLine="964" w:firstLineChars="400"/>
        <w:jc w:val="left"/>
        <w:rPr>
          <w:rFonts w:hint="default" w:ascii="Times New Roman" w:hAnsi="Times New Roman" w:cs="Times New Roman"/>
          <w:b/>
          <w:color w:val="auto"/>
          <w:szCs w:val="21"/>
        </w:rPr>
      </w:pPr>
      <w:r>
        <w:rPr>
          <w:rFonts w:hint="default" w:ascii="Times New Roman" w:hAnsi="Times New Roman" w:cs="Times New Roman"/>
          <w:b/>
          <w:color w:val="auto"/>
          <w:szCs w:val="21"/>
        </w:rPr>
        <w:t xml:space="preserve">    黑膜沼气池工艺与UASB工艺参数对比一览表</w:t>
      </w:r>
    </w:p>
    <w:tbl>
      <w:tblPr>
        <w:tblStyle w:val="25"/>
        <w:tblW w:w="894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482"/>
        <w:gridCol w:w="3400"/>
        <w:gridCol w:w="339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序号</w:t>
            </w:r>
          </w:p>
        </w:tc>
        <w:tc>
          <w:tcPr>
            <w:tcW w:w="1482"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项目</w:t>
            </w:r>
          </w:p>
        </w:tc>
        <w:tc>
          <w:tcPr>
            <w:tcW w:w="3400"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黑膜沼气池工艺</w:t>
            </w:r>
          </w:p>
        </w:tc>
        <w:tc>
          <w:tcPr>
            <w:tcW w:w="3390"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UASB</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eastAsia="Calibri" w:cs="Times New Roman"/>
                <w:bCs/>
                <w:color w:val="auto"/>
                <w:spacing w:val="7"/>
                <w:sz w:val="21"/>
                <w:szCs w:val="21"/>
              </w:rPr>
            </w:pPr>
            <w:r>
              <w:rPr>
                <w:rFonts w:hint="default" w:ascii="Times New Roman" w:hAnsi="Times New Roman" w:cs="Times New Roman"/>
                <w:bCs/>
                <w:color w:val="auto"/>
                <w:spacing w:val="7"/>
                <w:sz w:val="21"/>
                <w:szCs w:val="21"/>
              </w:rPr>
              <w:t>1</w:t>
            </w:r>
          </w:p>
        </w:tc>
        <w:tc>
          <w:tcPr>
            <w:tcW w:w="1482"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反应池内温度</w:t>
            </w:r>
          </w:p>
        </w:tc>
        <w:tc>
          <w:tcPr>
            <w:tcW w:w="3400"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16.8~27.3°C，保持持续发酵</w:t>
            </w:r>
          </w:p>
        </w:tc>
        <w:tc>
          <w:tcPr>
            <w:tcW w:w="3390"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温度随外界温度变化，冬季发酵停止</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eastAsia="Calibri" w:cs="Times New Roman"/>
                <w:bCs/>
                <w:color w:val="auto"/>
                <w:spacing w:val="7"/>
                <w:sz w:val="21"/>
                <w:szCs w:val="21"/>
              </w:rPr>
            </w:pPr>
            <w:r>
              <w:rPr>
                <w:rFonts w:hint="default" w:ascii="Times New Roman" w:hAnsi="Times New Roman" w:cs="Times New Roman"/>
                <w:bCs/>
                <w:color w:val="auto"/>
                <w:spacing w:val="7"/>
                <w:sz w:val="21"/>
                <w:szCs w:val="21"/>
              </w:rPr>
              <w:t>2</w:t>
            </w:r>
          </w:p>
        </w:tc>
        <w:tc>
          <w:tcPr>
            <w:tcW w:w="1482"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布水</w:t>
            </w:r>
          </w:p>
        </w:tc>
        <w:tc>
          <w:tcPr>
            <w:tcW w:w="3400"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布水简单，进水管径粗，不会堵塞</w:t>
            </w:r>
          </w:p>
        </w:tc>
        <w:tc>
          <w:tcPr>
            <w:tcW w:w="3390"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要求均匀布水，布水点多，运行过程中容易堵塞（粪堵塞、鸟粪石）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eastAsia="Calibri" w:cs="Times New Roman"/>
                <w:bCs/>
                <w:color w:val="auto"/>
                <w:spacing w:val="7"/>
                <w:sz w:val="21"/>
                <w:szCs w:val="21"/>
              </w:rPr>
            </w:pPr>
            <w:r>
              <w:rPr>
                <w:rFonts w:hint="default" w:ascii="Times New Roman" w:hAnsi="Times New Roman" w:cs="Times New Roman"/>
                <w:bCs/>
                <w:color w:val="auto"/>
                <w:spacing w:val="7"/>
                <w:sz w:val="21"/>
                <w:szCs w:val="21"/>
              </w:rPr>
              <w:t>3</w:t>
            </w:r>
          </w:p>
        </w:tc>
        <w:tc>
          <w:tcPr>
            <w:tcW w:w="1482"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气体收集</w:t>
            </w:r>
          </w:p>
        </w:tc>
        <w:tc>
          <w:tcPr>
            <w:tcW w:w="3400"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气体产生直接由顶膜收集，工艺简单</w:t>
            </w:r>
          </w:p>
        </w:tc>
        <w:tc>
          <w:tcPr>
            <w:tcW w:w="3390"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需要设置三相分离器、集气等复杂工艺，很容易出现气管堵塞及三相分离器漏气问题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eastAsia="Calibri" w:cs="Times New Roman"/>
                <w:bCs/>
                <w:color w:val="auto"/>
                <w:spacing w:val="7"/>
                <w:sz w:val="21"/>
                <w:szCs w:val="21"/>
              </w:rPr>
            </w:pPr>
            <w:r>
              <w:rPr>
                <w:rFonts w:hint="default" w:ascii="Times New Roman" w:hAnsi="Times New Roman" w:cs="Times New Roman"/>
                <w:bCs/>
                <w:color w:val="auto"/>
                <w:spacing w:val="7"/>
                <w:sz w:val="21"/>
                <w:szCs w:val="21"/>
              </w:rPr>
              <w:t>4</w:t>
            </w:r>
          </w:p>
        </w:tc>
        <w:tc>
          <w:tcPr>
            <w:tcW w:w="1482"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停留时间</w:t>
            </w:r>
          </w:p>
        </w:tc>
        <w:tc>
          <w:tcPr>
            <w:tcW w:w="3400"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35天停留时间较长，充分厌氧，生化反应彻底，出水沼液浓度较低，出水（茶褐色），有利于综合利用</w:t>
            </w:r>
          </w:p>
        </w:tc>
        <w:tc>
          <w:tcPr>
            <w:tcW w:w="3390"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停留时间较短，出水仍然有影响农作物生长的风险。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eastAsia="Calibri" w:cs="Times New Roman"/>
                <w:bCs/>
                <w:color w:val="auto"/>
                <w:spacing w:val="7"/>
                <w:sz w:val="21"/>
                <w:szCs w:val="21"/>
              </w:rPr>
            </w:pPr>
            <w:r>
              <w:rPr>
                <w:rFonts w:hint="default" w:ascii="Times New Roman" w:hAnsi="Times New Roman" w:cs="Times New Roman"/>
                <w:bCs/>
                <w:color w:val="auto"/>
                <w:spacing w:val="7"/>
                <w:sz w:val="21"/>
                <w:szCs w:val="21"/>
              </w:rPr>
              <w:t>5</w:t>
            </w:r>
          </w:p>
        </w:tc>
        <w:tc>
          <w:tcPr>
            <w:tcW w:w="1482"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能耗</w:t>
            </w:r>
          </w:p>
        </w:tc>
        <w:tc>
          <w:tcPr>
            <w:tcW w:w="3400"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低，不需要前处理</w:t>
            </w:r>
          </w:p>
        </w:tc>
        <w:tc>
          <w:tcPr>
            <w:tcW w:w="3390"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高，需要复杂的前处理工艺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eastAsia="Calibri" w:cs="Times New Roman"/>
                <w:bCs/>
                <w:color w:val="auto"/>
                <w:spacing w:val="7"/>
                <w:sz w:val="21"/>
                <w:szCs w:val="21"/>
              </w:rPr>
            </w:pPr>
            <w:r>
              <w:rPr>
                <w:rFonts w:hint="default" w:ascii="Times New Roman" w:hAnsi="Times New Roman" w:cs="Times New Roman"/>
                <w:bCs/>
                <w:color w:val="auto"/>
                <w:spacing w:val="7"/>
                <w:sz w:val="21"/>
                <w:szCs w:val="21"/>
              </w:rPr>
              <w:t>6</w:t>
            </w:r>
          </w:p>
        </w:tc>
        <w:tc>
          <w:tcPr>
            <w:tcW w:w="1482"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臭气</w:t>
            </w:r>
          </w:p>
        </w:tc>
        <w:tc>
          <w:tcPr>
            <w:tcW w:w="3400"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过程全密闭，反应过程中无臭气产生，反映彻底，出水臭气可降至2级，且不会在进行发酵产生臭气；</w:t>
            </w:r>
          </w:p>
        </w:tc>
        <w:tc>
          <w:tcPr>
            <w:tcW w:w="3390"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厌氧罐，敞口式设计，反应过程产生臭气，出水不稳定，进入</w:t>
            </w:r>
            <w:r>
              <w:rPr>
                <w:rFonts w:hint="default" w:ascii="Times New Roman" w:hAnsi="Times New Roman" w:cs="Times New Roman"/>
                <w:bCs/>
                <w:color w:val="auto"/>
                <w:spacing w:val="7"/>
                <w:sz w:val="21"/>
                <w:szCs w:val="21"/>
                <w:lang w:eastAsia="zh-CN"/>
              </w:rPr>
              <w:t>沼液存储池</w:t>
            </w:r>
            <w:r>
              <w:rPr>
                <w:rFonts w:hint="default" w:ascii="Times New Roman" w:hAnsi="Times New Roman" w:cs="Times New Roman"/>
                <w:bCs/>
                <w:color w:val="auto"/>
                <w:spacing w:val="7"/>
                <w:sz w:val="21"/>
                <w:szCs w:val="21"/>
              </w:rPr>
              <w:t>后仍会继续发酵产生臭气，臭气达到5级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eastAsia="Calibri" w:cs="Times New Roman"/>
                <w:bCs/>
                <w:color w:val="auto"/>
                <w:spacing w:val="7"/>
                <w:sz w:val="21"/>
                <w:szCs w:val="21"/>
              </w:rPr>
            </w:pPr>
            <w:r>
              <w:rPr>
                <w:rFonts w:hint="default" w:ascii="Times New Roman" w:hAnsi="Times New Roman" w:cs="Times New Roman"/>
                <w:bCs/>
                <w:color w:val="auto"/>
                <w:spacing w:val="7"/>
                <w:sz w:val="21"/>
                <w:szCs w:val="21"/>
              </w:rPr>
              <w:t>7</w:t>
            </w:r>
          </w:p>
        </w:tc>
        <w:tc>
          <w:tcPr>
            <w:tcW w:w="1482"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运营操作</w:t>
            </w:r>
          </w:p>
        </w:tc>
        <w:tc>
          <w:tcPr>
            <w:tcW w:w="3400"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集发酵、贮气于一体，构造简单只需开启水泵进水，定期排泥，排水位于液面以下，不用考虑浮渣问题，日常不需要管理，整个系统就可稳定运行，且出水清澈。</w:t>
            </w:r>
          </w:p>
        </w:tc>
        <w:tc>
          <w:tcPr>
            <w:tcW w:w="3390"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需要经常对进出水水质进行监测，调节厌氧反应器进水，经常观察清理浮渣，观察排气是否顺畅，整个操作较复杂。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eastAsia="Calibri" w:cs="Times New Roman"/>
                <w:bCs/>
                <w:color w:val="auto"/>
                <w:spacing w:val="7"/>
                <w:sz w:val="21"/>
                <w:szCs w:val="21"/>
              </w:rPr>
            </w:pPr>
            <w:r>
              <w:rPr>
                <w:rFonts w:hint="default" w:ascii="Times New Roman" w:hAnsi="Times New Roman" w:cs="Times New Roman"/>
                <w:bCs/>
                <w:color w:val="auto"/>
                <w:spacing w:val="7"/>
                <w:sz w:val="21"/>
                <w:szCs w:val="21"/>
              </w:rPr>
              <w:t>8</w:t>
            </w:r>
          </w:p>
        </w:tc>
        <w:tc>
          <w:tcPr>
            <w:tcW w:w="1482"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人员要求</w:t>
            </w:r>
          </w:p>
        </w:tc>
        <w:tc>
          <w:tcPr>
            <w:tcW w:w="3400"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全自动化运行只用启动水泵按钮，即可运行</w:t>
            </w:r>
          </w:p>
        </w:tc>
        <w:tc>
          <w:tcPr>
            <w:tcW w:w="3390"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操作技术要求高，对操作人员素质要求高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eastAsia="Calibri" w:cs="Times New Roman"/>
                <w:bCs/>
                <w:color w:val="auto"/>
                <w:spacing w:val="7"/>
                <w:sz w:val="21"/>
                <w:szCs w:val="21"/>
              </w:rPr>
            </w:pPr>
            <w:r>
              <w:rPr>
                <w:rFonts w:hint="default" w:ascii="Times New Roman" w:hAnsi="Times New Roman" w:cs="Times New Roman"/>
                <w:bCs/>
                <w:color w:val="auto"/>
                <w:spacing w:val="7"/>
                <w:sz w:val="21"/>
                <w:szCs w:val="21"/>
              </w:rPr>
              <w:t>9</w:t>
            </w:r>
          </w:p>
        </w:tc>
        <w:tc>
          <w:tcPr>
            <w:tcW w:w="1482"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使用寿命</w:t>
            </w:r>
          </w:p>
        </w:tc>
        <w:tc>
          <w:tcPr>
            <w:tcW w:w="3400"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60-80年</w:t>
            </w:r>
          </w:p>
        </w:tc>
        <w:tc>
          <w:tcPr>
            <w:tcW w:w="3390"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15-20年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eastAsia="Calibri" w:cs="Times New Roman"/>
                <w:bCs/>
                <w:color w:val="auto"/>
                <w:spacing w:val="7"/>
                <w:sz w:val="21"/>
                <w:szCs w:val="21"/>
              </w:rPr>
            </w:pPr>
            <w:r>
              <w:rPr>
                <w:rFonts w:hint="default" w:ascii="Times New Roman" w:hAnsi="Times New Roman" w:cs="Times New Roman"/>
                <w:bCs/>
                <w:color w:val="auto"/>
                <w:spacing w:val="7"/>
                <w:sz w:val="21"/>
                <w:szCs w:val="21"/>
              </w:rPr>
              <w:t>10</w:t>
            </w:r>
          </w:p>
        </w:tc>
        <w:tc>
          <w:tcPr>
            <w:tcW w:w="1482"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建设周期及成本</w:t>
            </w:r>
          </w:p>
        </w:tc>
        <w:tc>
          <w:tcPr>
            <w:tcW w:w="3400"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建设周期短，20天即可投入运行，每立方池容造价25-30元。</w:t>
            </w:r>
          </w:p>
        </w:tc>
        <w:tc>
          <w:tcPr>
            <w:tcW w:w="3390"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厌氧罐顺利2个月，每立方池容造价500-1000元。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6"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eastAsia="Calibri" w:cs="Times New Roman"/>
                <w:bCs/>
                <w:color w:val="auto"/>
                <w:spacing w:val="7"/>
                <w:sz w:val="21"/>
                <w:szCs w:val="21"/>
              </w:rPr>
            </w:pPr>
            <w:r>
              <w:rPr>
                <w:rFonts w:hint="default" w:ascii="Times New Roman" w:hAnsi="Times New Roman" w:cs="Times New Roman"/>
                <w:bCs/>
                <w:color w:val="auto"/>
                <w:spacing w:val="7"/>
                <w:sz w:val="21"/>
                <w:szCs w:val="21"/>
              </w:rPr>
              <w:t>11</w:t>
            </w:r>
          </w:p>
        </w:tc>
        <w:tc>
          <w:tcPr>
            <w:tcW w:w="1482"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调试启动</w:t>
            </w:r>
          </w:p>
        </w:tc>
        <w:tc>
          <w:tcPr>
            <w:tcW w:w="3400"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只用加入一定的粪便正常运行即可</w:t>
            </w:r>
          </w:p>
        </w:tc>
        <w:tc>
          <w:tcPr>
            <w:tcW w:w="3390" w:type="dxa"/>
            <w:tcMar>
              <w:top w:w="0" w:type="dxa"/>
              <w:left w:w="34" w:type="dxa"/>
              <w:bottom w:w="0" w:type="dxa"/>
              <w:right w:w="34" w:type="dxa"/>
            </w:tcMar>
            <w:vAlign w:val="center"/>
          </w:tcPr>
          <w:p>
            <w:pPr>
              <w:spacing w:line="240" w:lineRule="auto"/>
              <w:ind w:firstLine="0" w:firstLineChars="0"/>
              <w:jc w:val="center"/>
              <w:rPr>
                <w:rFonts w:hint="default" w:ascii="Times New Roman" w:hAnsi="Times New Roman" w:cs="Times New Roman"/>
                <w:bCs/>
                <w:color w:val="auto"/>
                <w:spacing w:val="7"/>
                <w:sz w:val="21"/>
                <w:szCs w:val="21"/>
              </w:rPr>
            </w:pPr>
            <w:r>
              <w:rPr>
                <w:rFonts w:hint="default" w:ascii="Times New Roman" w:hAnsi="Times New Roman" w:cs="Times New Roman"/>
                <w:bCs/>
                <w:color w:val="auto"/>
                <w:spacing w:val="7"/>
                <w:sz w:val="21"/>
                <w:szCs w:val="21"/>
              </w:rPr>
              <w:t>需要进行污泥的培养、接种等，操作复杂，启动运行慢长达30天</w:t>
            </w:r>
          </w:p>
        </w:tc>
      </w:tr>
    </w:tbl>
    <w:p>
      <w:pPr>
        <w:ind w:firstLine="480"/>
        <w:rPr>
          <w:rFonts w:hint="default" w:ascii="Times New Roman" w:hAnsi="Times New Roman" w:cs="Times New Roman"/>
          <w:bCs/>
          <w:color w:val="auto"/>
        </w:rPr>
      </w:pPr>
      <w:r>
        <w:rPr>
          <w:rFonts w:hint="default" w:ascii="Times New Roman" w:hAnsi="Times New Roman" w:cs="Times New Roman"/>
          <w:bCs/>
          <w:color w:val="auto"/>
        </w:rPr>
        <w:t>综上，UASB内污泥浓度高、有机负荷高、水力停留时间短、无混合搅拌设备、占地面积小等优点，但UASB对进水SS要求较高（SS≤1500mg/L），由于采用干清粪工艺后，使废水SS浓度较高，很难满足UASB工艺进水要求（本项目预处理后废水SS≤7000mg/L），另外，UASB建成和运营成本较高，均限制了UASB工艺的应用。建设单位广泛考察了国内其他规模化养殖项目的先进实用废水治理技术，并请教相关专家，多次研究后本项目拟采用“黑膜沼气池工艺。该工艺已在牧原公司唐河十场进行应用，取得较好的效果。目前，全国范围黑膜工艺较为普及，如新疆正大食品有限公司、兰州正大食品有限公司、广西金陵农牧集团有限公司、牧原集团公司等多家企业均采用黑膜处理工艺。</w:t>
      </w:r>
    </w:p>
    <w:p>
      <w:pPr>
        <w:ind w:firstLine="480"/>
        <w:rPr>
          <w:rFonts w:hint="default" w:ascii="Times New Roman" w:hAnsi="Times New Roman" w:cs="Times New Roman"/>
          <w:color w:val="auto"/>
        </w:rPr>
      </w:pPr>
      <w:r>
        <w:rPr>
          <w:rFonts w:hint="default" w:ascii="Times New Roman" w:hAnsi="Times New Roman" w:cs="Times New Roman"/>
          <w:color w:val="auto"/>
        </w:rPr>
        <w:t>黑膜沼气池具有施工简单方便、快速、造价低，工艺流程简单、运行维护方便，污水滞留时间长、消化充分、密封性能好、日产沼气量多，防渗膜材料抗拉强度高、抗老化及耐腐蚀性能强、防渗效果好，利用黑膜吸收阳光、增温保温效果好，池底设自动排沼渣装置、池内沼渣量少等优点。同时，黑膜沼气池还能很好地解决混凝土沼气工程因温度变化而产生收缩、胀裂引起的渗水、漏水、漏气问题以及地面式钢板沼气工程的钢板易腐蚀、管道易堵塞、设备易损坏、运行费用高等问题。</w:t>
      </w:r>
    </w:p>
    <w:p>
      <w:pPr>
        <w:tabs>
          <w:tab w:val="left" w:pos="5625"/>
        </w:tabs>
        <w:ind w:firstLine="480"/>
        <w:outlineLvl w:val="3"/>
        <w:rPr>
          <w:rFonts w:hint="default" w:ascii="Times New Roman" w:hAnsi="Times New Roman" w:cs="Times New Roman"/>
          <w:color w:val="auto"/>
        </w:rPr>
      </w:pPr>
      <w:r>
        <w:rPr>
          <w:rFonts w:hint="default" w:ascii="Times New Roman" w:hAnsi="Times New Roman" w:cs="Times New Roman"/>
          <w:color w:val="auto"/>
        </w:rPr>
        <w:t>6.2.2.2废水治理措施工艺</w:t>
      </w:r>
    </w:p>
    <w:p>
      <w:pPr>
        <w:ind w:firstLine="480"/>
        <w:rPr>
          <w:rFonts w:hint="default" w:ascii="Times New Roman" w:hAnsi="Times New Roman" w:cs="Times New Roman"/>
          <w:color w:val="auto"/>
        </w:rPr>
      </w:pPr>
      <w:r>
        <w:rPr>
          <w:rFonts w:hint="default" w:ascii="Times New Roman" w:hAnsi="Times New Roman" w:cs="Times New Roman"/>
          <w:color w:val="auto"/>
        </w:rPr>
        <w:t>本项目采用“预处理+厌氧发酵+沼液综合利用”的处理工艺。养殖废水经处理后，产生的沼气用于食堂燃料</w:t>
      </w:r>
      <w:r>
        <w:rPr>
          <w:rFonts w:hint="eastAsia" w:cs="Times New Roman"/>
          <w:color w:val="auto"/>
          <w:lang w:eastAsia="zh-CN"/>
        </w:rPr>
        <w:t>、沼气热水炉</w:t>
      </w:r>
      <w:r>
        <w:rPr>
          <w:rFonts w:hint="default" w:ascii="Times New Roman" w:hAnsi="Times New Roman" w:cs="Times New Roman"/>
          <w:color w:val="auto"/>
        </w:rPr>
        <w:t>，沼液用于农肥。该处理工艺实现了猪场自身产粪的全部消化和资源综合利用，使粪便和废水变废为宝，取得了良好的经济效益与生态效益。</w:t>
      </w:r>
    </w:p>
    <w:p>
      <w:pPr>
        <w:ind w:firstLine="480"/>
        <w:rPr>
          <w:rFonts w:hint="default" w:ascii="Times New Roman" w:hAnsi="Times New Roman" w:cs="Times New Roman"/>
          <w:color w:val="auto"/>
        </w:rPr>
      </w:pPr>
      <w:r>
        <w:rPr>
          <w:rFonts w:hint="default" w:ascii="Times New Roman" w:hAnsi="Times New Roman" w:cs="Times New Roman"/>
          <w:color w:val="auto"/>
        </w:rPr>
        <w:t>本项目污染物处理及综合利用见图6-1。</w:t>
      </w:r>
    </w:p>
    <w:p>
      <w:pPr>
        <w:widowControl/>
        <w:ind w:firstLine="0" w:firstLineChars="0"/>
        <w:jc w:val="left"/>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544820" cy="5164455"/>
            <wp:effectExtent l="9525" t="9525" r="27305" b="2667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36"/>
                    <a:stretch>
                      <a:fillRect/>
                    </a:stretch>
                  </pic:blipFill>
                  <pic:spPr>
                    <a:xfrm>
                      <a:off x="0" y="0"/>
                      <a:ext cx="5544820" cy="5164455"/>
                    </a:xfrm>
                    <a:prstGeom prst="rect">
                      <a:avLst/>
                    </a:prstGeom>
                    <a:noFill/>
                    <a:ln>
                      <a:solidFill>
                        <a:schemeClr val="tx1"/>
                      </a:solidFill>
                    </a:ln>
                  </pic:spPr>
                </pic:pic>
              </a:graphicData>
            </a:graphic>
          </wp:inline>
        </w:drawing>
      </w:r>
    </w:p>
    <w:p>
      <w:pPr>
        <w:spacing w:afterLines="30" w:line="500" w:lineRule="exact"/>
        <w:ind w:firstLine="480"/>
        <w:jc w:val="center"/>
        <w:rPr>
          <w:rFonts w:hint="default" w:ascii="Times New Roman" w:hAnsi="Times New Roman" w:eastAsia="黑体" w:cs="Times New Roman"/>
          <w:color w:val="auto"/>
          <w:szCs w:val="21"/>
        </w:rPr>
      </w:pPr>
      <w:r>
        <w:rPr>
          <w:rFonts w:hint="default" w:ascii="Times New Roman" w:hAnsi="Times New Roman" w:eastAsia="黑体" w:cs="Times New Roman"/>
          <w:color w:val="auto"/>
          <w:szCs w:val="21"/>
        </w:rPr>
        <w:t>图6-1    项目污水处理工艺流程图</w:t>
      </w:r>
    </w:p>
    <w:p>
      <w:pPr>
        <w:ind w:firstLine="480"/>
        <w:rPr>
          <w:rFonts w:hint="default" w:ascii="Times New Roman" w:hAnsi="Times New Roman" w:cs="Times New Roman"/>
          <w:color w:val="auto"/>
        </w:rPr>
      </w:pPr>
      <w:r>
        <w:rPr>
          <w:rFonts w:hint="default" w:ascii="Times New Roman" w:hAnsi="Times New Roman" w:cs="Times New Roman"/>
          <w:color w:val="auto"/>
        </w:rPr>
        <w:t>本工程污染治理工艺说明描述如下：</w:t>
      </w:r>
    </w:p>
    <w:p>
      <w:pPr>
        <w:ind w:firstLine="480"/>
        <w:rPr>
          <w:rFonts w:hint="default" w:ascii="Times New Roman" w:hAnsi="Times New Roman" w:cs="Times New Roman"/>
          <w:color w:val="auto"/>
        </w:rPr>
      </w:pPr>
      <w:r>
        <w:rPr>
          <w:rFonts w:hint="default" w:ascii="Times New Roman" w:hAnsi="Times New Roman" w:cs="Times New Roman"/>
          <w:color w:val="auto"/>
        </w:rPr>
        <w:t>收集池、固液分离机：主要目的是为减轻后续工艺负荷，减少投资，通过物理方法去除杂质，实现减量化。</w:t>
      </w:r>
    </w:p>
    <w:p>
      <w:pPr>
        <w:ind w:firstLine="480"/>
        <w:rPr>
          <w:rFonts w:hint="default" w:ascii="Times New Roman" w:hAnsi="Times New Roman" w:cs="Times New Roman"/>
          <w:color w:val="auto"/>
        </w:rPr>
      </w:pPr>
      <w:r>
        <w:rPr>
          <w:rFonts w:hint="default" w:ascii="Times New Roman" w:hAnsi="Times New Roman" w:cs="Times New Roman"/>
          <w:color w:val="auto"/>
        </w:rPr>
        <w:t>黑膜沼气池：本项目废水经固液分离后经进入黑膜沼气池，经35天厌氧发酵去除大部分有机物，沼液排入</w:t>
      </w:r>
      <w:r>
        <w:rPr>
          <w:rFonts w:hint="default" w:ascii="Times New Roman" w:hAnsi="Times New Roman" w:cs="Times New Roman"/>
          <w:color w:val="auto"/>
          <w:lang w:eastAsia="zh-CN"/>
        </w:rPr>
        <w:t>沼液存储池</w:t>
      </w:r>
      <w:r>
        <w:rPr>
          <w:rFonts w:hint="default" w:ascii="Times New Roman" w:hAnsi="Times New Roman" w:cs="Times New Roman"/>
          <w:color w:val="auto"/>
        </w:rPr>
        <w:t>暂存，沼渣经底部设置排沼渣管道排出。</w:t>
      </w:r>
    </w:p>
    <w:p>
      <w:pPr>
        <w:ind w:firstLine="480"/>
        <w:rPr>
          <w:rFonts w:hint="default" w:ascii="Times New Roman" w:hAnsi="Times New Roman" w:cs="Times New Roman"/>
          <w:color w:val="auto"/>
        </w:rPr>
      </w:pPr>
      <w:r>
        <w:rPr>
          <w:rFonts w:hint="default" w:ascii="Times New Roman" w:hAnsi="Times New Roman" w:cs="Times New Roman"/>
          <w:color w:val="auto"/>
        </w:rPr>
        <w:t>①污水处理规模的确定</w:t>
      </w:r>
    </w:p>
    <w:p>
      <w:pPr>
        <w:ind w:firstLine="480"/>
        <w:rPr>
          <w:rFonts w:hint="default" w:ascii="Times New Roman" w:hAnsi="Times New Roman" w:cs="Times New Roman"/>
          <w:color w:val="auto"/>
        </w:rPr>
      </w:pPr>
      <w:r>
        <w:rPr>
          <w:rFonts w:hint="default" w:ascii="Times New Roman" w:hAnsi="Times New Roman" w:cs="Times New Roman"/>
          <w:color w:val="auto"/>
        </w:rPr>
        <w:t>本项目夏季废水量为124.42m</w:t>
      </w:r>
      <w:r>
        <w:rPr>
          <w:rFonts w:hint="default" w:ascii="Times New Roman" w:hAnsi="Times New Roman" w:cs="Times New Roman"/>
          <w:color w:val="auto"/>
          <w:vertAlign w:val="superscript"/>
        </w:rPr>
        <w:t>3</w:t>
      </w:r>
      <w:r>
        <w:rPr>
          <w:rFonts w:hint="default" w:ascii="Times New Roman" w:hAnsi="Times New Roman" w:cs="Times New Roman"/>
          <w:color w:val="auto"/>
        </w:rPr>
        <w:t>/d（夏季最大），设置一座黑膜沼气池。黑膜沼气池的水力停留时间为35d，本项目黑膜沼气池规模设计为12293m</w:t>
      </w:r>
      <w:r>
        <w:rPr>
          <w:rFonts w:hint="default" w:ascii="Times New Roman" w:hAnsi="Times New Roman" w:cs="Times New Roman"/>
          <w:color w:val="auto"/>
          <w:vertAlign w:val="superscript"/>
        </w:rPr>
        <w:t>3</w:t>
      </w:r>
      <w:r>
        <w:rPr>
          <w:rFonts w:hint="default" w:ascii="Times New Roman" w:hAnsi="Times New Roman" w:cs="Times New Roman"/>
          <w:color w:val="auto"/>
        </w:rPr>
        <w:t>，能够满足项目35d废水处理需要。</w:t>
      </w:r>
    </w:p>
    <w:p>
      <w:pPr>
        <w:ind w:firstLine="480"/>
        <w:rPr>
          <w:rFonts w:hint="default" w:ascii="Times New Roman" w:hAnsi="Times New Roman" w:eastAsia="宋体" w:cs="Times New Roman"/>
          <w:b/>
          <w:bCs/>
          <w:color w:val="auto"/>
          <w:u w:val="single"/>
          <w:lang w:eastAsia="zh-CN"/>
        </w:rPr>
      </w:pPr>
      <w:r>
        <w:rPr>
          <w:rFonts w:hint="default" w:ascii="Times New Roman" w:hAnsi="Times New Roman" w:cs="Times New Roman"/>
          <w:b/>
          <w:bCs/>
          <w:color w:val="auto"/>
          <w:u w:val="single"/>
        </w:rPr>
        <w:fldChar w:fldCharType="begin"/>
      </w:r>
      <w:r>
        <w:rPr>
          <w:rFonts w:hint="default" w:ascii="Times New Roman" w:hAnsi="Times New Roman" w:cs="Times New Roman"/>
          <w:b/>
          <w:bCs/>
          <w:color w:val="auto"/>
          <w:u w:val="single"/>
        </w:rPr>
        <w:instrText xml:space="preserve"> = 2 \* GB3 </w:instrText>
      </w:r>
      <w:r>
        <w:rPr>
          <w:rFonts w:hint="default" w:ascii="Times New Roman" w:hAnsi="Times New Roman" w:cs="Times New Roman"/>
          <w:b/>
          <w:bCs/>
          <w:color w:val="auto"/>
          <w:u w:val="single"/>
        </w:rPr>
        <w:fldChar w:fldCharType="separate"/>
      </w:r>
      <w:r>
        <w:rPr>
          <w:rFonts w:hint="default" w:ascii="Times New Roman" w:hAnsi="Times New Roman" w:cs="Times New Roman"/>
          <w:b/>
          <w:bCs/>
          <w:color w:val="auto"/>
          <w:u w:val="single"/>
        </w:rPr>
        <w:t>②</w:t>
      </w:r>
      <w:r>
        <w:rPr>
          <w:rFonts w:hint="default" w:ascii="Times New Roman" w:hAnsi="Times New Roman" w:cs="Times New Roman"/>
          <w:b/>
          <w:bCs/>
          <w:color w:val="auto"/>
          <w:u w:val="single"/>
        </w:rPr>
        <w:fldChar w:fldCharType="end"/>
      </w:r>
      <w:r>
        <w:rPr>
          <w:rFonts w:hint="default" w:ascii="Times New Roman" w:hAnsi="Times New Roman" w:cs="Times New Roman"/>
          <w:b/>
          <w:bCs/>
          <w:color w:val="auto"/>
          <w:u w:val="single"/>
          <w:lang w:eastAsia="zh-CN"/>
        </w:rPr>
        <w:t>沼液存储池</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根据《畜禽养殖业污染治理工程技术规范》（HT497-2009）中“贮存池的总有效容积应根据贮存期确定。种养结合的养殖场，贮存池的贮存期不得低于当地农作物生产用肥的最大间隔时间和冬季封冻或雨季最长降雨期，一般不得低于30天的排放总量。</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结合相关法规、牧原养殖场产生污水实际及当地农业施肥实际要求，本项目实际</w:t>
      </w:r>
      <w:r>
        <w:rPr>
          <w:rFonts w:hint="default" w:ascii="Times New Roman" w:hAnsi="Times New Roman" w:cs="Times New Roman"/>
          <w:b/>
          <w:bCs/>
          <w:color w:val="auto"/>
          <w:u w:val="single"/>
          <w:lang w:eastAsia="zh-CN"/>
        </w:rPr>
        <w:t>沼液存储池</w:t>
      </w:r>
      <w:r>
        <w:rPr>
          <w:rFonts w:hint="default" w:ascii="Times New Roman" w:hAnsi="Times New Roman" w:cs="Times New Roman"/>
          <w:b/>
          <w:bCs/>
          <w:color w:val="auto"/>
          <w:u w:val="single"/>
        </w:rPr>
        <w:t>按能够容纳不少于200天的沼液量设计，按照夏季一天最大沼液量为1</w:t>
      </w:r>
      <w:r>
        <w:rPr>
          <w:rFonts w:hint="default" w:ascii="Times New Roman" w:hAnsi="Times New Roman" w:cs="Times New Roman"/>
          <w:b/>
          <w:bCs/>
          <w:color w:val="auto"/>
          <w:u w:val="single"/>
          <w:lang w:val="en-US" w:eastAsia="zh-CN"/>
        </w:rPr>
        <w:t>19.25</w:t>
      </w:r>
      <w:r>
        <w:rPr>
          <w:rFonts w:hint="default" w:ascii="Times New Roman" w:hAnsi="Times New Roman" w:cs="Times New Roman"/>
          <w:b/>
          <w:bCs/>
          <w:color w:val="auto"/>
          <w:u w:val="single"/>
        </w:rPr>
        <w:t>m</w:t>
      </w:r>
      <w:r>
        <w:rPr>
          <w:rFonts w:hint="default" w:ascii="Times New Roman" w:hAnsi="Times New Roman" w:cs="Times New Roman"/>
          <w:b/>
          <w:bCs/>
          <w:color w:val="auto"/>
          <w:u w:val="single"/>
          <w:vertAlign w:val="superscript"/>
        </w:rPr>
        <w:t>3</w:t>
      </w:r>
      <w:r>
        <w:rPr>
          <w:rFonts w:hint="default" w:ascii="Times New Roman" w:hAnsi="Times New Roman" w:cs="Times New Roman"/>
          <w:b/>
          <w:bCs/>
          <w:color w:val="auto"/>
          <w:u w:val="single"/>
        </w:rPr>
        <w:t>/d，计算200天的沼液量为2</w:t>
      </w:r>
      <w:r>
        <w:rPr>
          <w:rFonts w:hint="default" w:ascii="Times New Roman" w:hAnsi="Times New Roman" w:cs="Times New Roman"/>
          <w:b/>
          <w:bCs/>
          <w:color w:val="auto"/>
          <w:u w:val="single"/>
          <w:lang w:val="en-US" w:eastAsia="zh-CN"/>
        </w:rPr>
        <w:t>3850</w:t>
      </w:r>
      <w:r>
        <w:rPr>
          <w:rFonts w:hint="default" w:ascii="Times New Roman" w:hAnsi="Times New Roman" w:cs="Times New Roman"/>
          <w:b/>
          <w:bCs/>
          <w:color w:val="auto"/>
          <w:u w:val="single"/>
        </w:rPr>
        <w:t>m</w:t>
      </w:r>
      <w:r>
        <w:rPr>
          <w:rFonts w:hint="default" w:ascii="Times New Roman" w:hAnsi="Times New Roman" w:cs="Times New Roman"/>
          <w:b/>
          <w:bCs/>
          <w:color w:val="auto"/>
          <w:u w:val="single"/>
          <w:vertAlign w:val="superscript"/>
        </w:rPr>
        <w:t>3</w:t>
      </w:r>
      <w:r>
        <w:rPr>
          <w:rFonts w:hint="default" w:ascii="Times New Roman" w:hAnsi="Times New Roman" w:cs="Times New Roman"/>
          <w:b/>
          <w:bCs/>
          <w:color w:val="auto"/>
          <w:u w:val="single"/>
        </w:rPr>
        <w:t>，另外根据机械工业部第四设计研究院采用数理统计法编制的暴雨强度计算公式计算，降雨历时2.5h，汇水面积按</w:t>
      </w:r>
      <w:r>
        <w:rPr>
          <w:rFonts w:hint="default" w:ascii="Times New Roman" w:hAnsi="Times New Roman" w:eastAsia="Times New Roman" w:cs="Times New Roman"/>
          <w:b/>
          <w:bCs/>
          <w:color w:val="auto"/>
          <w:spacing w:val="-3"/>
          <w:u w:val="single"/>
        </w:rPr>
        <w:t>1</w:t>
      </w:r>
      <w:r>
        <w:rPr>
          <w:rFonts w:hint="default" w:ascii="Times New Roman" w:hAnsi="Times New Roman" w:cs="Times New Roman"/>
          <w:b/>
          <w:bCs/>
          <w:color w:val="auto"/>
          <w:spacing w:val="-3"/>
          <w:u w:val="single"/>
        </w:rPr>
        <w:t>0000</w:t>
      </w:r>
      <w:r>
        <w:rPr>
          <w:rFonts w:hint="default" w:ascii="Times New Roman" w:hAnsi="Times New Roman" w:eastAsia="Times New Roman" w:cs="Times New Roman"/>
          <w:b/>
          <w:bCs/>
          <w:color w:val="auto"/>
          <w:spacing w:val="-3"/>
          <w:u w:val="single"/>
        </w:rPr>
        <w:t>m</w:t>
      </w:r>
      <w:r>
        <w:rPr>
          <w:rFonts w:hint="default" w:ascii="Times New Roman" w:hAnsi="Times New Roman" w:eastAsia="Times New Roman" w:cs="Times New Roman"/>
          <w:b/>
          <w:bCs/>
          <w:color w:val="auto"/>
          <w:spacing w:val="-3"/>
          <w:position w:val="8"/>
          <w:sz w:val="15"/>
          <w:szCs w:val="15"/>
          <w:u w:val="single"/>
        </w:rPr>
        <w:t>2</w:t>
      </w:r>
      <w:r>
        <w:rPr>
          <w:rFonts w:hint="default" w:ascii="Times New Roman" w:hAnsi="Times New Roman" w:cs="Times New Roman"/>
          <w:b/>
          <w:bCs/>
          <w:color w:val="auto"/>
          <w:u w:val="single"/>
        </w:rPr>
        <w:t>计，则需预留降雨容积为1943</w:t>
      </w:r>
      <w:r>
        <w:rPr>
          <w:rFonts w:hint="default" w:ascii="Times New Roman" w:hAnsi="Times New Roman" w:eastAsia="Times New Roman" w:cs="Times New Roman"/>
          <w:b/>
          <w:bCs/>
          <w:color w:val="auto"/>
          <w:u w:val="single"/>
        </w:rPr>
        <w:t>m</w:t>
      </w:r>
      <w:r>
        <w:rPr>
          <w:rFonts w:hint="default" w:ascii="Times New Roman" w:hAnsi="Times New Roman" w:eastAsia="Times New Roman" w:cs="Times New Roman"/>
          <w:b/>
          <w:bCs/>
          <w:color w:val="auto"/>
          <w:position w:val="8"/>
          <w:sz w:val="15"/>
          <w:szCs w:val="15"/>
          <w:u w:val="single"/>
        </w:rPr>
        <w:t>3</w:t>
      </w:r>
      <w:r>
        <w:rPr>
          <w:rFonts w:hint="default" w:ascii="Times New Roman" w:hAnsi="Times New Roman" w:cs="Times New Roman"/>
          <w:b/>
          <w:bCs/>
          <w:color w:val="auto"/>
          <w:u w:val="single"/>
        </w:rPr>
        <w:t>。</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另外，根据《畜禽养殖污水贮存设施设计要求》（GB/T26624-2011）沼液存储池的容积要求，存储池预留0.9m高的空间，预留体积按照设施的实际长和宽以及预留高度进行计算。根据牧原公司设计资料，</w:t>
      </w:r>
      <w:r>
        <w:rPr>
          <w:rFonts w:hint="default" w:ascii="Times New Roman" w:hAnsi="Times New Roman" w:cs="Times New Roman"/>
          <w:b/>
          <w:bCs/>
          <w:color w:val="auto"/>
          <w:spacing w:val="17"/>
          <w:u w:val="single"/>
          <w:lang w:eastAsia="zh-CN"/>
        </w:rPr>
        <w:t>沼液存储池</w:t>
      </w:r>
      <w:r>
        <w:rPr>
          <w:rFonts w:hint="default" w:ascii="Times New Roman" w:hAnsi="Times New Roman" w:cs="Times New Roman"/>
          <w:b/>
          <w:bCs/>
          <w:color w:val="auto"/>
          <w:spacing w:val="17"/>
          <w:u w:val="single"/>
        </w:rPr>
        <w:t>占地面积为</w:t>
      </w:r>
      <w:r>
        <w:rPr>
          <w:rFonts w:hint="default" w:ascii="Times New Roman" w:hAnsi="Times New Roman" w:cs="Times New Roman"/>
          <w:b/>
          <w:bCs/>
          <w:color w:val="auto"/>
          <w:u w:val="single"/>
        </w:rPr>
        <w:t>10000</w:t>
      </w:r>
      <w:r>
        <w:rPr>
          <w:rFonts w:hint="default" w:ascii="Times New Roman" w:hAnsi="Times New Roman" w:eastAsia="Times New Roman" w:cs="Times New Roman"/>
          <w:b/>
          <w:bCs/>
          <w:color w:val="auto"/>
          <w:u w:val="single"/>
        </w:rPr>
        <w:t>m</w:t>
      </w:r>
      <w:r>
        <w:rPr>
          <w:rFonts w:hint="default" w:ascii="Times New Roman" w:hAnsi="Times New Roman" w:eastAsia="Times New Roman" w:cs="Times New Roman"/>
          <w:b/>
          <w:bCs/>
          <w:color w:val="auto"/>
          <w:position w:val="8"/>
          <w:sz w:val="15"/>
          <w:szCs w:val="15"/>
          <w:u w:val="single"/>
        </w:rPr>
        <w:t>2</w:t>
      </w:r>
      <w:r>
        <w:rPr>
          <w:rFonts w:hint="default" w:ascii="Times New Roman" w:hAnsi="Times New Roman" w:cs="Times New Roman"/>
          <w:b/>
          <w:bCs/>
          <w:color w:val="auto"/>
          <w:u w:val="single"/>
        </w:rPr>
        <w:t>，考虑预留0.9m超高，则预留体积为9000m</w:t>
      </w:r>
      <w:r>
        <w:rPr>
          <w:rFonts w:hint="default" w:ascii="Times New Roman" w:hAnsi="Times New Roman" w:cs="Times New Roman"/>
          <w:b/>
          <w:bCs/>
          <w:color w:val="auto"/>
          <w:u w:val="single"/>
          <w:vertAlign w:val="superscript"/>
        </w:rPr>
        <w:t>3</w:t>
      </w:r>
      <w:r>
        <w:rPr>
          <w:rFonts w:hint="default" w:ascii="Times New Roman" w:hAnsi="Times New Roman" w:cs="Times New Roman"/>
          <w:b/>
          <w:bCs/>
          <w:color w:val="auto"/>
          <w:u w:val="single"/>
        </w:rPr>
        <w:t>。</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lang w:eastAsia="zh-CN"/>
        </w:rPr>
        <w:t>沼液存储池</w:t>
      </w:r>
      <w:r>
        <w:rPr>
          <w:rFonts w:hint="default" w:ascii="Times New Roman" w:hAnsi="Times New Roman" w:cs="Times New Roman"/>
          <w:b/>
          <w:bCs/>
          <w:color w:val="auto"/>
          <w:u w:val="single"/>
        </w:rPr>
        <w:t>最大所需总容积=储存时间×夏季最大产污水量+最大小时降雨量×降雨历时+储存池预留高×储存池占地面积；</w:t>
      </w:r>
    </w:p>
    <w:p>
      <w:pPr>
        <w:ind w:firstLine="480"/>
        <w:rPr>
          <w:rFonts w:hint="default" w:ascii="Times New Roman" w:hAnsi="Times New Roman" w:cs="Times New Roman"/>
          <w:color w:val="auto"/>
        </w:rPr>
      </w:pPr>
      <w:r>
        <w:rPr>
          <w:rFonts w:hint="default" w:ascii="Times New Roman" w:hAnsi="Times New Roman" w:cs="Times New Roman"/>
          <w:b/>
          <w:bCs/>
          <w:color w:val="auto"/>
          <w:u w:val="single"/>
        </w:rPr>
        <w:t>经计算，</w:t>
      </w:r>
      <w:r>
        <w:rPr>
          <w:rFonts w:hint="default" w:ascii="Times New Roman" w:hAnsi="Times New Roman" w:cs="Times New Roman"/>
          <w:b/>
          <w:bCs/>
          <w:color w:val="auto"/>
          <w:u w:val="single"/>
          <w:lang w:eastAsia="zh-CN"/>
        </w:rPr>
        <w:t>沼液存储池</w:t>
      </w:r>
      <w:r>
        <w:rPr>
          <w:rFonts w:hint="default" w:ascii="Times New Roman" w:hAnsi="Times New Roman" w:cs="Times New Roman"/>
          <w:b/>
          <w:bCs/>
          <w:color w:val="auto"/>
          <w:u w:val="single"/>
        </w:rPr>
        <w:t>200d储存沼液最大所需总容积为</w:t>
      </w:r>
      <w:r>
        <w:rPr>
          <w:rFonts w:hint="default" w:ascii="Times New Roman" w:hAnsi="Times New Roman" w:cs="Times New Roman"/>
          <w:b/>
          <w:bCs/>
          <w:color w:val="auto"/>
          <w:u w:val="single"/>
          <w:lang w:val="en-US" w:eastAsia="zh-CN"/>
        </w:rPr>
        <w:t>34793</w:t>
      </w:r>
      <w:r>
        <w:rPr>
          <w:rFonts w:hint="default" w:ascii="Times New Roman" w:hAnsi="Times New Roman" w:cs="Times New Roman"/>
          <w:b/>
          <w:bCs/>
          <w:color w:val="auto"/>
          <w:u w:val="single"/>
        </w:rPr>
        <w:t>m</w:t>
      </w:r>
      <w:r>
        <w:rPr>
          <w:rFonts w:hint="default" w:ascii="Times New Roman" w:hAnsi="Times New Roman" w:cs="Times New Roman"/>
          <w:b/>
          <w:bCs/>
          <w:color w:val="auto"/>
          <w:u w:val="single"/>
          <w:vertAlign w:val="superscript"/>
        </w:rPr>
        <w:t>3</w:t>
      </w:r>
      <w:r>
        <w:rPr>
          <w:rFonts w:hint="default" w:ascii="Times New Roman" w:hAnsi="Times New Roman" w:cs="Times New Roman"/>
          <w:b/>
          <w:bCs/>
          <w:color w:val="auto"/>
          <w:u w:val="single"/>
        </w:rPr>
        <w:t>，根据建设单位提供资料，拟设置一个41500m</w:t>
      </w:r>
      <w:r>
        <w:rPr>
          <w:rFonts w:hint="default" w:ascii="Times New Roman" w:hAnsi="Times New Roman" w:cs="Times New Roman"/>
          <w:b/>
          <w:bCs/>
          <w:color w:val="auto"/>
          <w:u w:val="single"/>
          <w:vertAlign w:val="superscript"/>
        </w:rPr>
        <w:t>3</w:t>
      </w:r>
      <w:r>
        <w:rPr>
          <w:rFonts w:hint="default" w:ascii="Times New Roman" w:hAnsi="Times New Roman" w:cs="Times New Roman"/>
          <w:b/>
          <w:bCs/>
          <w:color w:val="auto"/>
          <w:u w:val="single"/>
        </w:rPr>
        <w:t>沼液池，可以满足项目200天储存沼液的需要。</w:t>
      </w:r>
    </w:p>
    <w:p>
      <w:pPr>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③</w:t>
      </w:r>
      <w:r>
        <w:rPr>
          <w:rFonts w:hint="default" w:ascii="Times New Roman" w:hAnsi="Times New Roman" w:cs="Times New Roman"/>
          <w:color w:val="auto"/>
        </w:rPr>
        <w:fldChar w:fldCharType="end"/>
      </w:r>
      <w:r>
        <w:rPr>
          <w:rFonts w:hint="default" w:ascii="Times New Roman" w:hAnsi="Times New Roman" w:cs="Times New Roman"/>
          <w:color w:val="auto"/>
        </w:rPr>
        <w:t>污水处理效果的分析</w:t>
      </w:r>
    </w:p>
    <w:p>
      <w:pPr>
        <w:ind w:firstLine="480"/>
        <w:rPr>
          <w:rFonts w:hint="default" w:ascii="Times New Roman" w:hAnsi="Times New Roman" w:cs="Times New Roman"/>
          <w:color w:val="auto"/>
        </w:rPr>
      </w:pPr>
      <w:r>
        <w:rPr>
          <w:rFonts w:hint="default" w:ascii="Times New Roman" w:hAnsi="Times New Roman" w:cs="Times New Roman"/>
          <w:color w:val="auto"/>
        </w:rPr>
        <w:t>本项目废水处理预测结果见表6.2-2。</w:t>
      </w:r>
    </w:p>
    <w:p>
      <w:pPr>
        <w:spacing w:afterLines="30"/>
        <w:ind w:firstLine="482"/>
        <w:jc w:val="center"/>
        <w:rPr>
          <w:rFonts w:hint="default" w:ascii="Times New Roman" w:hAnsi="Times New Roman" w:cs="Times New Roman"/>
          <w:b/>
          <w:bCs/>
          <w:color w:val="auto"/>
        </w:rPr>
      </w:pPr>
      <w:r>
        <w:rPr>
          <w:rFonts w:hint="default" w:ascii="Times New Roman" w:hAnsi="Times New Roman" w:cs="Times New Roman"/>
          <w:b/>
          <w:bCs/>
          <w:color w:val="auto"/>
        </w:rPr>
        <w:t>表6.2-2                     废水处理效率及预测结果</w:t>
      </w:r>
    </w:p>
    <w:tbl>
      <w:tblPr>
        <w:tblStyle w:val="25"/>
        <w:tblW w:w="9172" w:type="dxa"/>
        <w:tblInd w:w="0" w:type="dxa"/>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40"/>
        <w:gridCol w:w="1385"/>
        <w:gridCol w:w="1578"/>
        <w:gridCol w:w="1578"/>
        <w:gridCol w:w="1578"/>
        <w:gridCol w:w="1613"/>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25" w:type="dxa"/>
            <w:gridSpan w:val="2"/>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处理工段</w:t>
            </w:r>
          </w:p>
        </w:tc>
        <w:tc>
          <w:tcPr>
            <w:tcW w:w="6347" w:type="dxa"/>
            <w:gridSpan w:val="4"/>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主要污染物浓度（mg/L）</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25" w:type="dxa"/>
            <w:gridSpan w:val="2"/>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7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157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157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1613"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40"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废水处理系统</w:t>
            </w:r>
          </w:p>
        </w:tc>
        <w:tc>
          <w:tcPr>
            <w:tcW w:w="138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进水</w:t>
            </w:r>
          </w:p>
        </w:tc>
        <w:tc>
          <w:tcPr>
            <w:tcW w:w="157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19813</w:t>
            </w:r>
          </w:p>
        </w:tc>
        <w:tc>
          <w:tcPr>
            <w:tcW w:w="157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7555</w:t>
            </w:r>
          </w:p>
        </w:tc>
        <w:tc>
          <w:tcPr>
            <w:tcW w:w="157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15095</w:t>
            </w:r>
          </w:p>
        </w:tc>
        <w:tc>
          <w:tcPr>
            <w:tcW w:w="1613"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1133</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40"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38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去除率</w:t>
            </w:r>
          </w:p>
        </w:tc>
        <w:tc>
          <w:tcPr>
            <w:tcW w:w="157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93</w:t>
            </w:r>
            <w:r>
              <w:rPr>
                <w:rFonts w:hint="default" w:ascii="Times New Roman" w:hAnsi="Times New Roman" w:cs="Times New Roman"/>
                <w:color w:val="auto"/>
                <w:sz w:val="21"/>
                <w:szCs w:val="21"/>
              </w:rPr>
              <w:t>%</w:t>
            </w:r>
          </w:p>
        </w:tc>
        <w:tc>
          <w:tcPr>
            <w:tcW w:w="157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81.5%</w:t>
            </w:r>
          </w:p>
        </w:tc>
        <w:tc>
          <w:tcPr>
            <w:tcW w:w="157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86.8%</w:t>
            </w:r>
          </w:p>
        </w:tc>
        <w:tc>
          <w:tcPr>
            <w:tcW w:w="1613"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20.6%</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40"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385"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出水</w:t>
            </w:r>
          </w:p>
        </w:tc>
        <w:tc>
          <w:tcPr>
            <w:tcW w:w="1578" w:type="dxa"/>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1913.1</w:t>
            </w:r>
          </w:p>
        </w:tc>
        <w:tc>
          <w:tcPr>
            <w:tcW w:w="1578" w:type="dxa"/>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1400</w:t>
            </w:r>
          </w:p>
        </w:tc>
        <w:tc>
          <w:tcPr>
            <w:tcW w:w="1578" w:type="dxa"/>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2000</w:t>
            </w:r>
          </w:p>
        </w:tc>
        <w:tc>
          <w:tcPr>
            <w:tcW w:w="1613" w:type="dxa"/>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900</w:t>
            </w:r>
          </w:p>
        </w:tc>
      </w:tr>
    </w:tbl>
    <w:p>
      <w:pPr>
        <w:ind w:firstLine="480"/>
        <w:rPr>
          <w:rFonts w:hint="default" w:ascii="Times New Roman" w:hAnsi="Times New Roman" w:cs="Times New Roman"/>
          <w:color w:val="auto"/>
        </w:rPr>
      </w:pPr>
      <w:r>
        <w:rPr>
          <w:rFonts w:hint="default" w:ascii="Times New Roman" w:hAnsi="Times New Roman" w:cs="Times New Roman"/>
          <w:color w:val="auto"/>
        </w:rPr>
        <w:t>由表6.2-2知，养殖区综合废水经污水处置工程处理后，本项目COD、BOD</w:t>
      </w:r>
      <w:r>
        <w:rPr>
          <w:rFonts w:hint="default" w:ascii="Times New Roman" w:hAnsi="Times New Roman" w:cs="Times New Roman"/>
          <w:color w:val="auto"/>
          <w:vertAlign w:val="subscript"/>
        </w:rPr>
        <w:t>5</w:t>
      </w:r>
      <w:r>
        <w:rPr>
          <w:rFonts w:hint="default" w:ascii="Times New Roman" w:hAnsi="Times New Roman" w:cs="Times New Roman"/>
          <w:color w:val="auto"/>
        </w:rPr>
        <w:t>、SS的去除率分别可达到</w:t>
      </w:r>
      <w:r>
        <w:rPr>
          <w:rFonts w:hint="default" w:ascii="Times New Roman" w:hAnsi="Times New Roman" w:cs="Times New Roman"/>
          <w:color w:val="auto"/>
          <w:lang w:val="en-US" w:eastAsia="zh-CN"/>
        </w:rPr>
        <w:t>93</w:t>
      </w:r>
      <w:r>
        <w:rPr>
          <w:rFonts w:hint="default" w:ascii="Times New Roman" w:hAnsi="Times New Roman" w:cs="Times New Roman"/>
          <w:color w:val="auto"/>
        </w:rPr>
        <w:t>%、81.5%、86.7%以上。</w:t>
      </w:r>
    </w:p>
    <w:p>
      <w:pPr>
        <w:tabs>
          <w:tab w:val="left" w:pos="5625"/>
        </w:tabs>
        <w:ind w:firstLine="480"/>
        <w:outlineLvl w:val="3"/>
        <w:rPr>
          <w:rFonts w:hint="default" w:ascii="Times New Roman" w:hAnsi="Times New Roman" w:cs="Times New Roman"/>
          <w:color w:val="auto"/>
        </w:rPr>
      </w:pPr>
      <w:r>
        <w:rPr>
          <w:rFonts w:hint="default" w:ascii="Times New Roman" w:hAnsi="Times New Roman" w:cs="Times New Roman"/>
          <w:color w:val="auto"/>
        </w:rPr>
        <w:t>6.2.2.3沼液综合利用措施可行性分析</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本次评价从沼液营养成分、土地消纳能力以及现实操作性等方面来分析沼液农肥利用系统的可行性。</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（1）沼液营养成分</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根据国内外大量实验研究及实际运用表明，沼液尤其是养殖废水处理后的沼液，不仅含有作物所需求丰富的N、P、K等大量元素，还含有硼、铜、铁、锰、钙、锌等中微量元素，以及大量的有机质、多种氨基酸和维生素等。施用沼液，不仅能显著改良土壤、增加作物产量、确保农作物生长所需要的良好微生态系统，还有利于增强其抗冻、抗旱、抗虫能力。因此沼液是一种非常理想的液态肥料。</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项目沼液做农田液体肥综合利用，环评的重点从沼液营养成分、土地消纳能力以及现实操作性等方面来分析沼液农肥利用系统的可行性。</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（2）土地沼液消纳能力</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①沼液肥效确定</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多年来，清丰耕作种植为一年两熟，夏季收获以小麦为主、秋季收获以玉米为主，因此农田消纳主要以小麦-玉米为主。</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沼液中含量最多也是最主要的可被作物吸收利用的为N素。根据工程分析，项目沼液中的氨氮含量为900mg/L，查找类比资料可知，养殖废水中氨氮浓度为总氮的80%左右，则总氮浓度为1125mg/L。</w:t>
      </w:r>
    </w:p>
    <w:p>
      <w:pPr>
        <w:ind w:left="-360" w:firstLine="964" w:firstLineChars="400"/>
        <w:rPr>
          <w:rFonts w:hint="default" w:ascii="Times New Roman" w:hAnsi="Times New Roman" w:cs="Times New Roman"/>
          <w:b/>
          <w:bCs/>
          <w:color w:val="auto"/>
          <w:u w:val="single"/>
        </w:rPr>
      </w:pPr>
      <w:r>
        <w:rPr>
          <w:rFonts w:hint="default" w:ascii="Times New Roman" w:hAnsi="Times New Roman" w:cs="Times New Roman"/>
          <w:b/>
          <w:bCs/>
          <w:color w:val="auto"/>
          <w:u w:val="single"/>
        </w:rPr>
        <w:t>②农田消纳能力计算</w:t>
      </w:r>
    </w:p>
    <w:p>
      <w:pPr>
        <w:widowControl/>
        <w:ind w:firstLine="480"/>
        <w:jc w:val="left"/>
        <w:rPr>
          <w:rFonts w:hint="default" w:ascii="Times New Roman" w:hAnsi="Times New Roman" w:cs="Times New Roman"/>
          <w:b/>
          <w:bCs/>
          <w:color w:val="auto"/>
          <w:u w:val="single"/>
        </w:rPr>
      </w:pPr>
      <w:r>
        <w:rPr>
          <w:rFonts w:hint="default" w:ascii="Times New Roman" w:hAnsi="Times New Roman" w:cs="Times New Roman"/>
          <w:b/>
          <w:bCs/>
          <w:color w:val="auto"/>
          <w:u w:val="single"/>
        </w:rPr>
        <w:t>按照省环保厅、省农业厅、省畜牧局《关于印发畜禽养殖业污染源总量减排技术指导意见（试行）的通知》（豫环文2012）99号中“养猪场采用干清粪方式，场建设治污设施，即粪便生产有机肥或制沼气，有机肥、沼渣还田；污水/尿液经处理后还田，无污水排放口进行外排”，采用此模式要求养殖场每出栏10头猪需配套不少于1亩土地。</w:t>
      </w:r>
    </w:p>
    <w:p>
      <w:pPr>
        <w:widowControl/>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本项目养殖过程产生的猪粪经固液分离机分离后运至固粪处理区堆肥发酵，产生的沼渣与堆肥发酵后的肥料在固粪处理区制有机肥，只有污水处理系统产生的沼液在储存池暂存后用于农田施肥，不适合“畜禽养殖业污染源总量减排技术指导意见（试行）”的计算方法。沼液中含有丰富的氮、磷、钾等元素，其中含量最多也是最主要的可被作物吸收利用的为氮元素。本次评价通过氮元素在猪粪、沼液和沼渣中的含量比来计算本项目产生的沼液需要消纳地的面积。</w:t>
      </w:r>
    </w:p>
    <w:p>
      <w:pPr>
        <w:pStyle w:val="11"/>
        <w:ind w:firstLine="464"/>
        <w:rPr>
          <w:rFonts w:hint="default" w:ascii="Times New Roman" w:hAnsi="Times New Roman" w:cs="Times New Roman"/>
          <w:b/>
          <w:bCs/>
          <w:color w:val="auto"/>
          <w:u w:val="single"/>
        </w:rPr>
      </w:pPr>
      <w:r>
        <w:rPr>
          <w:rFonts w:hint="default" w:ascii="Times New Roman" w:hAnsi="Times New Roman" w:cs="Times New Roman"/>
          <w:b/>
          <w:bCs/>
          <w:color w:val="auto"/>
          <w:spacing w:val="-4"/>
          <w:u w:val="single"/>
        </w:rPr>
        <w:t>根据农业部办公厅印发的《畜禽粪污土地承载力测算技术指南》（农办牧</w:t>
      </w:r>
      <w:r>
        <w:rPr>
          <w:rFonts w:hint="default" w:ascii="Times New Roman" w:hAnsi="Times New Roman" w:cs="Times New Roman"/>
          <w:b/>
          <w:bCs/>
          <w:color w:val="auto"/>
          <w:u w:val="single"/>
        </w:rPr>
        <w:t>【</w:t>
      </w:r>
      <w:r>
        <w:rPr>
          <w:rFonts w:hint="default" w:ascii="Times New Roman" w:hAnsi="Times New Roman" w:eastAsia="Times New Roman" w:cs="Times New Roman"/>
          <w:b/>
          <w:bCs/>
          <w:color w:val="auto"/>
          <w:u w:val="single"/>
        </w:rPr>
        <w:t>2018</w:t>
      </w:r>
      <w:r>
        <w:rPr>
          <w:rFonts w:hint="default" w:ascii="Times New Roman" w:hAnsi="Times New Roman" w:cs="Times New Roman"/>
          <w:b/>
          <w:bCs/>
          <w:color w:val="auto"/>
          <w:u w:val="single"/>
        </w:rPr>
        <w:t>】</w:t>
      </w:r>
      <w:r>
        <w:rPr>
          <w:rFonts w:hint="default" w:ascii="Times New Roman" w:hAnsi="Times New Roman" w:eastAsia="Times New Roman" w:cs="Times New Roman"/>
          <w:b/>
          <w:bCs/>
          <w:color w:val="auto"/>
          <w:u w:val="single"/>
        </w:rPr>
        <w:t>1</w:t>
      </w:r>
      <w:r>
        <w:rPr>
          <w:rFonts w:hint="default" w:ascii="Times New Roman" w:hAnsi="Times New Roman" w:cs="Times New Roman"/>
          <w:b/>
          <w:bCs/>
          <w:color w:val="auto"/>
          <w:u w:val="single"/>
        </w:rPr>
        <w:t>号）中的核算方法（具体核算见</w:t>
      </w:r>
      <w:r>
        <w:rPr>
          <w:rFonts w:hint="default" w:ascii="Times New Roman" w:hAnsi="Times New Roman" w:cs="Times New Roman"/>
          <w:b/>
          <w:bCs/>
          <w:color w:val="auto"/>
          <w:spacing w:val="-60"/>
          <w:u w:val="single"/>
        </w:rPr>
        <w:t xml:space="preserve"> </w:t>
      </w:r>
      <w:r>
        <w:rPr>
          <w:rFonts w:hint="default" w:ascii="Times New Roman" w:hAnsi="Times New Roman" w:eastAsia="Times New Roman" w:cs="Times New Roman"/>
          <w:b/>
          <w:bCs/>
          <w:color w:val="auto"/>
          <w:spacing w:val="-6"/>
          <w:u w:val="single"/>
        </w:rPr>
        <w:t>5.1.2.2</w:t>
      </w:r>
      <w:r>
        <w:rPr>
          <w:rFonts w:hint="default" w:ascii="Times New Roman" w:hAnsi="Times New Roman" w:cs="Times New Roman"/>
          <w:b/>
          <w:bCs/>
          <w:color w:val="auto"/>
          <w:spacing w:val="-6"/>
          <w:u w:val="single"/>
        </w:rPr>
        <w:t>），核算本项目沼液需要的消</w:t>
      </w:r>
      <w:r>
        <w:rPr>
          <w:rFonts w:hint="default" w:ascii="Times New Roman" w:hAnsi="Times New Roman" w:cs="Times New Roman"/>
          <w:b/>
          <w:bCs/>
          <w:color w:val="auto"/>
          <w:u w:val="single"/>
        </w:rPr>
        <w:t>纳面积为430亩农田。</w:t>
      </w:r>
    </w:p>
    <w:p>
      <w:pPr>
        <w:widowControl/>
        <w:ind w:firstLine="480"/>
        <w:jc w:val="left"/>
        <w:rPr>
          <w:rFonts w:hint="default" w:ascii="Times New Roman" w:hAnsi="Times New Roman" w:cs="Times New Roman"/>
          <w:b/>
          <w:bCs/>
          <w:color w:val="auto"/>
          <w:u w:val="single"/>
        </w:rPr>
      </w:pPr>
      <w:r>
        <w:rPr>
          <w:rFonts w:hint="default" w:ascii="Times New Roman" w:hAnsi="Times New Roman" w:cs="Times New Roman"/>
          <w:b/>
          <w:bCs/>
          <w:color w:val="auto"/>
          <w:u w:val="single"/>
        </w:rPr>
        <w:t>为了保证项目产生的沼液能够100%综合利用，牧原公司采用配套农田模式来推进沼液消纳。公司与周围村庄签订协议，利用韩村镇共500亩农田，消纳项目产生的沼液，消纳地由消纳地由当地农民根据需要自己种植作物，公司负责无偿将沼液输送管网铺设至田间地头，并定期派出管理和技术人员指导农户合理施用沼液。沼液消纳范围详见附图。</w:t>
      </w:r>
    </w:p>
    <w:p>
      <w:pPr>
        <w:widowControl/>
        <w:ind w:firstLine="480"/>
        <w:jc w:val="left"/>
        <w:rPr>
          <w:rFonts w:hint="default" w:ascii="Times New Roman" w:hAnsi="Times New Roman" w:cs="Times New Roman"/>
          <w:b/>
          <w:bCs/>
          <w:color w:val="auto"/>
          <w:u w:val="single"/>
        </w:rPr>
      </w:pPr>
      <w:r>
        <w:rPr>
          <w:rFonts w:hint="default" w:ascii="Times New Roman" w:hAnsi="Times New Roman" w:cs="Times New Roman"/>
          <w:b/>
          <w:bCs/>
          <w:color w:val="auto"/>
          <w:u w:val="single"/>
        </w:rPr>
        <w:t>（3）沼液利用的现实操作性</w:t>
      </w:r>
    </w:p>
    <w:p>
      <w:pPr>
        <w:pStyle w:val="46"/>
        <w:spacing w:afterLines="0"/>
        <w:ind w:firstLine="480"/>
        <w:rPr>
          <w:rFonts w:hint="default" w:ascii="Times New Roman" w:hAnsi="Times New Roman" w:cs="Times New Roman"/>
          <w:b/>
          <w:bCs/>
          <w:color w:val="auto"/>
          <w:kern w:val="2"/>
          <w:u w:val="single"/>
        </w:rPr>
      </w:pPr>
      <w:r>
        <w:rPr>
          <w:rFonts w:hint="default" w:ascii="Times New Roman" w:hAnsi="Times New Roman" w:cs="Times New Roman"/>
          <w:b/>
          <w:bCs/>
          <w:color w:val="auto"/>
          <w:kern w:val="2"/>
          <w:u w:val="single"/>
        </w:rPr>
        <w:fldChar w:fldCharType="begin"/>
      </w:r>
      <w:r>
        <w:rPr>
          <w:rFonts w:hint="default" w:ascii="Times New Roman" w:hAnsi="Times New Roman" w:cs="Times New Roman"/>
          <w:b/>
          <w:bCs/>
          <w:color w:val="auto"/>
          <w:kern w:val="2"/>
          <w:u w:val="single"/>
        </w:rPr>
        <w:instrText xml:space="preserve"> = 1 \* GB3 </w:instrText>
      </w:r>
      <w:r>
        <w:rPr>
          <w:rFonts w:hint="default" w:ascii="Times New Roman" w:hAnsi="Times New Roman" w:cs="Times New Roman"/>
          <w:b/>
          <w:bCs/>
          <w:color w:val="auto"/>
          <w:kern w:val="2"/>
          <w:u w:val="single"/>
        </w:rPr>
        <w:fldChar w:fldCharType="separate"/>
      </w:r>
      <w:r>
        <w:rPr>
          <w:rFonts w:hint="default" w:ascii="Times New Roman" w:hAnsi="Times New Roman" w:cs="Times New Roman"/>
          <w:b/>
          <w:bCs/>
          <w:color w:val="auto"/>
          <w:kern w:val="2"/>
          <w:u w:val="single"/>
        </w:rPr>
        <w:t>①</w:t>
      </w:r>
      <w:r>
        <w:rPr>
          <w:rFonts w:hint="default" w:ascii="Times New Roman" w:hAnsi="Times New Roman" w:cs="Times New Roman"/>
          <w:b/>
          <w:bCs/>
          <w:color w:val="auto"/>
          <w:kern w:val="2"/>
          <w:u w:val="single"/>
        </w:rPr>
        <w:fldChar w:fldCharType="end"/>
      </w:r>
      <w:r>
        <w:rPr>
          <w:rFonts w:hint="default" w:ascii="Times New Roman" w:hAnsi="Times New Roman" w:cs="Times New Roman"/>
          <w:b/>
          <w:bCs/>
          <w:color w:val="auto"/>
          <w:kern w:val="2"/>
          <w:u w:val="single"/>
        </w:rPr>
        <w:t>消纳区土壤类型及作物种植情况</w:t>
      </w:r>
    </w:p>
    <w:p>
      <w:pPr>
        <w:pStyle w:val="47"/>
        <w:shd w:val="clear" w:color="auto" w:fill="auto"/>
        <w:spacing w:after="0" w:line="360" w:lineRule="auto"/>
        <w:ind w:firstLine="439" w:firstLineChars="182"/>
        <w:jc w:val="both"/>
        <w:rPr>
          <w:rFonts w:hint="default" w:ascii="Times New Roman" w:hAnsi="Times New Roman" w:eastAsia="宋体" w:cs="Times New Roman"/>
          <w:b/>
          <w:bCs/>
          <w:color w:val="auto"/>
          <w:spacing w:val="0"/>
          <w:kern w:val="2"/>
          <w:sz w:val="24"/>
          <w:szCs w:val="24"/>
          <w:u w:val="single"/>
        </w:rPr>
      </w:pPr>
      <w:r>
        <w:rPr>
          <w:rFonts w:hint="default" w:ascii="Times New Roman" w:hAnsi="Times New Roman" w:eastAsia="宋体" w:cs="Times New Roman"/>
          <w:b/>
          <w:bCs/>
          <w:color w:val="auto"/>
          <w:spacing w:val="0"/>
          <w:kern w:val="2"/>
          <w:sz w:val="24"/>
          <w:szCs w:val="24"/>
          <w:u w:val="single"/>
        </w:rPr>
        <w:t>目前本项目沼液消纳区农作物以小麦、玉米为主，主要使用化肥增加土壤肥力，化肥容易引起土壤酸度变化。过磷酸钙、硫酸铵、氯化铵等都属生物酸性肥料，即植物吸收肥料中的养分离子后</w:t>
      </w:r>
      <w:r>
        <w:rPr>
          <w:rFonts w:hint="default" w:ascii="Times New Roman" w:hAnsi="Times New Roman" w:eastAsia="宋体" w:cs="Times New Roman"/>
          <w:b/>
          <w:bCs/>
          <w:color w:val="auto"/>
          <w:spacing w:val="0"/>
          <w:kern w:val="2"/>
          <w:sz w:val="24"/>
          <w:szCs w:val="24"/>
          <w:u w:val="single"/>
          <w:lang w:eastAsia="zh-CN"/>
        </w:rPr>
        <w:t>，</w:t>
      </w:r>
      <w:r>
        <w:rPr>
          <w:rFonts w:hint="default" w:ascii="Times New Roman" w:hAnsi="Times New Roman" w:eastAsia="宋体" w:cs="Times New Roman"/>
          <w:b/>
          <w:bCs/>
          <w:color w:val="auto"/>
          <w:spacing w:val="0"/>
          <w:kern w:val="2"/>
          <w:sz w:val="24"/>
          <w:szCs w:val="24"/>
          <w:u w:val="single"/>
        </w:rPr>
        <w:t>土壤中氢离子增多，易造成土壤酸化，长期大量施用化肥，尤其在连续施用单一品种化肥时，在短期内即可出现这种情况。土壤酸化后会导致有毒物质的释放，或使有毒物质毒性增强，对生物体产生不良影响，土壤酸化还能溶解土壤中的一些营养物质，在降雨和灌溉的作用下，向下渗透补给地下水，使得营养成分流失，造成土壤贫瘠化，影响作物的生长。有害物质对土壤产生污染，制造化肥的矿物原料及化工原料中，含有多种重金属放射性物质和其他有害成分，它们随施肥进入农田土壤造成污染。</w:t>
      </w:r>
    </w:p>
    <w:p>
      <w:pPr>
        <w:pStyle w:val="47"/>
        <w:shd w:val="clear" w:color="auto" w:fill="auto"/>
        <w:spacing w:after="0" w:line="360" w:lineRule="auto"/>
        <w:ind w:firstLine="439" w:firstLineChars="182"/>
        <w:jc w:val="both"/>
        <w:rPr>
          <w:rFonts w:hint="default" w:ascii="Times New Roman" w:hAnsi="Times New Roman" w:eastAsia="宋体" w:cs="Times New Roman"/>
          <w:b/>
          <w:bCs/>
          <w:color w:val="auto"/>
          <w:spacing w:val="0"/>
          <w:kern w:val="2"/>
          <w:sz w:val="24"/>
          <w:szCs w:val="24"/>
          <w:u w:val="single"/>
        </w:rPr>
      </w:pPr>
      <w:r>
        <w:rPr>
          <w:rFonts w:hint="default" w:ascii="Times New Roman" w:hAnsi="Times New Roman" w:eastAsia="宋体" w:cs="Times New Roman"/>
          <w:b/>
          <w:bCs/>
          <w:color w:val="auto"/>
          <w:spacing w:val="0"/>
          <w:kern w:val="2"/>
          <w:sz w:val="24"/>
          <w:szCs w:val="24"/>
          <w:u w:val="single"/>
        </w:rPr>
        <w:t>随着我国人民生活水平的提高和消费理念的转变，以及环境污染和资源浪费问题的日益严峻，有利于人们健康的无污染、安全、优质营养的绿色食品已成为时尚，越来越受到人们的青睐。</w:t>
      </w:r>
    </w:p>
    <w:p>
      <w:pPr>
        <w:pStyle w:val="47"/>
        <w:shd w:val="clear" w:color="auto" w:fill="auto"/>
        <w:spacing w:after="0" w:line="360" w:lineRule="auto"/>
        <w:ind w:firstLine="439" w:firstLineChars="182"/>
        <w:jc w:val="both"/>
        <w:rPr>
          <w:rFonts w:hint="default" w:ascii="Times New Roman" w:hAnsi="Times New Roman" w:eastAsia="宋体" w:cs="Times New Roman"/>
          <w:b/>
          <w:bCs/>
          <w:color w:val="auto"/>
          <w:spacing w:val="0"/>
          <w:kern w:val="2"/>
          <w:sz w:val="24"/>
          <w:szCs w:val="24"/>
          <w:u w:val="single"/>
        </w:rPr>
      </w:pPr>
      <w:r>
        <w:rPr>
          <w:rFonts w:hint="default" w:ascii="Times New Roman" w:hAnsi="Times New Roman" w:eastAsia="宋体" w:cs="Times New Roman"/>
          <w:b/>
          <w:bCs/>
          <w:color w:val="auto"/>
          <w:spacing w:val="0"/>
          <w:kern w:val="2"/>
          <w:sz w:val="24"/>
          <w:szCs w:val="24"/>
          <w:u w:val="single"/>
        </w:rPr>
        <w:t>本项目建成运行后，沼液消纳区的农作物将使用沼液施肥，这些农作物需要大量的养分，沼液能提供充足的养分。沼液中的有机质、腐殖质可以明显的改善土壤理化性质，提髙肥力，提高地力，可以使农业用地变成有持续发展的良性循环的金土地。沼液含有大量丰富的营养成分，是农作物的无公害长效肥料，施用后能增产增收改善土壤结构，克服了我国化肥的施用量急剧增加，导致农田土壤产生质变，有机质含量降低，导致土壤板结，肥力下降等现象。</w:t>
      </w:r>
    </w:p>
    <w:p>
      <w:pPr>
        <w:pStyle w:val="47"/>
        <w:shd w:val="clear" w:color="auto" w:fill="auto"/>
        <w:spacing w:after="0" w:line="360" w:lineRule="auto"/>
        <w:ind w:firstLine="439" w:firstLineChars="182"/>
        <w:jc w:val="both"/>
        <w:rPr>
          <w:rFonts w:hint="default" w:ascii="Times New Roman" w:hAnsi="Times New Roman" w:eastAsia="宋体" w:cs="Times New Roman"/>
          <w:b/>
          <w:bCs/>
          <w:color w:val="auto"/>
          <w:spacing w:val="0"/>
          <w:kern w:val="2"/>
          <w:sz w:val="24"/>
          <w:szCs w:val="24"/>
          <w:u w:val="single"/>
        </w:rPr>
      </w:pPr>
      <w:r>
        <w:rPr>
          <w:rFonts w:hint="default" w:ascii="Times New Roman" w:hAnsi="Times New Roman" w:eastAsia="宋体" w:cs="Times New Roman"/>
          <w:b/>
          <w:bCs/>
          <w:color w:val="auto"/>
          <w:spacing w:val="0"/>
          <w:kern w:val="2"/>
          <w:sz w:val="24"/>
          <w:szCs w:val="24"/>
          <w:u w:val="single"/>
        </w:rPr>
        <w:fldChar w:fldCharType="begin"/>
      </w:r>
      <w:r>
        <w:rPr>
          <w:rFonts w:hint="default" w:ascii="Times New Roman" w:hAnsi="Times New Roman" w:eastAsia="宋体" w:cs="Times New Roman"/>
          <w:b/>
          <w:bCs/>
          <w:color w:val="auto"/>
          <w:spacing w:val="0"/>
          <w:kern w:val="2"/>
          <w:sz w:val="24"/>
          <w:szCs w:val="24"/>
          <w:u w:val="single"/>
        </w:rPr>
        <w:instrText xml:space="preserve"> = 2 \* GB3 </w:instrText>
      </w:r>
      <w:r>
        <w:rPr>
          <w:rFonts w:hint="default" w:ascii="Times New Roman" w:hAnsi="Times New Roman" w:eastAsia="宋体" w:cs="Times New Roman"/>
          <w:b/>
          <w:bCs/>
          <w:color w:val="auto"/>
          <w:spacing w:val="0"/>
          <w:kern w:val="2"/>
          <w:sz w:val="24"/>
          <w:szCs w:val="24"/>
          <w:u w:val="single"/>
        </w:rPr>
        <w:fldChar w:fldCharType="separate"/>
      </w:r>
      <w:r>
        <w:rPr>
          <w:rFonts w:hint="default" w:ascii="Times New Roman" w:hAnsi="Times New Roman" w:eastAsia="宋体" w:cs="Times New Roman"/>
          <w:b/>
          <w:bCs/>
          <w:color w:val="auto"/>
          <w:spacing w:val="0"/>
          <w:kern w:val="2"/>
          <w:sz w:val="24"/>
          <w:szCs w:val="24"/>
          <w:u w:val="single"/>
        </w:rPr>
        <w:t>②</w:t>
      </w:r>
      <w:r>
        <w:rPr>
          <w:rFonts w:hint="default" w:ascii="Times New Roman" w:hAnsi="Times New Roman" w:eastAsia="宋体" w:cs="Times New Roman"/>
          <w:b/>
          <w:bCs/>
          <w:color w:val="auto"/>
          <w:spacing w:val="0"/>
          <w:kern w:val="2"/>
          <w:sz w:val="24"/>
          <w:szCs w:val="24"/>
          <w:u w:val="single"/>
        </w:rPr>
        <w:fldChar w:fldCharType="end"/>
      </w:r>
      <w:r>
        <w:rPr>
          <w:rFonts w:hint="default" w:ascii="Times New Roman" w:hAnsi="Times New Roman" w:eastAsia="宋体" w:cs="Times New Roman"/>
          <w:b/>
          <w:bCs/>
          <w:color w:val="auto"/>
          <w:spacing w:val="0"/>
          <w:kern w:val="2"/>
          <w:sz w:val="24"/>
          <w:szCs w:val="24"/>
          <w:u w:val="single"/>
        </w:rPr>
        <w:t>沼液使用方式、过程控制</w:t>
      </w:r>
    </w:p>
    <w:p>
      <w:pPr>
        <w:widowControl/>
        <w:ind w:firstLine="480"/>
        <w:rPr>
          <w:rFonts w:hint="default" w:ascii="Times New Roman" w:hAnsi="Times New Roman" w:cs="Times New Roman"/>
          <w:b/>
          <w:bCs/>
          <w:color w:val="auto"/>
          <w:kern w:val="0"/>
          <w:u w:val="single"/>
        </w:rPr>
      </w:pPr>
      <w:r>
        <w:rPr>
          <w:rFonts w:hint="default" w:ascii="Times New Roman" w:hAnsi="Times New Roman" w:cs="Times New Roman"/>
          <w:b/>
          <w:bCs/>
          <w:color w:val="auto"/>
          <w:kern w:val="0"/>
          <w:u w:val="single"/>
        </w:rPr>
        <w:t>根据当地的种植规律及施肥规律，对于小麦和水稻均为施基肥一次、追肥一次，其中小麦在返青期或拔节期进行追肥，水稻在分蘖期或穗粒期进行追肥。</w:t>
      </w:r>
    </w:p>
    <w:p>
      <w:pPr>
        <w:widowControl/>
        <w:ind w:firstLine="480"/>
        <w:rPr>
          <w:rFonts w:hint="default" w:ascii="Times New Roman" w:hAnsi="Times New Roman" w:cs="Times New Roman"/>
          <w:b/>
          <w:bCs/>
          <w:color w:val="auto"/>
          <w:kern w:val="0"/>
          <w:u w:val="single"/>
        </w:rPr>
      </w:pPr>
      <w:r>
        <w:rPr>
          <w:rFonts w:hint="default" w:ascii="Times New Roman" w:hAnsi="Times New Roman" w:cs="Times New Roman"/>
          <w:b/>
          <w:bCs/>
          <w:color w:val="auto"/>
          <w:kern w:val="0"/>
          <w:u w:val="single"/>
        </w:rPr>
        <w:t>该过程中牧原公司负责沼液配水、</w:t>
      </w:r>
      <w:r>
        <w:rPr>
          <w:rFonts w:hint="default" w:ascii="Times New Roman" w:hAnsi="Times New Roman" w:cs="Times New Roman"/>
          <w:b/>
          <w:bCs/>
          <w:color w:val="auto"/>
          <w:kern w:val="0"/>
          <w:u w:val="single"/>
          <w:lang w:eastAsia="zh-CN"/>
        </w:rPr>
        <w:t>沼液存储池</w:t>
      </w:r>
      <w:r>
        <w:rPr>
          <w:rFonts w:hint="default" w:ascii="Times New Roman" w:hAnsi="Times New Roman" w:cs="Times New Roman"/>
          <w:b/>
          <w:bCs/>
          <w:color w:val="auto"/>
          <w:kern w:val="0"/>
          <w:u w:val="single"/>
        </w:rPr>
        <w:t>到田间预留口的沼液管网铺设、预留口到施肥农田的管道和喷灌设备提供、科学合理施肥的技术指导服务。</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针对本项目，由场区</w:t>
      </w:r>
      <w:r>
        <w:rPr>
          <w:rFonts w:hint="default" w:ascii="Times New Roman" w:hAnsi="Times New Roman" w:cs="Times New Roman"/>
          <w:b/>
          <w:bCs/>
          <w:color w:val="auto"/>
          <w:u w:val="single"/>
          <w:lang w:eastAsia="zh-CN"/>
        </w:rPr>
        <w:t>沼液存储池</w:t>
      </w:r>
      <w:r>
        <w:rPr>
          <w:rFonts w:hint="default" w:ascii="Times New Roman" w:hAnsi="Times New Roman" w:cs="Times New Roman"/>
          <w:b/>
          <w:bCs/>
          <w:color w:val="auto"/>
          <w:u w:val="single"/>
        </w:rPr>
        <w:t>引至施肥农田配套管道主干管长度为1275m，支管长度为430m，主干管直径为160mm，支管直径分别为110mm和75mm。</w:t>
      </w:r>
    </w:p>
    <w:p>
      <w:pPr>
        <w:widowControl/>
        <w:ind w:firstLine="480"/>
        <w:jc w:val="left"/>
        <w:rPr>
          <w:rFonts w:hint="default" w:ascii="Times New Roman" w:hAnsi="Times New Roman" w:cs="Times New Roman"/>
          <w:b/>
          <w:bCs/>
          <w:color w:val="auto"/>
          <w:u w:val="single"/>
        </w:rPr>
      </w:pPr>
      <w:r>
        <w:rPr>
          <w:rFonts w:hint="default" w:ascii="Times New Roman" w:hAnsi="Times New Roman" w:cs="Times New Roman"/>
          <w:b/>
          <w:bCs/>
          <w:color w:val="auto"/>
          <w:u w:val="single"/>
        </w:rPr>
        <w:t>根据沼液综合利用协议可知，牧原公司根据农民土地位置设计并负责铺设沼液输送管网等综合利用配套设施，在每个施肥口设有阀门，每两个施肥口间隔50-80m。农肥利用季节农民根据自身需要进行使用。另外，根据施肥需求牧原公司定期派出管理和技术人员指导农户合理施用沼液。</w:t>
      </w:r>
    </w:p>
    <w:p>
      <w:pPr>
        <w:widowControl/>
        <w:ind w:firstLine="480"/>
        <w:jc w:val="left"/>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沼液输送管线，做好防腐工作，定期进行检修，一旦发现滴漏，沼液排入</w:t>
      </w:r>
      <w:r>
        <w:rPr>
          <w:rFonts w:hint="default" w:ascii="Times New Roman" w:hAnsi="Times New Roman" w:cs="Times New Roman"/>
          <w:b w:val="0"/>
          <w:bCs w:val="0"/>
          <w:color w:val="auto"/>
          <w:u w:val="none"/>
          <w:lang w:eastAsia="zh-CN"/>
        </w:rPr>
        <w:t>沼液存储池</w:t>
      </w:r>
      <w:r>
        <w:rPr>
          <w:rFonts w:hint="default" w:ascii="Times New Roman" w:hAnsi="Times New Roman" w:cs="Times New Roman"/>
          <w:b w:val="0"/>
          <w:bCs w:val="0"/>
          <w:color w:val="auto"/>
          <w:u w:val="none"/>
        </w:rPr>
        <w:t>，待维护完毕后方可输送；</w:t>
      </w:r>
    </w:p>
    <w:p>
      <w:pPr>
        <w:widowControl/>
        <w:ind w:firstLine="480"/>
        <w:jc w:val="left"/>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施肥区根据地形进行单元划分，分单元进行开沟施肥，支管阀门间隔50-80m，防止农田施肥不匀引起的地下水污染问题，采用喷灌的施肥方式；</w:t>
      </w:r>
    </w:p>
    <w:p>
      <w:pPr>
        <w:ind w:firstLine="480"/>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严格根据评价要求，控制施肥量，严禁突击施肥，在非施肥季节及雨季，沼液由</w:t>
      </w:r>
      <w:r>
        <w:rPr>
          <w:rFonts w:hint="default" w:ascii="Times New Roman" w:hAnsi="Times New Roman" w:cs="Times New Roman"/>
          <w:b w:val="0"/>
          <w:bCs w:val="0"/>
          <w:color w:val="auto"/>
          <w:u w:val="none"/>
          <w:lang w:eastAsia="zh-CN"/>
        </w:rPr>
        <w:t>沼液存储池</w:t>
      </w:r>
      <w:r>
        <w:rPr>
          <w:rFonts w:hint="default" w:ascii="Times New Roman" w:hAnsi="Times New Roman" w:cs="Times New Roman"/>
          <w:b w:val="0"/>
          <w:bCs w:val="0"/>
          <w:color w:val="auto"/>
          <w:u w:val="none"/>
        </w:rPr>
        <w:t>暂存。</w:t>
      </w:r>
    </w:p>
    <w:p>
      <w:pPr>
        <w:ind w:firstLine="480"/>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对沼液施肥农田区域定期进行观测，场外农田区设置地下水观测井，建议在配套农田西南和东北方位各设置1口地下水观测井，观察沼液长期施肥对地下水的累积性影响。</w:t>
      </w:r>
    </w:p>
    <w:p>
      <w:pPr>
        <w:ind w:firstLine="480"/>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沼液施肥首部包括：动力系统、沼液泵、管道安全装置、电器保护装置。泵站设计应充分考虑灌区的覆盖面积、扬程。沼液泵必须满足抽提含有纤维或其它悬浮物的高粘稠液体的要求，泵、管网及管件具抗腐蚀性。</w:t>
      </w:r>
    </w:p>
    <w:p>
      <w:pPr>
        <w:ind w:firstLine="480"/>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安装管道安全装置、电器保护装置的设计应根据抽提扬程、出液量，实现管道自动调压抗爆、排堵防蚀和过载保护，满足项目使用管材在沼液提灌中不堵塞、不爆管，接口不拉裂、不滴漏的需要，降低建造和运行成本。</w:t>
      </w:r>
    </w:p>
    <w:p>
      <w:pPr>
        <w:ind w:firstLine="480"/>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沼液施肥管网必须具有自动防爆抗堵等安全功能，具有效防止管道沼液二次产气爆管，沼渣、厌氧菌落群生长和化学沉淀物、鸟粪石等堵管的处置设计和工艺装置，具有迅速发现和确定管道堵塞位置的监测装置。安装的防爆裂、防堵塞安全装置能够保证UPVC、PVC、PE等塑料管材在沼液管道施肥中不出现堵塞、爆裂，接口拉裂、漏水等质量安全问题，保证沼液施肥管网的长期使用和安全运行。</w:t>
      </w:r>
    </w:p>
    <w:p>
      <w:pPr>
        <w:ind w:firstLine="480"/>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各种管线应全面安排，用不同颜色加以区别，要避免迂回曲折和相互干扰，沼液输送管道与管件必须具防腐性，管线布置应尽量减少管道弯头，减少能量损耗和便于清通。主要管网宜采用埋设，距管顶深度≧40cm，裸露部分应选用抗老化材料或进行防老化处理。长距离直线管道要设计防热胀冷缩的构造。</w:t>
      </w:r>
    </w:p>
    <w:p>
      <w:pPr>
        <w:ind w:firstLine="480"/>
        <w:rPr>
          <w:rFonts w:hint="default" w:ascii="Times New Roman" w:hAnsi="Times New Roman" w:cs="Times New Roman"/>
          <w:color w:val="auto"/>
        </w:rPr>
      </w:pPr>
      <w:r>
        <w:rPr>
          <w:rFonts w:hint="default" w:ascii="Times New Roman" w:hAnsi="Times New Roman" w:cs="Times New Roman"/>
          <w:color w:val="auto"/>
        </w:rPr>
        <w:t>（4）沼液利用工程的管理要求</w:t>
      </w:r>
    </w:p>
    <w:p>
      <w:pPr>
        <w:tabs>
          <w:tab w:val="left" w:pos="5625"/>
        </w:tabs>
        <w:ind w:firstLine="480"/>
        <w:outlineLvl w:val="3"/>
        <w:rPr>
          <w:rFonts w:hint="default" w:ascii="Times New Roman" w:hAnsi="Times New Roman" w:cs="Times New Roman"/>
          <w:color w:val="auto"/>
        </w:rPr>
      </w:pPr>
      <w:r>
        <w:rPr>
          <w:rFonts w:hint="default" w:ascii="Times New Roman" w:hAnsi="Times New Roman" w:cs="Times New Roman"/>
          <w:color w:val="auto"/>
        </w:rPr>
        <w:t>①基本要求</w:t>
      </w:r>
    </w:p>
    <w:p>
      <w:pPr>
        <w:tabs>
          <w:tab w:val="left" w:pos="5625"/>
        </w:tabs>
        <w:ind w:firstLine="480"/>
        <w:outlineLvl w:val="3"/>
        <w:rPr>
          <w:rFonts w:hint="default" w:ascii="Times New Roman" w:hAnsi="Times New Roman" w:cs="Times New Roman"/>
          <w:color w:val="auto"/>
        </w:rPr>
      </w:pPr>
      <w:r>
        <w:rPr>
          <w:rFonts w:hint="default" w:ascii="Times New Roman" w:hAnsi="Times New Roman" w:cs="Times New Roman"/>
          <w:color w:val="auto"/>
        </w:rPr>
        <w:t>企业必须确定或建立相应的管理机构，安排专人管理，落实足够的运行管理经费，制定切实可行的管理规章和工程维修养护制度，并对管理人员进行技术培训和岗位考核。同时做到对沼液利用工程进行经常性的维护、季节性的整修和临时性的抢修以及系统运行效果和有害重金属的监测与处理。</w:t>
      </w:r>
    </w:p>
    <w:p>
      <w:pPr>
        <w:tabs>
          <w:tab w:val="left" w:pos="5625"/>
        </w:tabs>
        <w:ind w:firstLine="480"/>
        <w:outlineLvl w:val="3"/>
        <w:rPr>
          <w:rFonts w:hint="default" w:ascii="Times New Roman" w:hAnsi="Times New Roman" w:cs="Times New Roman"/>
          <w:color w:val="auto"/>
        </w:rPr>
      </w:pPr>
      <w:r>
        <w:rPr>
          <w:rFonts w:hint="default" w:ascii="Times New Roman" w:hAnsi="Times New Roman" w:cs="Times New Roman"/>
          <w:color w:val="auto"/>
        </w:rPr>
        <w:t>②管道养护</w:t>
      </w:r>
    </w:p>
    <w:p>
      <w:pPr>
        <w:tabs>
          <w:tab w:val="left" w:pos="5625"/>
        </w:tabs>
        <w:ind w:firstLine="480"/>
        <w:outlineLvl w:val="3"/>
        <w:rPr>
          <w:rFonts w:hint="default" w:ascii="Times New Roman" w:hAnsi="Times New Roman" w:cs="Times New Roman"/>
          <w:color w:val="auto"/>
        </w:rPr>
      </w:pPr>
      <w:r>
        <w:rPr>
          <w:rFonts w:hint="default" w:ascii="Times New Roman" w:hAnsi="Times New Roman" w:cs="Times New Roman"/>
          <w:color w:val="auto"/>
        </w:rPr>
        <w:t>要经常对管道进行巡查维护，发现管道漏水、爆裂及时修补，发现沼液出水明显减少，要及时监测、疏通污物收集装置，确保沼液输送通畅和设施完好、运行正常。</w:t>
      </w:r>
    </w:p>
    <w:p>
      <w:pPr>
        <w:tabs>
          <w:tab w:val="left" w:pos="5625"/>
        </w:tabs>
        <w:ind w:firstLine="480"/>
        <w:outlineLvl w:val="3"/>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③</w:t>
      </w:r>
      <w:r>
        <w:rPr>
          <w:rFonts w:hint="default" w:ascii="Times New Roman" w:hAnsi="Times New Roman" w:cs="Times New Roman"/>
          <w:color w:val="auto"/>
        </w:rPr>
        <w:fldChar w:fldCharType="end"/>
      </w:r>
      <w:r>
        <w:rPr>
          <w:rFonts w:hint="default" w:ascii="Times New Roman" w:hAnsi="Times New Roman" w:cs="Times New Roman"/>
          <w:color w:val="auto"/>
        </w:rPr>
        <w:t>设施维修保养</w:t>
      </w:r>
    </w:p>
    <w:p>
      <w:pPr>
        <w:tabs>
          <w:tab w:val="left" w:pos="5625"/>
        </w:tabs>
        <w:ind w:firstLine="480"/>
        <w:outlineLvl w:val="3"/>
        <w:rPr>
          <w:rFonts w:hint="default" w:ascii="Times New Roman" w:hAnsi="Times New Roman" w:cs="Times New Roman"/>
          <w:color w:val="auto"/>
        </w:rPr>
      </w:pPr>
      <w:r>
        <w:rPr>
          <w:rFonts w:hint="default" w:ascii="Times New Roman" w:hAnsi="Times New Roman" w:cs="Times New Roman"/>
          <w:color w:val="auto"/>
        </w:rPr>
        <w:t>建立处理、储液、暂存池等主要建筑结构和管网、机电设备的检修制度或维修养护办法，确保各类设施设备完整，做到无损、无漏、无裂，闸门启闭灵活。安装的沼液泵、动力设备与电气设备应每年全面检修一次，确保安全运行。及时清除泵站前池、污物收集装置、暂存池中的各种杂质淤泥。</w:t>
      </w:r>
    </w:p>
    <w:p>
      <w:pPr>
        <w:tabs>
          <w:tab w:val="left" w:pos="5625"/>
        </w:tabs>
        <w:ind w:firstLine="480"/>
        <w:outlineLvl w:val="3"/>
        <w:rPr>
          <w:rFonts w:hint="default" w:ascii="Times New Roman" w:hAnsi="Times New Roman" w:cs="Times New Roman"/>
          <w:color w:val="auto"/>
        </w:rPr>
      </w:pPr>
      <w:r>
        <w:rPr>
          <w:rFonts w:hint="default" w:ascii="Times New Roman" w:hAnsi="Times New Roman" w:cs="Times New Roman"/>
          <w:color w:val="auto"/>
        </w:rPr>
        <w:t>6.2.2.4 初期雨水处理措施分析</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left="0" w:right="0" w:firstLine="480"/>
        <w:jc w:val="both"/>
        <w:textAlignment w:val="auto"/>
        <w:rPr>
          <w:rFonts w:hint="default" w:ascii="Times New Roman" w:hAnsi="Times New Roman" w:eastAsia="宋体" w:cs="Times New Roman"/>
          <w:color w:val="auto"/>
          <w:spacing w:val="4"/>
          <w:sz w:val="24"/>
          <w:szCs w:val="24"/>
          <w:lang w:eastAsia="zh-CN"/>
        </w:rPr>
      </w:pPr>
      <w:r>
        <w:rPr>
          <w:rFonts w:hint="default" w:ascii="Times New Roman" w:hAnsi="Times New Roman" w:cs="Times New Roman"/>
          <w:color w:val="auto"/>
          <w:spacing w:val="4"/>
          <w:sz w:val="24"/>
          <w:szCs w:val="24"/>
        </w:rPr>
        <w:t>项目初期雨水主要产生于项目养殖区脏道及粪污处理区，养殖区初期雨水主要为脏道落雨，脏道即养殖场粪污输送通道。</w:t>
      </w:r>
      <w:r>
        <w:rPr>
          <w:rFonts w:hint="default" w:ascii="Times New Roman" w:hAnsi="Times New Roman" w:cs="Times New Roman"/>
          <w:color w:val="auto"/>
          <w:spacing w:val="4"/>
          <w:sz w:val="24"/>
          <w:szCs w:val="24"/>
          <w:lang w:eastAsia="zh-CN"/>
        </w:rPr>
        <w:t>根据</w:t>
      </w:r>
      <w:r>
        <w:rPr>
          <w:rFonts w:hint="default" w:ascii="Times New Roman" w:hAnsi="Times New Roman" w:cs="Times New Roman"/>
          <w:bCs/>
          <w:color w:val="auto"/>
          <w:sz w:val="24"/>
        </w:rPr>
        <w:t>牧原公司其他分场</w:t>
      </w:r>
      <w:r>
        <w:rPr>
          <w:rFonts w:hint="default" w:ascii="Times New Roman" w:hAnsi="Times New Roman" w:cs="Times New Roman"/>
          <w:bCs/>
          <w:color w:val="auto"/>
          <w:sz w:val="24"/>
          <w:lang w:eastAsia="zh-CN"/>
        </w:rPr>
        <w:t>的实际建设情况，项目采用干清粪工艺，各个衔接过程均设有预埋管道，粪污均采取密闭方式运至处理场所，场区内无粪污产生点，因此产生的初期雨水不再设计初期雨水收集池集中收集，直接外排至场区外。</w:t>
      </w:r>
    </w:p>
    <w:p>
      <w:pPr>
        <w:pStyle w:val="5"/>
        <w:rPr>
          <w:rFonts w:hint="default" w:ascii="Times New Roman" w:hAnsi="Times New Roman" w:cs="Times New Roman"/>
          <w:color w:val="auto"/>
          <w:lang w:val="en-US"/>
        </w:rPr>
      </w:pPr>
      <w:r>
        <w:rPr>
          <w:rFonts w:hint="default" w:ascii="Times New Roman" w:hAnsi="Times New Roman" w:cs="Times New Roman"/>
          <w:color w:val="auto"/>
          <w:lang w:val="en-US"/>
        </w:rPr>
        <w:t>6.2.3地下水污染防治措施</w:t>
      </w:r>
    </w:p>
    <w:p>
      <w:pPr>
        <w:ind w:firstLine="480"/>
        <w:rPr>
          <w:rFonts w:hint="default" w:ascii="Times New Roman" w:hAnsi="Times New Roman" w:cs="Times New Roman"/>
          <w:color w:val="auto"/>
        </w:rPr>
      </w:pPr>
      <w:r>
        <w:rPr>
          <w:rFonts w:hint="default" w:ascii="Times New Roman" w:hAnsi="Times New Roman" w:cs="Times New Roman"/>
          <w:color w:val="auto"/>
        </w:rPr>
        <w:t>本项目产生的废水主要为养殖废水和职工生活污水，经管道收集后自流至污水处理系统统一处理，其中养殖废水为高浓度有机废水，经厌氧反应处理后用于附近农田施肥，雨季及非施肥季节暂存在场区沼液池中。</w:t>
      </w:r>
    </w:p>
    <w:p>
      <w:pPr>
        <w:ind w:firstLine="480"/>
        <w:rPr>
          <w:rFonts w:hint="default" w:ascii="Times New Roman" w:hAnsi="Times New Roman" w:cs="Times New Roman"/>
          <w:bCs/>
          <w:color w:val="auto"/>
        </w:rPr>
      </w:pPr>
      <w:r>
        <w:rPr>
          <w:rFonts w:hint="default" w:ascii="Times New Roman" w:hAnsi="Times New Roman" w:cs="Times New Roman"/>
          <w:bCs/>
          <w:color w:val="auto"/>
        </w:rPr>
        <w:t>（1）源头控制措施</w:t>
      </w:r>
    </w:p>
    <w:p>
      <w:pPr>
        <w:ind w:firstLine="480"/>
        <w:rPr>
          <w:rFonts w:hint="default" w:ascii="Times New Roman" w:hAnsi="Times New Roman" w:cs="Times New Roman"/>
          <w:bCs/>
          <w:color w:val="auto"/>
        </w:rPr>
      </w:pPr>
      <w:r>
        <w:rPr>
          <w:rFonts w:hint="default" w:ascii="Times New Roman" w:hAnsi="Times New Roman" w:cs="Times New Roman"/>
          <w:bCs/>
          <w:color w:val="auto"/>
        </w:rPr>
        <w:t>本项目运营期对地下水环境影响的主要渠道为猪舍、</w:t>
      </w:r>
      <w:r>
        <w:rPr>
          <w:rFonts w:hint="default" w:ascii="Times New Roman" w:hAnsi="Times New Roman" w:cs="Times New Roman"/>
          <w:bCs/>
          <w:color w:val="auto"/>
          <w:lang w:eastAsia="zh-CN"/>
        </w:rPr>
        <w:t>沼液存储池</w:t>
      </w:r>
      <w:r>
        <w:rPr>
          <w:rFonts w:hint="default" w:ascii="Times New Roman" w:hAnsi="Times New Roman" w:cs="Times New Roman"/>
          <w:bCs/>
          <w:color w:val="auto"/>
        </w:rPr>
        <w:t>、沼气工程、发酵区等以上污染因素如不加以管理，各区污水下渗将污染地下水；猪粪、沼渣若乱堆乱放，可能转入环境空气或地表水体，并通过下渗影响到地下水环境。因此评价要求首先在源头进行控制，具体防控措施为：</w:t>
      </w:r>
    </w:p>
    <w:p>
      <w:pPr>
        <w:adjustRightInd w:val="0"/>
        <w:snapToGrid w:val="0"/>
        <w:spacing w:line="360" w:lineRule="auto"/>
        <w:ind w:firstLine="480" w:firstLineChars="200"/>
        <w:rPr>
          <w:rFonts w:hint="default" w:ascii="Times New Roman" w:hAnsi="Times New Roman" w:cs="Times New Roman"/>
          <w:bCs/>
          <w:color w:val="auto"/>
        </w:rPr>
      </w:pPr>
      <w:r>
        <w:rPr>
          <w:rFonts w:hint="default" w:ascii="Times New Roman" w:hAnsi="Times New Roman" w:cs="Times New Roman"/>
          <w:bCs/>
          <w:color w:val="auto"/>
        </w:rPr>
        <w:fldChar w:fldCharType="begin"/>
      </w:r>
      <w:r>
        <w:rPr>
          <w:rFonts w:hint="default" w:ascii="Times New Roman" w:hAnsi="Times New Roman" w:cs="Times New Roman"/>
          <w:bCs/>
          <w:color w:val="auto"/>
        </w:rPr>
        <w:instrText xml:space="preserve"> = 1 \* GB3 </w:instrText>
      </w:r>
      <w:r>
        <w:rPr>
          <w:rFonts w:hint="default" w:ascii="Times New Roman" w:hAnsi="Times New Roman" w:cs="Times New Roman"/>
          <w:bCs/>
          <w:color w:val="auto"/>
        </w:rPr>
        <w:fldChar w:fldCharType="separate"/>
      </w:r>
      <w:r>
        <w:rPr>
          <w:rFonts w:hint="default" w:ascii="Times New Roman" w:hAnsi="Times New Roman" w:cs="Times New Roman"/>
          <w:bCs/>
          <w:color w:val="auto"/>
        </w:rPr>
        <w:t>①</w:t>
      </w:r>
      <w:r>
        <w:rPr>
          <w:rFonts w:hint="default" w:ascii="Times New Roman" w:hAnsi="Times New Roman" w:cs="Times New Roman"/>
          <w:color w:val="auto"/>
        </w:rPr>
        <w:fldChar w:fldCharType="end"/>
      </w:r>
      <w:r>
        <w:rPr>
          <w:rFonts w:hint="default" w:ascii="Times New Roman" w:hAnsi="Times New Roman" w:cs="Times New Roman"/>
          <w:bCs/>
          <w:color w:val="auto"/>
        </w:rPr>
        <w:t>猪舍采用限位饮水器，减少水资源不必要的流失，猪舍内部底部采取混凝土进行防渗减少污染物的跑、冒、滴、漏；</w:t>
      </w:r>
    </w:p>
    <w:p>
      <w:pPr>
        <w:adjustRightInd w:val="0"/>
        <w:snapToGrid w:val="0"/>
        <w:spacing w:line="360" w:lineRule="auto"/>
        <w:ind w:firstLine="480" w:firstLineChars="200"/>
        <w:rPr>
          <w:rFonts w:hint="default" w:ascii="Times New Roman" w:hAnsi="Times New Roman" w:cs="Times New Roman"/>
          <w:bCs/>
          <w:color w:val="auto"/>
        </w:rPr>
      </w:pPr>
      <w:r>
        <w:rPr>
          <w:rFonts w:hint="default" w:ascii="Times New Roman" w:hAnsi="Times New Roman" w:cs="Times New Roman"/>
          <w:bCs/>
          <w:color w:val="auto"/>
        </w:rPr>
        <w:fldChar w:fldCharType="begin"/>
      </w:r>
      <w:r>
        <w:rPr>
          <w:rFonts w:hint="default" w:ascii="Times New Roman" w:hAnsi="Times New Roman" w:cs="Times New Roman"/>
          <w:bCs/>
          <w:color w:val="auto"/>
        </w:rPr>
        <w:instrText xml:space="preserve"> = 2 \* GB3 </w:instrText>
      </w:r>
      <w:r>
        <w:rPr>
          <w:rFonts w:hint="default" w:ascii="Times New Roman" w:hAnsi="Times New Roman" w:cs="Times New Roman"/>
          <w:bCs/>
          <w:color w:val="auto"/>
        </w:rPr>
        <w:fldChar w:fldCharType="separate"/>
      </w:r>
      <w:r>
        <w:rPr>
          <w:rFonts w:hint="default" w:ascii="Times New Roman" w:hAnsi="Times New Roman" w:cs="Times New Roman"/>
          <w:bCs/>
          <w:color w:val="auto"/>
        </w:rPr>
        <w:t>②</w:t>
      </w:r>
      <w:r>
        <w:rPr>
          <w:rFonts w:hint="default" w:ascii="Times New Roman" w:hAnsi="Times New Roman" w:cs="Times New Roman"/>
          <w:color w:val="auto"/>
        </w:rPr>
        <w:fldChar w:fldCharType="end"/>
      </w:r>
      <w:r>
        <w:rPr>
          <w:rFonts w:hint="default" w:ascii="Times New Roman" w:hAnsi="Times New Roman" w:cs="Times New Roman"/>
          <w:bCs/>
          <w:color w:val="auto"/>
          <w:lang w:eastAsia="zh-CN"/>
        </w:rPr>
        <w:t>沼液存储池</w:t>
      </w:r>
      <w:r>
        <w:rPr>
          <w:rFonts w:hint="default" w:ascii="Times New Roman" w:hAnsi="Times New Roman" w:cs="Times New Roman"/>
          <w:bCs/>
          <w:color w:val="auto"/>
        </w:rPr>
        <w:t>，容积不小于200天的废水产生量；</w:t>
      </w:r>
      <w:r>
        <w:rPr>
          <w:rFonts w:hint="default" w:ascii="Times New Roman" w:hAnsi="Times New Roman" w:cs="Times New Roman"/>
          <w:bCs/>
          <w:color w:val="auto"/>
          <w:lang w:eastAsia="zh-CN"/>
        </w:rPr>
        <w:t>沼液存储池</w:t>
      </w:r>
      <w:r>
        <w:rPr>
          <w:rFonts w:hint="default" w:ascii="Times New Roman" w:hAnsi="Times New Roman" w:cs="Times New Roman"/>
          <w:bCs/>
          <w:color w:val="auto"/>
        </w:rPr>
        <w:t>池壁及池底在清场夯压的基础上采用铺设HDPE膜进行防渗；</w:t>
      </w:r>
    </w:p>
    <w:p>
      <w:pPr>
        <w:adjustRightInd w:val="0"/>
        <w:snapToGrid w:val="0"/>
        <w:spacing w:line="360" w:lineRule="auto"/>
        <w:ind w:firstLine="480" w:firstLineChars="200"/>
        <w:rPr>
          <w:rFonts w:hint="default" w:ascii="Times New Roman" w:hAnsi="Times New Roman" w:cs="Times New Roman"/>
          <w:bCs/>
          <w:color w:val="auto"/>
        </w:rPr>
      </w:pPr>
      <w:r>
        <w:rPr>
          <w:rFonts w:hint="default" w:ascii="Times New Roman" w:hAnsi="Times New Roman" w:cs="Times New Roman"/>
          <w:bCs/>
          <w:color w:val="auto"/>
        </w:rPr>
        <w:fldChar w:fldCharType="begin"/>
      </w:r>
      <w:r>
        <w:rPr>
          <w:rFonts w:hint="default" w:ascii="Times New Roman" w:hAnsi="Times New Roman" w:cs="Times New Roman"/>
          <w:bCs/>
          <w:color w:val="auto"/>
        </w:rPr>
        <w:instrText xml:space="preserve"> = 3 \* GB3 </w:instrText>
      </w:r>
      <w:r>
        <w:rPr>
          <w:rFonts w:hint="default" w:ascii="Times New Roman" w:hAnsi="Times New Roman" w:cs="Times New Roman"/>
          <w:bCs/>
          <w:color w:val="auto"/>
        </w:rPr>
        <w:fldChar w:fldCharType="separate"/>
      </w:r>
      <w:r>
        <w:rPr>
          <w:rFonts w:hint="default" w:ascii="Times New Roman" w:hAnsi="Times New Roman" w:cs="Times New Roman"/>
          <w:bCs/>
          <w:color w:val="auto"/>
        </w:rPr>
        <w:t>③</w:t>
      </w:r>
      <w:r>
        <w:rPr>
          <w:rFonts w:hint="default" w:ascii="Times New Roman" w:hAnsi="Times New Roman" w:cs="Times New Roman"/>
          <w:color w:val="auto"/>
        </w:rPr>
        <w:fldChar w:fldCharType="end"/>
      </w:r>
      <w:r>
        <w:rPr>
          <w:rFonts w:hint="default" w:ascii="Times New Roman" w:hAnsi="Times New Roman" w:cs="Times New Roman"/>
          <w:bCs/>
          <w:color w:val="auto"/>
        </w:rPr>
        <w:t>沼气工程设置围堰，收集池为素土夯实+混凝土结构，黑膜沼气池是素土夯实+HDPE膜，</w:t>
      </w:r>
      <w:r>
        <w:rPr>
          <w:rFonts w:hint="default" w:ascii="Times New Roman" w:hAnsi="Times New Roman" w:cs="Times New Roman"/>
          <w:bCs/>
          <w:color w:val="auto"/>
          <w:lang w:eastAsia="zh-CN"/>
        </w:rPr>
        <w:t>沼液存储池</w:t>
      </w:r>
      <w:r>
        <w:rPr>
          <w:rFonts w:hint="default" w:ascii="Times New Roman" w:hAnsi="Times New Roman" w:cs="Times New Roman"/>
          <w:bCs/>
          <w:color w:val="auto"/>
        </w:rPr>
        <w:t>是素土夯实+HDPE膜；</w:t>
      </w:r>
    </w:p>
    <w:p>
      <w:pPr>
        <w:adjustRightInd w:val="0"/>
        <w:snapToGrid w:val="0"/>
        <w:spacing w:line="360" w:lineRule="auto"/>
        <w:ind w:firstLine="480" w:firstLineChars="200"/>
        <w:rPr>
          <w:rFonts w:hint="default" w:ascii="Times New Roman" w:hAnsi="Times New Roman" w:cs="Times New Roman"/>
          <w:bCs/>
          <w:color w:val="auto"/>
        </w:rPr>
      </w:pPr>
      <w:r>
        <w:rPr>
          <w:rFonts w:hint="default" w:ascii="Times New Roman" w:hAnsi="Times New Roman" w:cs="Times New Roman"/>
          <w:bCs/>
          <w:color w:val="auto"/>
        </w:rPr>
        <w:fldChar w:fldCharType="begin"/>
      </w:r>
      <w:r>
        <w:rPr>
          <w:rFonts w:hint="default" w:ascii="Times New Roman" w:hAnsi="Times New Roman" w:cs="Times New Roman"/>
          <w:bCs/>
          <w:color w:val="auto"/>
        </w:rPr>
        <w:instrText xml:space="preserve"> = 4 \* GB3 </w:instrText>
      </w:r>
      <w:r>
        <w:rPr>
          <w:rFonts w:hint="default" w:ascii="Times New Roman" w:hAnsi="Times New Roman" w:cs="Times New Roman"/>
          <w:bCs/>
          <w:color w:val="auto"/>
        </w:rPr>
        <w:fldChar w:fldCharType="separate"/>
      </w:r>
      <w:r>
        <w:rPr>
          <w:rFonts w:hint="default" w:ascii="Times New Roman" w:hAnsi="Times New Roman" w:cs="Times New Roman"/>
          <w:bCs/>
          <w:color w:val="auto"/>
        </w:rPr>
        <w:t>④</w:t>
      </w:r>
      <w:r>
        <w:rPr>
          <w:rFonts w:hint="default" w:ascii="Times New Roman" w:hAnsi="Times New Roman" w:cs="Times New Roman"/>
          <w:color w:val="auto"/>
        </w:rPr>
        <w:fldChar w:fldCharType="end"/>
      </w:r>
      <w:r>
        <w:rPr>
          <w:rFonts w:hint="default" w:ascii="Times New Roman" w:hAnsi="Times New Roman" w:cs="Times New Roman"/>
          <w:bCs/>
          <w:color w:val="auto"/>
          <w:lang w:eastAsia="zh-CN"/>
        </w:rPr>
        <w:t>固粪处理区</w:t>
      </w:r>
      <w:r>
        <w:rPr>
          <w:rFonts w:hint="default" w:ascii="Times New Roman" w:hAnsi="Times New Roman" w:cs="Times New Roman"/>
          <w:bCs/>
          <w:color w:val="auto"/>
        </w:rPr>
        <w:t>，地面混凝土进行防渗，三面砌筑不低于1m高的围堰；其上搭建顶棚；</w:t>
      </w:r>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bCs/>
          <w:color w:val="auto"/>
        </w:rPr>
        <w:fldChar w:fldCharType="begin"/>
      </w:r>
      <w:r>
        <w:rPr>
          <w:rFonts w:hint="default" w:ascii="Times New Roman" w:hAnsi="Times New Roman" w:cs="Times New Roman"/>
          <w:bCs/>
          <w:color w:val="auto"/>
        </w:rPr>
        <w:instrText xml:space="preserve"> = 5 \* GB3 </w:instrText>
      </w:r>
      <w:r>
        <w:rPr>
          <w:rFonts w:hint="default" w:ascii="Times New Roman" w:hAnsi="Times New Roman" w:cs="Times New Roman"/>
          <w:bCs/>
          <w:color w:val="auto"/>
        </w:rPr>
        <w:fldChar w:fldCharType="separate"/>
      </w:r>
      <w:r>
        <w:rPr>
          <w:rFonts w:hint="default" w:ascii="Times New Roman" w:hAnsi="Times New Roman" w:cs="Times New Roman"/>
          <w:bCs/>
          <w:color w:val="auto"/>
        </w:rPr>
        <w:t>⑤</w:t>
      </w:r>
      <w:r>
        <w:rPr>
          <w:rFonts w:hint="default" w:ascii="Times New Roman" w:hAnsi="Times New Roman" w:cs="Times New Roman"/>
          <w:color w:val="auto"/>
        </w:rPr>
        <w:fldChar w:fldCharType="end"/>
      </w:r>
      <w:r>
        <w:rPr>
          <w:rFonts w:hint="default" w:ascii="Times New Roman" w:hAnsi="Times New Roman" w:cs="Times New Roman"/>
          <w:bCs/>
          <w:color w:val="auto"/>
        </w:rPr>
        <w:t>雨污分流，净脏道分离合理设置厂区内净道和脏道，净道、脏道地区硬化防渗处理。</w:t>
      </w:r>
    </w:p>
    <w:p>
      <w:pPr>
        <w:ind w:firstLine="480"/>
        <w:rPr>
          <w:rFonts w:hint="default" w:ascii="Times New Roman" w:hAnsi="Times New Roman" w:cs="Times New Roman"/>
          <w:color w:val="auto"/>
        </w:rPr>
      </w:pPr>
      <w:r>
        <w:rPr>
          <w:rFonts w:hint="default" w:ascii="Times New Roman" w:hAnsi="Times New Roman" w:cs="Times New Roman"/>
          <w:color w:val="auto"/>
        </w:rPr>
        <w:t>（2）污染措施分析</w:t>
      </w:r>
    </w:p>
    <w:p>
      <w:pPr>
        <w:ind w:firstLine="480"/>
        <w:rPr>
          <w:rFonts w:hint="default" w:ascii="Times New Roman" w:hAnsi="Times New Roman" w:cs="Times New Roman"/>
          <w:color w:val="auto"/>
        </w:rPr>
      </w:pPr>
      <w:r>
        <w:rPr>
          <w:rFonts w:hint="default" w:ascii="Times New Roman" w:hAnsi="Times New Roman" w:cs="Times New Roman"/>
          <w:color w:val="auto"/>
        </w:rPr>
        <w:t>污染物从污染源进入地下水所经过路径称为地下水污染途径，地下水污染途径是多种多样的。本项目运营期环境影响因素主要为生活污水、养殖废水、猪粪。以上污染因素如不加以管理，猪舍底部、污水处理站收集管线及污水处理站、</w:t>
      </w:r>
      <w:r>
        <w:rPr>
          <w:rFonts w:hint="default" w:ascii="Times New Roman" w:hAnsi="Times New Roman" w:cs="Times New Roman"/>
          <w:color w:val="auto"/>
          <w:lang w:eastAsia="zh-CN"/>
        </w:rPr>
        <w:t>沼液存储池</w:t>
      </w:r>
      <w:r>
        <w:rPr>
          <w:rFonts w:hint="default" w:ascii="Times New Roman" w:hAnsi="Times New Roman" w:cs="Times New Roman"/>
          <w:color w:val="auto"/>
        </w:rPr>
        <w:t>、堆肥发酵区存在污染物下渗到污染地下水的隐患；猪粪、沼渣若乱堆乱放，可能转入环境空气或地表水体，并通过下渗影响到地下水环境。本项目防渗工程污染防治分区情况如表6.2-3。本项目污染地下水途径及防治措施一览表见表6.2-4。</w:t>
      </w:r>
    </w:p>
    <w:p>
      <w:pPr>
        <w:spacing w:afterLines="30" w:line="500" w:lineRule="exact"/>
        <w:ind w:firstLine="482"/>
        <w:jc w:val="center"/>
        <w:rPr>
          <w:rFonts w:hint="default" w:ascii="Times New Roman" w:hAnsi="Times New Roman" w:cs="Times New Roman"/>
          <w:b/>
          <w:color w:val="auto"/>
        </w:rPr>
      </w:pPr>
      <w:r>
        <w:rPr>
          <w:rFonts w:hint="default" w:ascii="Times New Roman" w:hAnsi="Times New Roman" w:cs="Times New Roman"/>
          <w:b/>
          <w:color w:val="auto"/>
        </w:rPr>
        <w:t>表6.2-3             本项目防渗工程污染防治分区</w:t>
      </w:r>
    </w:p>
    <w:tbl>
      <w:tblPr>
        <w:tblStyle w:val="25"/>
        <w:tblW w:w="8958" w:type="dxa"/>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45"/>
        <w:gridCol w:w="3113"/>
        <w:gridCol w:w="2604"/>
        <w:gridCol w:w="2696"/>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45"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3113"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2604"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防渗区域及部位</w:t>
            </w:r>
          </w:p>
        </w:tc>
        <w:tc>
          <w:tcPr>
            <w:tcW w:w="2696"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防渗分区等级</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45"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113"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养殖区</w:t>
            </w:r>
          </w:p>
        </w:tc>
        <w:tc>
          <w:tcPr>
            <w:tcW w:w="2604"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粪沟、尿道</w:t>
            </w:r>
          </w:p>
        </w:tc>
        <w:tc>
          <w:tcPr>
            <w:tcW w:w="2696"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重点</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45"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3113"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堆肥发酵区</w:t>
            </w:r>
          </w:p>
        </w:tc>
        <w:tc>
          <w:tcPr>
            <w:tcW w:w="2604"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堆肥发酵区地面</w:t>
            </w:r>
          </w:p>
        </w:tc>
        <w:tc>
          <w:tcPr>
            <w:tcW w:w="2696"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重点</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45"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3113"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污水处理区</w:t>
            </w:r>
          </w:p>
        </w:tc>
        <w:tc>
          <w:tcPr>
            <w:tcW w:w="2604"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池底、池壁</w:t>
            </w:r>
          </w:p>
        </w:tc>
        <w:tc>
          <w:tcPr>
            <w:tcW w:w="2696"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重点</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45"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3113" w:type="dxa"/>
            <w:tcMar>
              <w:left w:w="0" w:type="dxa"/>
              <w:right w:w="0" w:type="dxa"/>
            </w:tcMar>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沼液存储池</w:t>
            </w:r>
          </w:p>
        </w:tc>
        <w:tc>
          <w:tcPr>
            <w:tcW w:w="2604"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池底、池壁</w:t>
            </w:r>
          </w:p>
        </w:tc>
        <w:tc>
          <w:tcPr>
            <w:tcW w:w="2696"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重点</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45"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3113"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其他区域</w:t>
            </w:r>
          </w:p>
        </w:tc>
        <w:tc>
          <w:tcPr>
            <w:tcW w:w="2604"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地面</w:t>
            </w:r>
          </w:p>
        </w:tc>
        <w:tc>
          <w:tcPr>
            <w:tcW w:w="2696"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45"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3113"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医疗废物暂存间、病死猪处理间</w:t>
            </w:r>
          </w:p>
        </w:tc>
        <w:tc>
          <w:tcPr>
            <w:tcW w:w="2604"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地面</w:t>
            </w:r>
          </w:p>
        </w:tc>
        <w:tc>
          <w:tcPr>
            <w:tcW w:w="2696" w:type="dxa"/>
            <w:tcMar>
              <w:left w:w="0" w:type="dxa"/>
              <w:right w:w="0"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重点</w:t>
            </w:r>
          </w:p>
        </w:tc>
      </w:tr>
    </w:tbl>
    <w:p>
      <w:pPr>
        <w:spacing w:afterLines="30" w:line="500" w:lineRule="exact"/>
        <w:ind w:firstLine="482"/>
        <w:jc w:val="center"/>
        <w:rPr>
          <w:rFonts w:hint="default" w:ascii="Times New Roman" w:hAnsi="Times New Roman" w:cs="Times New Roman"/>
          <w:b/>
          <w:color w:val="auto"/>
        </w:rPr>
      </w:pPr>
      <w:r>
        <w:rPr>
          <w:rFonts w:hint="default" w:ascii="Times New Roman" w:hAnsi="Times New Roman" w:cs="Times New Roman"/>
          <w:b/>
          <w:color w:val="auto"/>
        </w:rPr>
        <w:t>表6.2-4          本项目污染地下水防治措施一览表</w:t>
      </w:r>
    </w:p>
    <w:tbl>
      <w:tblPr>
        <w:tblStyle w:val="25"/>
        <w:tblW w:w="8760" w:type="dxa"/>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94"/>
        <w:gridCol w:w="1165"/>
        <w:gridCol w:w="4231"/>
        <w:gridCol w:w="2670"/>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94" w:type="dxa"/>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165" w:type="dxa"/>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4231" w:type="dxa"/>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保护措施</w:t>
            </w:r>
          </w:p>
        </w:tc>
        <w:tc>
          <w:tcPr>
            <w:tcW w:w="2670" w:type="dxa"/>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达到效果</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78" w:hRule="atLeast"/>
          <w:tblHeader/>
          <w:jc w:val="center"/>
        </w:trPr>
        <w:tc>
          <w:tcPr>
            <w:tcW w:w="694" w:type="dxa"/>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165" w:type="dxa"/>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猪舍内部</w:t>
            </w:r>
          </w:p>
        </w:tc>
        <w:tc>
          <w:tcPr>
            <w:tcW w:w="4231" w:type="dxa"/>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底部混凝土进行防渗，渗透系数达到1.0×10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cm/s，减少污染物的跑、冒、滴、漏，将污染物泄漏的环境风险事故降到最低限度</w:t>
            </w:r>
          </w:p>
        </w:tc>
        <w:tc>
          <w:tcPr>
            <w:tcW w:w="2670" w:type="dxa"/>
            <w:vMerge w:val="restart"/>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各反应池符合《规模化畜禽养殖场沼气工程设计规范》（NY/T1222）和《混凝土结构设计规范》（GB50010）的要求，具备“防渗、防雨、防溢”的三防措施；畜禽粪便的贮存相关要求，应具备防渗、防风、防雨的“三防”措施，雨污分流。</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满足《畜禽养殖业污染防治技术规范》（HJ/T81~2001）要求</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满足《畜禽养殖业污染源总量减排技术指导意见（试行）》（豫环文（2012）99号文）要求。</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在厂址西南和东北方位设置2口地下水观测井。</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94" w:type="dxa"/>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165" w:type="dxa"/>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沼液存储池</w:t>
            </w:r>
          </w:p>
        </w:tc>
        <w:tc>
          <w:tcPr>
            <w:tcW w:w="4231" w:type="dxa"/>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沼液存储池</w:t>
            </w:r>
            <w:r>
              <w:rPr>
                <w:rFonts w:hint="default" w:ascii="Times New Roman" w:hAnsi="Times New Roman" w:cs="Times New Roman"/>
                <w:color w:val="auto"/>
                <w:sz w:val="21"/>
                <w:szCs w:val="21"/>
              </w:rPr>
              <w:t>为满足农闲期沼液产生量，容积不小于200天的废水产生量，池容设计满足要求；</w:t>
            </w:r>
            <w:r>
              <w:rPr>
                <w:rFonts w:hint="default" w:ascii="Times New Roman" w:hAnsi="Times New Roman" w:cs="Times New Roman"/>
                <w:color w:val="auto"/>
                <w:sz w:val="21"/>
                <w:szCs w:val="21"/>
                <w:lang w:eastAsia="zh-CN"/>
              </w:rPr>
              <w:t>沼液存储池</w:t>
            </w:r>
            <w:r>
              <w:rPr>
                <w:rFonts w:hint="default" w:ascii="Times New Roman" w:hAnsi="Times New Roman" w:cs="Times New Roman"/>
                <w:color w:val="auto"/>
                <w:sz w:val="21"/>
                <w:szCs w:val="21"/>
              </w:rPr>
              <w:t>池壁在清场夯压的基础上采用铺设HDPE膜进行防渗，底部设置排气沟，最底部排气沟中放置排水管，并设置导流渠，渗透系数达到1.0×10</w:t>
            </w:r>
            <w:r>
              <w:rPr>
                <w:rFonts w:hint="default" w:ascii="Times New Roman" w:hAnsi="Times New Roman" w:cs="Times New Roman"/>
                <w:color w:val="auto"/>
                <w:sz w:val="21"/>
                <w:szCs w:val="21"/>
                <w:vertAlign w:val="superscript"/>
              </w:rPr>
              <w:t>-10</w:t>
            </w:r>
            <w:r>
              <w:rPr>
                <w:rFonts w:hint="default" w:ascii="Times New Roman" w:hAnsi="Times New Roman" w:cs="Times New Roman"/>
                <w:color w:val="auto"/>
                <w:sz w:val="21"/>
                <w:szCs w:val="21"/>
              </w:rPr>
              <w:t>cm/s，</w:t>
            </w:r>
          </w:p>
        </w:tc>
        <w:tc>
          <w:tcPr>
            <w:tcW w:w="2670" w:type="dxa"/>
            <w:vMerge w:val="continue"/>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94" w:type="dxa"/>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165" w:type="dxa"/>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污水处理系统</w:t>
            </w:r>
          </w:p>
        </w:tc>
        <w:tc>
          <w:tcPr>
            <w:tcW w:w="4231" w:type="dxa"/>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应由有资质施工企业设计并建设。收集池有混凝土防渗，黑膜沼气池防渗工艺是素土夯实+HDPE膜</w:t>
            </w:r>
          </w:p>
        </w:tc>
        <w:tc>
          <w:tcPr>
            <w:tcW w:w="2670" w:type="dxa"/>
            <w:vMerge w:val="continue"/>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94" w:type="dxa"/>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165" w:type="dxa"/>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eastAsia="zh-CN"/>
              </w:rPr>
              <w:t>固粪处理</w:t>
            </w:r>
            <w:r>
              <w:rPr>
                <w:rFonts w:hint="default" w:ascii="Times New Roman" w:hAnsi="Times New Roman" w:cs="Times New Roman"/>
                <w:color w:val="auto"/>
                <w:sz w:val="21"/>
                <w:szCs w:val="21"/>
              </w:rPr>
              <w:t>区</w:t>
            </w:r>
          </w:p>
        </w:tc>
        <w:tc>
          <w:tcPr>
            <w:tcW w:w="4231" w:type="dxa"/>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地面混凝土进行防渗，渗透系数达到1.0×10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cm/s，三面砌筑不低于1m高的混凝土围墙；其上搭建顶棚</w:t>
            </w:r>
          </w:p>
        </w:tc>
        <w:tc>
          <w:tcPr>
            <w:tcW w:w="2670" w:type="dxa"/>
            <w:vMerge w:val="continue"/>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94" w:type="dxa"/>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165" w:type="dxa"/>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场区雨、污管网</w:t>
            </w:r>
          </w:p>
        </w:tc>
        <w:tc>
          <w:tcPr>
            <w:tcW w:w="4231" w:type="dxa"/>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雨污分流、按照畜禽养殖业污染防治技术规范要求进行建设</w:t>
            </w:r>
          </w:p>
        </w:tc>
        <w:tc>
          <w:tcPr>
            <w:tcW w:w="2670" w:type="dxa"/>
            <w:vMerge w:val="continue"/>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94" w:type="dxa"/>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1165" w:type="dxa"/>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场区内净道与脏道设置</w:t>
            </w:r>
          </w:p>
        </w:tc>
        <w:tc>
          <w:tcPr>
            <w:tcW w:w="4231" w:type="dxa"/>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合理设置厂区内净道和脏道，脏道地区硬化防渗处理，渗透系数≤1.0×10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cm/s。路两边设置路沿石；人行道采用透水方砖或植草砖铺设，下面用透水材料铺垫，孔隙间种植草本植物，增加雨水下渗量，可有效减缓地面硬化对地下水涵养产生的不利影响（净道的渗透系数≤1.0×10</w:t>
            </w:r>
            <w:r>
              <w:rPr>
                <w:rFonts w:hint="default" w:ascii="Times New Roman" w:hAnsi="Times New Roman" w:cs="Times New Roman"/>
                <w:color w:val="auto"/>
                <w:sz w:val="21"/>
                <w:szCs w:val="21"/>
                <w:vertAlign w:val="superscript"/>
              </w:rPr>
              <w:t>-5</w:t>
            </w:r>
            <w:r>
              <w:rPr>
                <w:rFonts w:hint="default" w:ascii="Times New Roman" w:hAnsi="Times New Roman" w:cs="Times New Roman"/>
                <w:color w:val="auto"/>
                <w:sz w:val="21"/>
                <w:szCs w:val="21"/>
              </w:rPr>
              <w:t>cm/s）。</w:t>
            </w:r>
          </w:p>
        </w:tc>
        <w:tc>
          <w:tcPr>
            <w:tcW w:w="2670" w:type="dxa"/>
            <w:vMerge w:val="continue"/>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94" w:type="dxa"/>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1165" w:type="dxa"/>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医疗废物暂存间、病死猪处理间</w:t>
            </w:r>
          </w:p>
        </w:tc>
        <w:tc>
          <w:tcPr>
            <w:tcW w:w="4231" w:type="dxa"/>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医疗废物暂存间及病死猪处理间建成具有防水、防渗、防流失的空间基础必须防渗，防渗层为至少1米厚粘土层(渗透系数≤10</w:t>
            </w:r>
            <w:r>
              <w:rPr>
                <w:rFonts w:hint="default" w:ascii="Times New Roman" w:hAnsi="Times New Roman" w:cs="Times New Roman"/>
                <w:color w:val="auto"/>
                <w:sz w:val="21"/>
                <w:szCs w:val="21"/>
                <w:vertAlign w:val="superscript"/>
                <w:lang w:val="en-US" w:eastAsia="zh-CN"/>
              </w:rPr>
              <w:t>-7</w:t>
            </w:r>
            <w:r>
              <w:rPr>
                <w:rFonts w:hint="default" w:ascii="Times New Roman" w:hAnsi="Times New Roman" w:cs="Times New Roman"/>
                <w:color w:val="auto"/>
                <w:sz w:val="21"/>
                <w:szCs w:val="21"/>
                <w:lang w:val="en-US" w:eastAsia="zh-CN"/>
              </w:rPr>
              <w:t>cm/s)，或2mm厚高密度聚乙烯，或至少2mm厚的其它人工材料，渗透系数≤10</w:t>
            </w:r>
            <w:r>
              <w:rPr>
                <w:rFonts w:hint="default" w:ascii="Times New Roman" w:hAnsi="Times New Roman" w:cs="Times New Roman"/>
                <w:color w:val="auto"/>
                <w:sz w:val="21"/>
                <w:szCs w:val="21"/>
                <w:vertAlign w:val="superscript"/>
                <w:lang w:val="en-US" w:eastAsia="zh-CN"/>
              </w:rPr>
              <w:t>-10</w:t>
            </w:r>
            <w:r>
              <w:rPr>
                <w:rFonts w:hint="default" w:ascii="Times New Roman" w:hAnsi="Times New Roman" w:cs="Times New Roman"/>
                <w:color w:val="auto"/>
                <w:sz w:val="21"/>
                <w:szCs w:val="21"/>
                <w:lang w:val="en-US" w:eastAsia="zh-CN"/>
              </w:rPr>
              <w:t>cm/s。设置专用贮存设施贮存医疗废物。贮存医疗废物的容器材质和衬里要与医疗废物相容（不相互反应）。贮存设施必须防渗。</w:t>
            </w:r>
          </w:p>
        </w:tc>
        <w:tc>
          <w:tcPr>
            <w:tcW w:w="2670" w:type="dxa"/>
            <w:noWrap w:val="0"/>
            <w:tcMar>
              <w:top w:w="57" w:type="dxa"/>
              <w:left w:w="85" w:type="dxa"/>
              <w:bottom w:w="57" w:type="dxa"/>
              <w:right w:w="85"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满足《危险废物贮存污染</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控制标准》（GB18597-2001）（2013修订版）</w:t>
            </w:r>
          </w:p>
        </w:tc>
      </w:tr>
    </w:tbl>
    <w:p>
      <w:pPr>
        <w:ind w:firstLine="480"/>
        <w:rPr>
          <w:rFonts w:hint="default" w:ascii="Times New Roman" w:hAnsi="Times New Roman" w:cs="Times New Roman"/>
          <w:bCs/>
          <w:color w:val="auto"/>
          <w:kern w:val="0"/>
        </w:rPr>
      </w:pPr>
      <w:r>
        <w:rPr>
          <w:rFonts w:hint="default" w:ascii="Times New Roman" w:hAnsi="Times New Roman" w:cs="Times New Roman"/>
          <w:bCs/>
          <w:color w:val="auto"/>
          <w:kern w:val="0"/>
        </w:rPr>
        <w:t>（3）预防地下水污染物的要求及环境管理建议</w:t>
      </w:r>
    </w:p>
    <w:p>
      <w:pPr>
        <w:ind w:firstLine="480"/>
        <w:rPr>
          <w:rFonts w:hint="default" w:ascii="Times New Roman" w:hAnsi="Times New Roman" w:cs="Times New Roman"/>
          <w:bCs/>
          <w:color w:val="auto"/>
          <w:kern w:val="0"/>
        </w:rPr>
      </w:pPr>
      <w:r>
        <w:rPr>
          <w:rFonts w:hint="default" w:ascii="Times New Roman" w:hAnsi="Times New Roman" w:cs="Times New Roman"/>
          <w:bCs/>
          <w:color w:val="auto"/>
          <w:kern w:val="0"/>
        </w:rPr>
        <w:t>项目在施工阶段，应充分做好排污管道的防渗处理，杜绝污水渗漏，确保污水收集处理系统衔接良好，严格用水管理，防止污水“跑、冒、滴、漏”现象的发生，这样可以保证项目区内产生的全部废水汇集到沼气工程集中处理，可以很大程度的消除污染物排放对周边地区地下水环境的影响。运营期环境建议严格按照以下要求进行管理：</w:t>
      </w:r>
    </w:p>
    <w:p>
      <w:pPr>
        <w:ind w:firstLine="480"/>
        <w:rPr>
          <w:rFonts w:hint="default" w:ascii="Times New Roman" w:hAnsi="Times New Roman" w:cs="Times New Roman"/>
          <w:bCs/>
          <w:color w:val="auto"/>
          <w:kern w:val="0"/>
        </w:rPr>
      </w:pPr>
      <w:r>
        <w:rPr>
          <w:rFonts w:hint="default" w:ascii="Times New Roman" w:hAnsi="Times New Roman" w:cs="Times New Roman"/>
          <w:bCs/>
          <w:color w:val="auto"/>
          <w:kern w:val="0"/>
        </w:rPr>
        <w:t>①《畜禽养殖业污染防治技术规范》（HJ/T81－2001）规定，养殖场的排水系统应实施雨水和污水收集输送系统分离，在场区内设置的污水收集输送系统，不得采用明沟布设。排水沟应采取水泥硬化防渗措施或采用水泥排水管进行输送，防止随处溢流和下渗污染。</w:t>
      </w:r>
    </w:p>
    <w:p>
      <w:pPr>
        <w:ind w:firstLine="480"/>
        <w:rPr>
          <w:rFonts w:hint="default" w:ascii="Times New Roman" w:hAnsi="Times New Roman" w:cs="Times New Roman"/>
          <w:bCs/>
          <w:color w:val="auto"/>
          <w:kern w:val="0"/>
        </w:rPr>
      </w:pPr>
      <w:r>
        <w:rPr>
          <w:rFonts w:hint="default" w:ascii="Times New Roman" w:hAnsi="Times New Roman" w:cs="Times New Roman"/>
          <w:bCs/>
          <w:color w:val="auto"/>
          <w:kern w:val="0"/>
        </w:rPr>
        <w:t>②猪舍、粪污处理及储存设施等应采取有效的防渗处理工艺，防止废水、粪便淋滤液污染地下水。</w:t>
      </w:r>
    </w:p>
    <w:p>
      <w:pPr>
        <w:ind w:firstLine="480"/>
        <w:rPr>
          <w:rFonts w:hint="default" w:ascii="Times New Roman" w:hAnsi="Times New Roman" w:cs="Times New Roman"/>
          <w:bCs/>
          <w:color w:val="auto"/>
          <w:kern w:val="0"/>
        </w:rPr>
      </w:pPr>
      <w:r>
        <w:rPr>
          <w:rFonts w:hint="default" w:ascii="Times New Roman" w:hAnsi="Times New Roman" w:cs="Times New Roman"/>
          <w:bCs/>
          <w:color w:val="auto"/>
          <w:kern w:val="0"/>
        </w:rPr>
        <w:t>本项目建成后全场分为重点防渗区和一般防渗区。重点污染防渗区主要包括：猪舍、污水处理区、</w:t>
      </w:r>
      <w:r>
        <w:rPr>
          <w:rFonts w:hint="default" w:ascii="Times New Roman" w:hAnsi="Times New Roman" w:cs="Times New Roman"/>
          <w:bCs/>
          <w:color w:val="auto"/>
          <w:kern w:val="0"/>
          <w:lang w:eastAsia="zh-CN"/>
        </w:rPr>
        <w:t>固粪处理</w:t>
      </w:r>
      <w:r>
        <w:rPr>
          <w:rFonts w:hint="default" w:ascii="Times New Roman" w:hAnsi="Times New Roman" w:cs="Times New Roman"/>
          <w:bCs/>
          <w:color w:val="auto"/>
          <w:kern w:val="0"/>
        </w:rPr>
        <w:t>区、</w:t>
      </w:r>
      <w:r>
        <w:rPr>
          <w:rFonts w:hint="default" w:ascii="Times New Roman" w:hAnsi="Times New Roman" w:cs="Times New Roman"/>
          <w:bCs/>
          <w:color w:val="auto"/>
          <w:kern w:val="0"/>
          <w:lang w:eastAsia="zh-CN"/>
        </w:rPr>
        <w:t>沼液存储池</w:t>
      </w:r>
      <w:r>
        <w:rPr>
          <w:rFonts w:hint="default" w:ascii="Times New Roman" w:hAnsi="Times New Roman" w:cs="Times New Roman"/>
          <w:bCs/>
          <w:color w:val="auto"/>
          <w:kern w:val="0"/>
        </w:rPr>
        <w:t>、危险废物暂存池等；一般污染防渗区主要包括：一般固废暂存区、猪舍周围地面等。</w:t>
      </w:r>
    </w:p>
    <w:p>
      <w:pPr>
        <w:ind w:firstLine="480"/>
        <w:rPr>
          <w:rFonts w:hint="default" w:ascii="Times New Roman" w:hAnsi="Times New Roman" w:cs="Times New Roman"/>
          <w:bCs/>
          <w:color w:val="auto"/>
          <w:kern w:val="0"/>
        </w:rPr>
      </w:pPr>
      <w:r>
        <w:rPr>
          <w:rFonts w:hint="default" w:ascii="Times New Roman" w:hAnsi="Times New Roman" w:cs="Times New Roman"/>
          <w:bCs/>
          <w:color w:val="auto"/>
          <w:kern w:val="0"/>
        </w:rPr>
        <w:t>●一般防渗区：评价建议对该区域采取粘土铺底，再在上层铺10～15cm的水泥进行硬化。通过上述措施可使一般防渗区各单元防渗层渗透系数≤10</w:t>
      </w:r>
      <w:r>
        <w:rPr>
          <w:rFonts w:hint="default" w:ascii="Times New Roman" w:hAnsi="Times New Roman" w:cs="Times New Roman"/>
          <w:bCs/>
          <w:color w:val="auto"/>
          <w:kern w:val="0"/>
          <w:vertAlign w:val="superscript"/>
        </w:rPr>
        <w:t>-7</w:t>
      </w:r>
      <w:r>
        <w:rPr>
          <w:rFonts w:hint="default" w:ascii="Times New Roman" w:hAnsi="Times New Roman" w:cs="Times New Roman"/>
          <w:bCs/>
          <w:color w:val="auto"/>
          <w:kern w:val="0"/>
        </w:rPr>
        <w:t>cm/s。</w:t>
      </w:r>
    </w:p>
    <w:p>
      <w:pPr>
        <w:ind w:firstLine="480"/>
        <w:rPr>
          <w:rFonts w:hint="default" w:ascii="Times New Roman" w:hAnsi="Times New Roman" w:cs="Times New Roman"/>
          <w:bCs/>
          <w:color w:val="auto"/>
          <w:kern w:val="0"/>
          <w:sz w:val="24"/>
          <w:szCs w:val="24"/>
          <w:lang w:val="en-US" w:eastAsia="zh-CN"/>
        </w:rPr>
      </w:pPr>
      <w:r>
        <w:rPr>
          <w:rFonts w:hint="default" w:ascii="Times New Roman" w:hAnsi="Times New Roman" w:cs="Times New Roman"/>
          <w:bCs/>
          <w:color w:val="auto"/>
          <w:kern w:val="0"/>
        </w:rPr>
        <w:t>●重点防渗区：</w:t>
      </w:r>
      <w:r>
        <w:rPr>
          <w:rFonts w:hint="default" w:ascii="Times New Roman" w:hAnsi="Times New Roman" w:cs="Times New Roman"/>
          <w:bCs/>
          <w:color w:val="auto"/>
          <w:kern w:val="0"/>
          <w:sz w:val="24"/>
          <w:szCs w:val="24"/>
        </w:rPr>
        <w:t>重点防渗区在清场夯压的基础上沼液暂存池采用</w:t>
      </w:r>
      <w:r>
        <w:rPr>
          <w:rFonts w:hint="default" w:ascii="Times New Roman" w:hAnsi="Times New Roman" w:cs="Times New Roman"/>
          <w:color w:val="auto"/>
          <w:sz w:val="24"/>
          <w:szCs w:val="24"/>
        </w:rPr>
        <w:t>铺设HDPE防渗膜</w:t>
      </w:r>
      <w:r>
        <w:rPr>
          <w:rFonts w:hint="default" w:ascii="Times New Roman" w:hAnsi="Times New Roman" w:cs="Times New Roman"/>
          <w:bCs/>
          <w:color w:val="auto"/>
          <w:kern w:val="0"/>
          <w:sz w:val="24"/>
          <w:szCs w:val="24"/>
        </w:rPr>
        <w:t>防渗；收集池、养殖区、固粪处理区等用混凝土进行防渗；黑膜沼气池采用素土夯实+HDPE防渗膜防渗，HDPE膜抗渗能力比较强，渗透系数能够达到1.0×10</w:t>
      </w:r>
      <w:r>
        <w:rPr>
          <w:rFonts w:hint="default" w:ascii="Times New Roman" w:hAnsi="Times New Roman" w:cs="Times New Roman"/>
          <w:bCs/>
          <w:color w:val="auto"/>
          <w:kern w:val="0"/>
          <w:sz w:val="24"/>
          <w:szCs w:val="24"/>
          <w:vertAlign w:val="superscript"/>
        </w:rPr>
        <w:t>-7</w:t>
      </w:r>
      <w:r>
        <w:rPr>
          <w:rFonts w:hint="default" w:ascii="Times New Roman" w:hAnsi="Times New Roman" w:cs="Times New Roman"/>
          <w:bCs/>
          <w:color w:val="auto"/>
          <w:kern w:val="0"/>
          <w:sz w:val="24"/>
          <w:szCs w:val="24"/>
        </w:rPr>
        <w:t>cm/s，以防止污染地下水，同时各废水输送管道应做到防泄露、跑冒等。</w:t>
      </w:r>
    </w:p>
    <w:p>
      <w:pPr>
        <w:ind w:firstLine="480"/>
        <w:rPr>
          <w:rFonts w:hint="default" w:ascii="Times New Roman" w:hAnsi="Times New Roman" w:cs="Times New Roman"/>
          <w:bCs/>
          <w:color w:val="auto"/>
          <w:kern w:val="0"/>
        </w:rPr>
      </w:pPr>
      <w:r>
        <w:rPr>
          <w:rFonts w:hint="default" w:ascii="Times New Roman" w:hAnsi="Times New Roman" w:cs="Times New Roman"/>
          <w:bCs/>
          <w:color w:val="auto"/>
          <w:kern w:val="0"/>
        </w:rPr>
        <w:t>根据《畜禽养殖业污染源总量减排技术指导意见（试行）》（豫环文（2012）99号文）中的相关要求，</w:t>
      </w:r>
      <w:r>
        <w:rPr>
          <w:rFonts w:hint="default" w:ascii="Times New Roman" w:hAnsi="Times New Roman" w:cs="Times New Roman"/>
          <w:bCs/>
          <w:color w:val="auto"/>
          <w:kern w:val="0"/>
          <w:lang w:eastAsia="zh-CN"/>
        </w:rPr>
        <w:t>固粪处理区</w:t>
      </w:r>
      <w:r>
        <w:rPr>
          <w:rFonts w:hint="default" w:ascii="Times New Roman" w:hAnsi="Times New Roman" w:cs="Times New Roman"/>
          <w:bCs/>
          <w:color w:val="auto"/>
          <w:kern w:val="0"/>
        </w:rPr>
        <w:t>（本项目为发酵区）应采取有效的防雨、防渗漏、防溢流措施。</w:t>
      </w:r>
    </w:p>
    <w:p>
      <w:pPr>
        <w:ind w:firstLine="480"/>
        <w:rPr>
          <w:rFonts w:hint="default" w:ascii="Times New Roman" w:hAnsi="Times New Roman" w:cs="Times New Roman"/>
          <w:bCs/>
          <w:color w:val="auto"/>
          <w:kern w:val="0"/>
        </w:rPr>
      </w:pPr>
      <w:r>
        <w:rPr>
          <w:rFonts w:hint="default" w:ascii="Times New Roman" w:hAnsi="Times New Roman" w:cs="Times New Roman"/>
          <w:bCs/>
          <w:color w:val="auto"/>
          <w:kern w:val="0"/>
        </w:rPr>
        <w:t>③做好排水沟、收集池等的防渗工作，应充分考虑农作期间影响和雨季影响，能够保证有足够的容量以容纳养殖场产生的废水。</w:t>
      </w:r>
    </w:p>
    <w:p>
      <w:pPr>
        <w:ind w:firstLine="480"/>
        <w:rPr>
          <w:rFonts w:hint="default" w:ascii="Times New Roman" w:hAnsi="Times New Roman" w:cs="Times New Roman"/>
          <w:bCs/>
          <w:color w:val="auto"/>
          <w:kern w:val="0"/>
        </w:rPr>
      </w:pPr>
      <w:r>
        <w:rPr>
          <w:rFonts w:hint="default" w:ascii="Times New Roman" w:hAnsi="Times New Roman" w:cs="Times New Roman"/>
          <w:bCs/>
          <w:color w:val="auto"/>
          <w:kern w:val="0"/>
        </w:rPr>
        <w:fldChar w:fldCharType="begin"/>
      </w:r>
      <w:r>
        <w:rPr>
          <w:rFonts w:hint="default" w:ascii="Times New Roman" w:hAnsi="Times New Roman" w:cs="Times New Roman"/>
          <w:bCs/>
          <w:color w:val="auto"/>
          <w:kern w:val="0"/>
        </w:rPr>
        <w:instrText xml:space="preserve"> = 4 \* GB3 </w:instrText>
      </w:r>
      <w:r>
        <w:rPr>
          <w:rFonts w:hint="default" w:ascii="Times New Roman" w:hAnsi="Times New Roman" w:cs="Times New Roman"/>
          <w:bCs/>
          <w:color w:val="auto"/>
          <w:kern w:val="0"/>
        </w:rPr>
        <w:fldChar w:fldCharType="separate"/>
      </w:r>
      <w:r>
        <w:rPr>
          <w:rFonts w:hint="default" w:ascii="Times New Roman" w:hAnsi="Times New Roman" w:cs="Times New Roman"/>
          <w:bCs/>
          <w:color w:val="auto"/>
          <w:kern w:val="0"/>
        </w:rPr>
        <w:t>④</w:t>
      </w:r>
      <w:r>
        <w:rPr>
          <w:rFonts w:hint="default" w:ascii="Times New Roman" w:hAnsi="Times New Roman" w:cs="Times New Roman"/>
          <w:color w:val="auto"/>
          <w:kern w:val="0"/>
        </w:rPr>
        <w:fldChar w:fldCharType="end"/>
      </w:r>
      <w:r>
        <w:rPr>
          <w:rFonts w:hint="default" w:ascii="Times New Roman" w:hAnsi="Times New Roman" w:cs="Times New Roman"/>
          <w:bCs/>
          <w:color w:val="auto"/>
          <w:kern w:val="0"/>
        </w:rPr>
        <w:t xml:space="preserve">肥水适当施用，由企业结合天气状况、当地土地消纳能力、当地农田施肥规律等定时定量合理施肥，防止过度施肥而影响地下水环境。并且，防止在雨天进行施肥，以避免肥水随雨水垂直径流进入地下水体，造成污染。 </w:t>
      </w:r>
    </w:p>
    <w:p>
      <w:pPr>
        <w:ind w:firstLine="480"/>
        <w:rPr>
          <w:rFonts w:hint="default" w:ascii="Times New Roman" w:hAnsi="Times New Roman" w:cs="Times New Roman"/>
          <w:bCs/>
          <w:color w:val="auto"/>
          <w:kern w:val="0"/>
        </w:rPr>
      </w:pPr>
      <w:r>
        <w:rPr>
          <w:rFonts w:hint="default" w:ascii="Times New Roman" w:hAnsi="Times New Roman" w:cs="Times New Roman"/>
          <w:bCs/>
          <w:color w:val="auto"/>
          <w:kern w:val="0"/>
        </w:rPr>
        <w:t>（4）管理措施</w:t>
      </w:r>
    </w:p>
    <w:p>
      <w:pPr>
        <w:ind w:firstLine="480"/>
        <w:rPr>
          <w:rFonts w:hint="default" w:ascii="Times New Roman" w:hAnsi="Times New Roman" w:cs="Times New Roman"/>
          <w:bCs/>
          <w:color w:val="auto"/>
          <w:kern w:val="0"/>
        </w:rPr>
      </w:pPr>
      <w:r>
        <w:rPr>
          <w:rFonts w:hint="default" w:ascii="Times New Roman" w:hAnsi="Times New Roman" w:cs="Times New Roman"/>
          <w:bCs/>
          <w:color w:val="auto"/>
          <w:kern w:val="0"/>
        </w:rPr>
        <w:t>成立事故处理组织，一旦发生废水事故排放，应立即组织人力、物力和财力加紧对设备进行维修，同时对废水进行回收、拦截，以防止污染地下水；建设单位建立了科学合理的沼液利用制度，沼液适当施用，由企业结合农业技术部门根据天气情况、当地土地消纳能力、农田施肥及灌溉规律定时定量施肥，防治过度施肥而影响地下水环境。</w:t>
      </w:r>
    </w:p>
    <w:p>
      <w:pPr>
        <w:ind w:firstLine="480"/>
        <w:rPr>
          <w:rFonts w:hint="default" w:ascii="Times New Roman" w:hAnsi="Times New Roman" w:eastAsia="宋体" w:cs="Times New Roman"/>
          <w:bCs/>
          <w:color w:val="auto"/>
          <w:kern w:val="0"/>
          <w:lang w:val="en-US" w:eastAsia="zh-CN"/>
        </w:rPr>
      </w:pPr>
      <w:r>
        <w:rPr>
          <w:rFonts w:hint="default" w:ascii="Times New Roman" w:hAnsi="Times New Roman" w:cs="Times New Roman"/>
          <w:b w:val="0"/>
          <w:bCs w:val="0"/>
          <w:color w:val="auto"/>
          <w:sz w:val="24"/>
          <w:szCs w:val="24"/>
        </w:rPr>
        <w:t>根据《排污许可证核发与技术规范 畜禽养殖行业》中的废</w:t>
      </w:r>
      <w:r>
        <w:rPr>
          <w:rFonts w:hint="default" w:ascii="Times New Roman" w:hAnsi="Times New Roman" w:cs="Times New Roman"/>
          <w:b w:val="0"/>
          <w:bCs w:val="0"/>
          <w:color w:val="auto"/>
          <w:sz w:val="24"/>
          <w:szCs w:val="24"/>
          <w:lang w:eastAsia="zh-CN"/>
        </w:rPr>
        <w:t>水污染防治可行技术参数表，本项目属于中型养殖规模，废水排放去向为间接排放，可采用干清粪</w:t>
      </w:r>
      <w:r>
        <w:rPr>
          <w:rFonts w:hint="default" w:ascii="Times New Roman" w:hAnsi="Times New Roman" w:cs="Times New Roman"/>
          <w:b w:val="0"/>
          <w:bCs w:val="0"/>
          <w:color w:val="auto"/>
          <w:sz w:val="24"/>
          <w:szCs w:val="24"/>
          <w:lang w:val="en-US" w:eastAsia="zh-CN"/>
        </w:rPr>
        <w:t>+固液分离+厌氧+好氧发酵处理措施。</w:t>
      </w:r>
      <w:r>
        <w:rPr>
          <w:rFonts w:hint="default" w:ascii="Times New Roman" w:hAnsi="Times New Roman" w:cs="Times New Roman"/>
          <w:color w:val="auto"/>
        </w:rPr>
        <w:t>结合《畜禽养殖业污染治理工程技术规范》（HJ497-2009）中要求对污水进行处理</w:t>
      </w:r>
      <w:r>
        <w:rPr>
          <w:rFonts w:hint="default" w:ascii="Times New Roman" w:hAnsi="Times New Roman" w:cs="Times New Roman"/>
          <w:color w:val="auto"/>
          <w:lang w:eastAsia="zh-CN"/>
        </w:rPr>
        <w:t>，</w:t>
      </w:r>
      <w:r>
        <w:rPr>
          <w:rFonts w:hint="default" w:ascii="Times New Roman" w:hAnsi="Times New Roman" w:cs="Times New Roman"/>
          <w:color w:val="auto"/>
        </w:rPr>
        <w:t>本项目粪污处理系统的核心技术是“黑膜沼气池”，粪便污水经固液分离后进入黑膜沼气池，在沼气池内进行厌氧发酵，经厌氧发酵去除大部分有机物，设计发酵周期为35天，</w:t>
      </w:r>
      <w:r>
        <w:rPr>
          <w:rFonts w:hint="default" w:ascii="Times New Roman" w:hAnsi="Times New Roman" w:cs="Times New Roman"/>
          <w:color w:val="auto"/>
          <w:sz w:val="24"/>
        </w:rPr>
        <w:t>发酵后的沼渣</w:t>
      </w:r>
      <w:r>
        <w:rPr>
          <w:rFonts w:hint="default" w:ascii="Times New Roman" w:hAnsi="Times New Roman" w:cs="Times New Roman"/>
          <w:color w:val="auto"/>
          <w:sz w:val="24"/>
          <w:lang w:val="en-US" w:eastAsia="zh-CN"/>
        </w:rPr>
        <w:t>再次进入收集池经固液分离后进入黑膜发酵</w:t>
      </w:r>
      <w:r>
        <w:rPr>
          <w:rFonts w:hint="default" w:ascii="Times New Roman" w:hAnsi="Times New Roman" w:cs="Times New Roman"/>
          <w:color w:val="auto"/>
          <w:sz w:val="24"/>
        </w:rPr>
        <w:t>，发酵后的沼液排至</w:t>
      </w:r>
      <w:r>
        <w:rPr>
          <w:rFonts w:hint="default" w:ascii="Times New Roman" w:hAnsi="Times New Roman" w:cs="Times New Roman"/>
          <w:color w:val="auto"/>
          <w:sz w:val="24"/>
          <w:lang w:eastAsia="zh-CN"/>
        </w:rPr>
        <w:t>沼液存储池</w:t>
      </w:r>
      <w:r>
        <w:rPr>
          <w:rFonts w:hint="default" w:ascii="Times New Roman" w:hAnsi="Times New Roman" w:cs="Times New Roman"/>
          <w:color w:val="auto"/>
          <w:sz w:val="24"/>
        </w:rPr>
        <w:t>，用作农肥使用。厌氧发酵</w:t>
      </w:r>
      <w:r>
        <w:rPr>
          <w:rFonts w:hint="default" w:ascii="Times New Roman" w:hAnsi="Times New Roman" w:cs="Times New Roman"/>
          <w:color w:val="auto"/>
          <w:sz w:val="24"/>
          <w:highlight w:val="none"/>
        </w:rPr>
        <w:t>产生的沼气经净化后，用于伙房灶台</w:t>
      </w:r>
      <w:r>
        <w:rPr>
          <w:rFonts w:hint="eastAsia" w:cs="Times New Roman"/>
          <w:color w:val="auto"/>
          <w:sz w:val="24"/>
          <w:highlight w:val="none"/>
          <w:lang w:eastAsia="zh-CN"/>
        </w:rPr>
        <w:t>、沼气热水炉</w:t>
      </w:r>
      <w:r>
        <w:rPr>
          <w:rFonts w:hint="default" w:ascii="Times New Roman" w:hAnsi="Times New Roman" w:cs="Times New Roman"/>
          <w:color w:val="auto"/>
          <w:sz w:val="24"/>
          <w:highlight w:val="none"/>
          <w:lang w:eastAsia="zh-CN"/>
        </w:rPr>
        <w:t>空。沼渣再次进入收集池固液分离后进入黑膜沼气池发酵。本项目废水处理技术可以满足</w:t>
      </w:r>
      <w:r>
        <w:rPr>
          <w:rFonts w:hint="default" w:ascii="Times New Roman" w:hAnsi="Times New Roman" w:cs="Times New Roman"/>
          <w:b w:val="0"/>
          <w:bCs w:val="0"/>
          <w:color w:val="auto"/>
          <w:sz w:val="24"/>
          <w:szCs w:val="24"/>
        </w:rPr>
        <w:t>畜禽养殖行业</w:t>
      </w:r>
      <w:r>
        <w:rPr>
          <w:rFonts w:hint="default" w:ascii="Times New Roman" w:hAnsi="Times New Roman" w:cs="Times New Roman"/>
          <w:b w:val="0"/>
          <w:bCs w:val="0"/>
          <w:color w:val="auto"/>
          <w:sz w:val="24"/>
          <w:szCs w:val="24"/>
          <w:lang w:eastAsia="zh-CN"/>
        </w:rPr>
        <w:t>排污许可证核发技术规范。</w:t>
      </w:r>
    </w:p>
    <w:p>
      <w:pPr>
        <w:ind w:firstLine="480"/>
        <w:rPr>
          <w:rFonts w:hint="default" w:ascii="Times New Roman" w:hAnsi="Times New Roman" w:cs="Times New Roman"/>
          <w:color w:val="auto"/>
        </w:rPr>
      </w:pPr>
      <w:r>
        <w:rPr>
          <w:rFonts w:hint="default" w:ascii="Times New Roman" w:hAnsi="Times New Roman" w:cs="Times New Roman"/>
          <w:bCs/>
          <w:color w:val="auto"/>
          <w:kern w:val="0"/>
        </w:rPr>
        <w:t>综上，在落实好各项防渗、防污措施后，本项目污染物能得到有效处理，对地下水水质影响较小，项目的建设不会产生其他环境地质问题，因此对地下水环境质量影响较小。</w:t>
      </w:r>
    </w:p>
    <w:p>
      <w:pPr>
        <w:pStyle w:val="5"/>
        <w:rPr>
          <w:rFonts w:hint="default" w:ascii="Times New Roman" w:hAnsi="Times New Roman" w:cs="Times New Roman"/>
          <w:color w:val="auto"/>
          <w:lang w:val="en-US"/>
        </w:rPr>
      </w:pPr>
      <w:r>
        <w:rPr>
          <w:rFonts w:hint="default" w:ascii="Times New Roman" w:hAnsi="Times New Roman" w:cs="Times New Roman"/>
          <w:color w:val="auto"/>
          <w:lang w:val="en-US"/>
        </w:rPr>
        <w:t>6.2.4废气污染防治措施分析</w:t>
      </w:r>
    </w:p>
    <w:p>
      <w:pPr>
        <w:tabs>
          <w:tab w:val="left" w:pos="5625"/>
        </w:tabs>
        <w:ind w:firstLine="480"/>
        <w:outlineLvl w:val="3"/>
        <w:rPr>
          <w:rFonts w:hint="default" w:ascii="Times New Roman" w:hAnsi="Times New Roman" w:cs="Times New Roman"/>
          <w:color w:val="auto"/>
        </w:rPr>
      </w:pPr>
      <w:r>
        <w:rPr>
          <w:rFonts w:hint="default" w:ascii="Times New Roman" w:hAnsi="Times New Roman" w:cs="Times New Roman"/>
          <w:color w:val="auto"/>
        </w:rPr>
        <w:t>6.2.4.1恶臭</w:t>
      </w:r>
    </w:p>
    <w:p>
      <w:pPr>
        <w:pStyle w:val="14"/>
        <w:ind w:firstLine="480"/>
        <w:rPr>
          <w:rFonts w:hint="default" w:ascii="Times New Roman" w:hAnsi="Times New Roman" w:cs="Times New Roman"/>
          <w:color w:val="auto"/>
        </w:rPr>
      </w:pPr>
      <w:r>
        <w:rPr>
          <w:rFonts w:hint="default" w:ascii="Times New Roman" w:hAnsi="Times New Roman" w:cs="Times New Roman"/>
          <w:color w:val="auto"/>
        </w:rPr>
        <w:t>（1）恶臭产生的场所</w:t>
      </w:r>
    </w:p>
    <w:p>
      <w:pPr>
        <w:ind w:firstLine="480"/>
        <w:rPr>
          <w:rFonts w:hint="default" w:ascii="Times New Roman" w:hAnsi="Times New Roman" w:cs="Times New Roman"/>
          <w:color w:val="auto"/>
        </w:rPr>
      </w:pPr>
      <w:r>
        <w:rPr>
          <w:rFonts w:hint="default" w:ascii="Times New Roman" w:hAnsi="Times New Roman" w:cs="Times New Roman"/>
          <w:color w:val="auto"/>
        </w:rPr>
        <w:t>恶臭在养殖场和粪污处理场等处均可产生。影响畜禽场恶臭产生的的主要原因是清粪方式、管理水平、粪便和污水处理程度，同时也与场址选择、场地规划和布局、畜舍设计、畜舍通风等有关。</w:t>
      </w:r>
    </w:p>
    <w:p>
      <w:pPr>
        <w:ind w:firstLine="480"/>
        <w:rPr>
          <w:rFonts w:hint="default" w:ascii="Times New Roman" w:hAnsi="Times New Roman" w:cs="Times New Roman"/>
          <w:color w:val="auto"/>
        </w:rPr>
      </w:pPr>
      <w:r>
        <w:rPr>
          <w:rFonts w:hint="default" w:ascii="Times New Roman" w:hAnsi="Times New Roman" w:cs="Times New Roman"/>
          <w:color w:val="auto"/>
        </w:rPr>
        <w:t>恶臭的成分十分复杂，因家畜的种类、清粪方式、日粮组成、空气湿度、粪便和污水处理等不同而异，有机成分是硫醇类、胺类、吲哚、挥发性有机酸、酚类、醛类、酮类、醇类以及含氮杂环化合物等，无机成分主要是NH</w:t>
      </w:r>
      <w:r>
        <w:rPr>
          <w:rFonts w:hint="default" w:ascii="Times New Roman" w:hAnsi="Times New Roman" w:cs="Times New Roman"/>
          <w:color w:val="auto"/>
          <w:vertAlign w:val="subscript"/>
        </w:rPr>
        <w:t>3</w:t>
      </w:r>
      <w:r>
        <w:rPr>
          <w:rFonts w:hint="default" w:ascii="Times New Roman" w:hAnsi="Times New Roman" w:cs="Times New Roman"/>
          <w:color w:val="auto"/>
        </w:rPr>
        <w:t>和H</w:t>
      </w:r>
      <w:r>
        <w:rPr>
          <w:rFonts w:hint="default" w:ascii="Times New Roman" w:hAnsi="Times New Roman" w:cs="Times New Roman"/>
          <w:color w:val="auto"/>
          <w:vertAlign w:val="subscript"/>
        </w:rPr>
        <w:t>2</w:t>
      </w:r>
      <w:r>
        <w:rPr>
          <w:rFonts w:hint="default" w:ascii="Times New Roman" w:hAnsi="Times New Roman" w:cs="Times New Roman"/>
          <w:color w:val="auto"/>
        </w:rPr>
        <w:t>S。</w:t>
      </w:r>
    </w:p>
    <w:p>
      <w:pPr>
        <w:ind w:firstLine="480"/>
        <w:rPr>
          <w:rFonts w:hint="default" w:ascii="Times New Roman" w:hAnsi="Times New Roman" w:cs="Times New Roman"/>
          <w:color w:val="auto"/>
        </w:rPr>
      </w:pPr>
      <w:r>
        <w:rPr>
          <w:rFonts w:hint="default" w:ascii="Times New Roman" w:hAnsi="Times New Roman" w:cs="Times New Roman"/>
          <w:color w:val="auto"/>
        </w:rPr>
        <w:t>（2）恶臭污染防治措施</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由于猪舍的恶臭污染源很分散，集中处理困难，最有效的控制方法是预防为主，在恶臭产生的源头就地处理。</w:t>
      </w:r>
      <w:r>
        <w:rPr>
          <w:rFonts w:hint="default" w:ascii="Times New Roman" w:hAnsi="Times New Roman" w:cs="Times New Roman"/>
          <w:b/>
          <w:bCs/>
          <w:iCs/>
          <w:color w:val="auto"/>
          <w:szCs w:val="28"/>
          <w:u w:val="single"/>
        </w:rPr>
        <w:t>根据《畜禽养殖业污染治理工程技术规范》（HJ 497－2009）及《畜禽养殖业污染防治技术规范》（HJ/T81－2001）相关要求，结合本项目生产实际，</w:t>
      </w:r>
      <w:r>
        <w:rPr>
          <w:rFonts w:hint="default" w:ascii="Times New Roman" w:hAnsi="Times New Roman" w:cs="Times New Roman"/>
          <w:b/>
          <w:bCs/>
          <w:color w:val="auto"/>
          <w:u w:val="single"/>
        </w:rPr>
        <w:t>本评价主要提出如下措施减降恶臭污染物的产生：</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①源头控制</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w:t>
      </w:r>
      <w:r>
        <w:rPr>
          <w:rFonts w:hint="default" w:ascii="Times New Roman" w:hAnsi="Times New Roman" w:cs="Times New Roman"/>
          <w:b/>
          <w:bCs/>
          <w:iCs/>
          <w:color w:val="auto"/>
          <w:szCs w:val="28"/>
          <w:u w:val="single"/>
        </w:rPr>
        <w:t>通过控制饲养密度，并加强舍内通风，及时清理猪舍，猪粪、污泥等应及时加工或外运，尽量减少其在场内的堆存时间和堆存量；搞好场区环境卫生，采用节水型饮水器，猪舍及时冲洗；</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w:t>
      </w:r>
      <w:r>
        <w:rPr>
          <w:rFonts w:hint="default" w:ascii="Times New Roman" w:hAnsi="Times New Roman" w:cs="Times New Roman"/>
          <w:b/>
          <w:bCs/>
          <w:color w:val="auto"/>
          <w:szCs w:val="28"/>
          <w:u w:val="single"/>
        </w:rPr>
        <w:t>温度高、湿度大时恶臭气体浓度高，猪粪在1～2周后发酵较快，粪便暴露面积大的发酵率高。猪舍使用漏缝地板，保证粪便冷却，并尽快从猪舍内清粪，在猪舍内加强通风，采用节水型饮水器，加速粪便干燥，可减少猪粪污染</w:t>
      </w:r>
      <w:r>
        <w:rPr>
          <w:rFonts w:hint="default" w:ascii="Times New Roman" w:hAnsi="Times New Roman" w:cs="Times New Roman"/>
          <w:b/>
          <w:bCs/>
          <w:color w:val="auto"/>
          <w:u w:val="single"/>
        </w:rPr>
        <w:t>；</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②过程整治</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猪场采用“干清粪”工艺，项目采用墙体集热板、猪舍内热交换器和风机相结合的方式进行猪舍内部温度控制。猪转栏时利用高压水枪冲圈消毒，夏季加强猪舍通风，降低舍内有害气体浓度，产生的粪渣等固废及时运至贮存或处理场所，以减少污染；</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■加强养殖场生产管理，并对工作人员强化知识培训，提高饲养人员操作技能；</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■猪粪及时运往固粪处理区，固粪处理区采用</w:t>
      </w:r>
      <w:r>
        <w:rPr>
          <w:rFonts w:hint="default" w:ascii="Times New Roman" w:hAnsi="Times New Roman" w:cs="Times New Roman"/>
          <w:b/>
          <w:bCs/>
          <w:color w:val="auto"/>
          <w:u w:val="single"/>
          <w:lang w:val="en-US" w:eastAsia="zh-CN"/>
        </w:rPr>
        <w:t>UV光氧+水帘</w:t>
      </w:r>
      <w:r>
        <w:rPr>
          <w:rFonts w:hint="default" w:ascii="Times New Roman" w:hAnsi="Times New Roman" w:cs="Times New Roman"/>
          <w:b/>
          <w:bCs/>
          <w:color w:val="auto"/>
          <w:u w:val="single"/>
        </w:rPr>
        <w:t>除臭；</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■收集池、沼液存储池密闭，减少恶臭的排放；</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■场区布置按功能区进行相应划分，各构筑物之间设绿化隔离带，特别是</w:t>
      </w:r>
      <w:r>
        <w:rPr>
          <w:rFonts w:hint="default" w:ascii="Times New Roman" w:hAnsi="Times New Roman" w:cs="Times New Roman"/>
          <w:b/>
          <w:bCs/>
          <w:color w:val="auto"/>
          <w:u w:val="single"/>
          <w:lang w:eastAsia="zh-CN"/>
        </w:rPr>
        <w:t>沼液存储池</w:t>
      </w:r>
      <w:r>
        <w:rPr>
          <w:rFonts w:hint="default" w:ascii="Times New Roman" w:hAnsi="Times New Roman" w:cs="Times New Roman"/>
          <w:b/>
          <w:bCs/>
          <w:color w:val="auto"/>
          <w:u w:val="single"/>
        </w:rPr>
        <w:t>四周应加强绿化，易种植椿树、法国梧桐、枸杞树、柏树、小叶女贞等具有吸附恶臭功能的绿色植物，并配合种植草木、灌木等，实现立体绿化，利用绿色植物的吸收作用，以减少恶臭气体的逸散，减轻恶臭等对周围环境的影响。</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③终端处理</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sz w:val="24"/>
          <w:szCs w:val="24"/>
          <w:u w:val="single"/>
        </w:rPr>
        <w:t>A、</w:t>
      </w:r>
      <w:r>
        <w:rPr>
          <w:rFonts w:hint="default" w:ascii="Times New Roman" w:hAnsi="Times New Roman" w:cs="Times New Roman"/>
          <w:b/>
          <w:bCs/>
          <w:color w:val="auto"/>
          <w:u w:val="single"/>
        </w:rPr>
        <w:t>产生的恶臭用多种化学和生物产品来控制恶臭。评价建议夏季高温天气在污水处理站附近喷洒除臭剂进行处理，多用强氧化剂和杀菌剂等消除微生物产生的臭味或化学氧化臭味物质。</w:t>
      </w:r>
    </w:p>
    <w:p>
      <w:pPr>
        <w:ind w:firstLine="480"/>
        <w:rPr>
          <w:rFonts w:hint="default" w:ascii="Times New Roman" w:hAnsi="Times New Roman" w:cs="Times New Roman"/>
          <w:color w:val="auto"/>
        </w:rPr>
      </w:pPr>
      <w:r>
        <w:rPr>
          <w:rFonts w:hint="default" w:ascii="Times New Roman" w:hAnsi="Times New Roman" w:cs="Times New Roman"/>
          <w:color w:val="auto"/>
        </w:rPr>
        <w:t>本项目采用植物型除臭剂，该除臭剂主要由丝兰、银杏叶、茶多酚、葡萄籽、樟科植物、桉叶油、松油等多种植物提取物精制而成，适用于各种恶臭环境的异味处理，如垃圾填埋场、垃圾转运站、垃圾堆肥厂、垃圾焚烧厂、污水处理中心、粪便处理中心、养猪养鸡场、工业废水处理及渔业加工中心等。除臭剂中的活性基(-CHO)具有很高的活性，利用它的活性同挥发性含S(如硫化氢、硫醇、疏基化合物)、含N(如氨、有机胺) 等易挥发物质反应，产生新的低气味且无毒的新物质，不能参与活性基(-CHO)反应的一些挥发性物质则采用气味补偿办法解决，这种补偿也不是筒单的气味掩盖作用，而是利用植物提取液中的活性成分与不能和活性基(-CHO)反应的成分进行再次作用，使其失去原来的气味，藉此实现对挥发性恶臭物质的有效削减和消除。植物型除臭剂原液稀释100倍喷洒，1kg可喷洒500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pPr>
        <w:ind w:firstLine="480"/>
        <w:rPr>
          <w:rFonts w:hint="default" w:ascii="Times New Roman" w:hAnsi="Times New Roman" w:cs="Times New Roman"/>
          <w:color w:val="auto"/>
        </w:rPr>
      </w:pPr>
      <w:r>
        <w:rPr>
          <w:rFonts w:hint="default" w:ascii="Times New Roman" w:hAnsi="Times New Roman" w:cs="Times New Roman"/>
          <w:color w:val="auto"/>
        </w:rPr>
        <w:t>植物型除臭剂原理具体为：植物型除臭剂通过4种物理化学作用力将臭气分子捕捉：范德华力、耦合力、化学反应力、吸附力。植物型除臭剂将臭气分子捕捉后，其有效成分可与环境中恶臭气体分子发生如下反应：</w:t>
      </w:r>
    </w:p>
    <w:p>
      <w:pPr>
        <w:ind w:firstLine="480"/>
        <w:rPr>
          <w:rFonts w:hint="default" w:ascii="Times New Roman" w:hAnsi="Times New Roman" w:cs="Times New Roman"/>
          <w:color w:val="auto"/>
        </w:rPr>
      </w:pPr>
      <w:r>
        <w:rPr>
          <w:rFonts w:hint="default" w:ascii="Times New Roman" w:hAnsi="Times New Roman" w:cs="Times New Roman"/>
          <w:color w:val="auto"/>
        </w:rPr>
        <w:t>①硫化氢H</w:t>
      </w:r>
      <w:r>
        <w:rPr>
          <w:rFonts w:hint="default" w:ascii="Times New Roman" w:hAnsi="Times New Roman" w:cs="Times New Roman"/>
          <w:color w:val="auto"/>
          <w:vertAlign w:val="subscript"/>
        </w:rPr>
        <w:t>2</w:t>
      </w:r>
      <w:r>
        <w:rPr>
          <w:rFonts w:hint="default" w:ascii="Times New Roman" w:hAnsi="Times New Roman" w:cs="Times New Roman"/>
          <w:color w:val="auto"/>
        </w:rPr>
        <w:t>S的反应：</w:t>
      </w:r>
    </w:p>
    <w:p>
      <w:pPr>
        <w:ind w:firstLine="480"/>
        <w:rPr>
          <w:rFonts w:hint="default" w:ascii="Times New Roman" w:hAnsi="Times New Roman" w:cs="Times New Roman"/>
          <w:color w:val="auto"/>
        </w:rPr>
      </w:pPr>
      <w:r>
        <w:rPr>
          <w:rFonts w:hint="default" w:ascii="Times New Roman" w:hAnsi="Times New Roman" w:cs="Times New Roman"/>
          <w:color w:val="auto"/>
        </w:rPr>
        <w:t xml:space="preserve">    R-NH</w:t>
      </w:r>
      <w:r>
        <w:rPr>
          <w:rFonts w:hint="default" w:ascii="Times New Roman" w:hAnsi="Times New Roman" w:cs="Times New Roman"/>
          <w:color w:val="auto"/>
          <w:vertAlign w:val="subscript"/>
        </w:rPr>
        <w:t>2</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S→R-NH</w:t>
      </w:r>
      <w:r>
        <w:rPr>
          <w:rFonts w:hint="default" w:ascii="Times New Roman" w:hAnsi="Times New Roman" w:cs="Times New Roman"/>
          <w:color w:val="auto"/>
          <w:vertAlign w:val="subscript"/>
        </w:rPr>
        <w:t>3-</w:t>
      </w:r>
      <w:r>
        <w:rPr>
          <w:rFonts w:hint="default" w:ascii="Times New Roman" w:hAnsi="Times New Roman" w:cs="Times New Roman"/>
          <w:color w:val="auto"/>
        </w:rPr>
        <w:t>+SH</w:t>
      </w:r>
      <w:r>
        <w:rPr>
          <w:rFonts w:hint="default" w:ascii="Times New Roman" w:hAnsi="Times New Roman" w:cs="Times New Roman"/>
          <w:color w:val="auto"/>
          <w:vertAlign w:val="superscript"/>
        </w:rPr>
        <w:t>-</w:t>
      </w:r>
    </w:p>
    <w:p>
      <w:pPr>
        <w:ind w:firstLine="480"/>
        <w:rPr>
          <w:rFonts w:hint="default" w:ascii="Times New Roman" w:hAnsi="Times New Roman" w:cs="Times New Roman"/>
          <w:color w:val="auto"/>
        </w:rPr>
      </w:pPr>
      <w:r>
        <w:rPr>
          <w:rFonts w:hint="default" w:ascii="Times New Roman" w:hAnsi="Times New Roman" w:cs="Times New Roman"/>
          <w:color w:val="auto"/>
        </w:rPr>
        <w:t>　　R-NH</w:t>
      </w:r>
      <w:r>
        <w:rPr>
          <w:rFonts w:hint="default" w:ascii="Times New Roman" w:hAnsi="Times New Roman" w:cs="Times New Roman"/>
          <w:color w:val="auto"/>
          <w:vertAlign w:val="subscript"/>
        </w:rPr>
        <w:t>2</w:t>
      </w:r>
      <w:r>
        <w:rPr>
          <w:rFonts w:hint="default" w:ascii="Times New Roman" w:hAnsi="Times New Roman" w:cs="Times New Roman"/>
          <w:color w:val="auto"/>
        </w:rPr>
        <w:t>+SH-+O</w:t>
      </w:r>
      <w:r>
        <w:rPr>
          <w:rFonts w:hint="default" w:ascii="Times New Roman" w:hAnsi="Times New Roman" w:cs="Times New Roman"/>
          <w:color w:val="auto"/>
          <w:vertAlign w:val="subscript"/>
        </w:rPr>
        <w:t>2</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O→R-NH</w:t>
      </w:r>
      <w:r>
        <w:rPr>
          <w:rFonts w:hint="default" w:ascii="Times New Roman" w:hAnsi="Times New Roman" w:cs="Times New Roman"/>
          <w:color w:val="auto"/>
          <w:vertAlign w:val="subscript"/>
        </w:rPr>
        <w:t>3</w:t>
      </w:r>
      <w:r>
        <w:rPr>
          <w:rFonts w:hint="default" w:ascii="Times New Roman" w:hAnsi="Times New Roman" w:cs="Times New Roman"/>
          <w:color w:val="auto"/>
        </w:rPr>
        <w:t>++SO</w:t>
      </w:r>
      <w:r>
        <w:rPr>
          <w:rFonts w:hint="default" w:ascii="Times New Roman" w:hAnsi="Times New Roman" w:cs="Times New Roman"/>
          <w:color w:val="auto"/>
          <w:vertAlign w:val="subscript"/>
        </w:rPr>
        <w:t>4</w:t>
      </w:r>
      <w:r>
        <w:rPr>
          <w:rFonts w:hint="default" w:ascii="Times New Roman" w:hAnsi="Times New Roman" w:cs="Times New Roman"/>
          <w:color w:val="auto"/>
          <w:vertAlign w:val="superscript"/>
        </w:rPr>
        <w:t>2-</w:t>
      </w:r>
      <w:r>
        <w:rPr>
          <w:rFonts w:hint="default" w:ascii="Times New Roman" w:hAnsi="Times New Roman" w:cs="Times New Roman"/>
          <w:color w:val="auto"/>
        </w:rPr>
        <w:t>+OH</w:t>
      </w:r>
      <w:r>
        <w:rPr>
          <w:rFonts w:hint="default" w:ascii="Times New Roman" w:hAnsi="Times New Roman" w:cs="Times New Roman"/>
          <w:color w:val="auto"/>
          <w:vertAlign w:val="superscript"/>
        </w:rPr>
        <w:t>-</w:t>
      </w:r>
    </w:p>
    <w:p>
      <w:pPr>
        <w:ind w:firstLine="480"/>
        <w:rPr>
          <w:rFonts w:hint="default" w:ascii="Times New Roman" w:hAnsi="Times New Roman" w:cs="Times New Roman"/>
          <w:color w:val="auto"/>
        </w:rPr>
      </w:pPr>
      <w:r>
        <w:rPr>
          <w:rFonts w:hint="default" w:ascii="Times New Roman" w:hAnsi="Times New Roman" w:cs="Times New Roman"/>
          <w:color w:val="auto"/>
        </w:rPr>
        <w:t>　　R-NH</w:t>
      </w:r>
      <w:r>
        <w:rPr>
          <w:rFonts w:hint="default" w:ascii="Times New Roman" w:hAnsi="Times New Roman" w:cs="Times New Roman"/>
          <w:color w:val="auto"/>
          <w:vertAlign w:val="subscript"/>
        </w:rPr>
        <w:t>3</w:t>
      </w:r>
      <w:r>
        <w:rPr>
          <w:rFonts w:hint="default" w:ascii="Times New Roman" w:hAnsi="Times New Roman" w:cs="Times New Roman"/>
          <w:color w:val="auto"/>
        </w:rPr>
        <w:t>++OH</w:t>
      </w:r>
      <w:r>
        <w:rPr>
          <w:rFonts w:hint="default" w:ascii="Times New Roman" w:hAnsi="Times New Roman" w:cs="Times New Roman"/>
          <w:color w:val="auto"/>
          <w:vertAlign w:val="superscript"/>
        </w:rPr>
        <w:t>-</w:t>
      </w:r>
      <w:r>
        <w:rPr>
          <w:rFonts w:hint="default" w:ascii="Times New Roman" w:hAnsi="Times New Roman" w:cs="Times New Roman"/>
          <w:color w:val="auto"/>
        </w:rPr>
        <w:t>→R-NH</w:t>
      </w:r>
      <w:r>
        <w:rPr>
          <w:rFonts w:hint="default" w:ascii="Times New Roman" w:hAnsi="Times New Roman" w:cs="Times New Roman"/>
          <w:color w:val="auto"/>
          <w:vertAlign w:val="subscript"/>
        </w:rPr>
        <w:t>2</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O</w:t>
      </w:r>
    </w:p>
    <w:p>
      <w:pPr>
        <w:ind w:firstLine="480"/>
        <w:rPr>
          <w:rFonts w:hint="default" w:ascii="Times New Roman" w:hAnsi="Times New Roman" w:cs="Times New Roman"/>
          <w:color w:val="auto"/>
        </w:rPr>
      </w:pPr>
      <w:r>
        <w:rPr>
          <w:rFonts w:hint="default" w:ascii="Times New Roman" w:hAnsi="Times New Roman" w:cs="Times New Roman"/>
          <w:color w:val="auto"/>
        </w:rPr>
        <w:t>②与甲醛HCHO的反应：</w:t>
      </w:r>
      <w:r>
        <w:rPr>
          <w:rFonts w:hint="default" w:ascii="Times New Roman" w:hAnsi="Times New Roman" w:cs="Times New Roman"/>
          <w:color w:val="auto"/>
        </w:rPr>
        <w:br w:type="textWrapping"/>
      </w:r>
      <w:r>
        <w:rPr>
          <w:rFonts w:hint="default" w:ascii="Times New Roman" w:hAnsi="Times New Roman" w:cs="Times New Roman"/>
          <w:color w:val="auto"/>
        </w:rPr>
        <w:t xml:space="preserve">    R-NH</w:t>
      </w:r>
      <w:r>
        <w:rPr>
          <w:rFonts w:hint="default" w:ascii="Times New Roman" w:hAnsi="Times New Roman" w:cs="Times New Roman"/>
          <w:color w:val="auto"/>
          <w:vertAlign w:val="subscript"/>
        </w:rPr>
        <w:t>2</w:t>
      </w:r>
      <w:r>
        <w:rPr>
          <w:rFonts w:hint="default" w:ascii="Times New Roman" w:hAnsi="Times New Roman" w:cs="Times New Roman"/>
          <w:color w:val="auto"/>
        </w:rPr>
        <w:t>+HCHO→CO</w:t>
      </w:r>
      <w:r>
        <w:rPr>
          <w:rFonts w:hint="default" w:ascii="Times New Roman" w:hAnsi="Times New Roman" w:cs="Times New Roman"/>
          <w:color w:val="auto"/>
          <w:vertAlign w:val="subscript"/>
        </w:rPr>
        <w:t>2</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O+N</w:t>
      </w:r>
      <w:r>
        <w:rPr>
          <w:rFonts w:hint="default" w:ascii="Times New Roman" w:hAnsi="Times New Roman" w:cs="Times New Roman"/>
          <w:color w:val="auto"/>
          <w:vertAlign w:val="subscript"/>
        </w:rPr>
        <w:t>2</w:t>
      </w:r>
      <w:r>
        <w:rPr>
          <w:rFonts w:hint="default" w:ascii="Times New Roman" w:hAnsi="Times New Roman" w:cs="Times New Roman"/>
          <w:color w:val="auto"/>
        </w:rPr>
        <w:br w:type="textWrapping"/>
      </w:r>
      <w:r>
        <w:rPr>
          <w:rFonts w:hint="default" w:ascii="Times New Roman" w:hAnsi="Times New Roman" w:cs="Times New Roman"/>
          <w:color w:val="auto"/>
        </w:rPr>
        <w:t xml:space="preserve">    ③与氨NH</w:t>
      </w:r>
      <w:r>
        <w:rPr>
          <w:rFonts w:hint="default" w:ascii="Times New Roman" w:hAnsi="Times New Roman" w:cs="Times New Roman"/>
          <w:color w:val="auto"/>
          <w:vertAlign w:val="subscript"/>
        </w:rPr>
        <w:t>3</w:t>
      </w:r>
      <w:r>
        <w:rPr>
          <w:rFonts w:hint="default" w:ascii="Times New Roman" w:hAnsi="Times New Roman" w:cs="Times New Roman"/>
          <w:color w:val="auto"/>
        </w:rPr>
        <w:t>的反应：</w:t>
      </w:r>
      <w:r>
        <w:rPr>
          <w:rFonts w:hint="default" w:ascii="Times New Roman" w:hAnsi="Times New Roman" w:cs="Times New Roman"/>
          <w:color w:val="auto"/>
        </w:rPr>
        <w:br w:type="textWrapping"/>
      </w:r>
      <w:r>
        <w:rPr>
          <w:rFonts w:hint="default" w:ascii="Times New Roman" w:hAnsi="Times New Roman" w:cs="Times New Roman"/>
          <w:color w:val="auto"/>
        </w:rPr>
        <w:t xml:space="preserve">     R-NH</w:t>
      </w:r>
      <w:r>
        <w:rPr>
          <w:rFonts w:hint="default" w:ascii="Times New Roman" w:hAnsi="Times New Roman" w:cs="Times New Roman"/>
          <w:color w:val="auto"/>
          <w:vertAlign w:val="subscript"/>
        </w:rPr>
        <w:t>2</w:t>
      </w:r>
      <w:r>
        <w:rPr>
          <w:rFonts w:hint="default" w:ascii="Times New Roman" w:hAnsi="Times New Roman" w:cs="Times New Roman"/>
          <w:color w:val="auto"/>
        </w:rPr>
        <w:t>+NH</w:t>
      </w:r>
      <w:r>
        <w:rPr>
          <w:rFonts w:hint="default" w:ascii="Times New Roman" w:hAnsi="Times New Roman" w:cs="Times New Roman"/>
          <w:color w:val="auto"/>
          <w:vertAlign w:val="subscript"/>
        </w:rPr>
        <w:t>3</w:t>
      </w:r>
      <w:r>
        <w:rPr>
          <w:rFonts w:hint="default" w:ascii="Times New Roman" w:hAnsi="Times New Roman" w:cs="Times New Roman"/>
          <w:color w:val="auto"/>
        </w:rPr>
        <w:t>→R-NH</w:t>
      </w:r>
      <w:r>
        <w:rPr>
          <w:rFonts w:hint="default" w:ascii="Times New Roman" w:hAnsi="Times New Roman" w:cs="Times New Roman"/>
          <w:color w:val="auto"/>
          <w:vertAlign w:val="subscript"/>
        </w:rPr>
        <w:t>2</w:t>
      </w:r>
      <w:r>
        <w:rPr>
          <w:rFonts w:hint="default" w:ascii="Times New Roman" w:hAnsi="Times New Roman" w:cs="Times New Roman"/>
          <w:color w:val="auto"/>
        </w:rPr>
        <w:t>+N</w:t>
      </w:r>
      <w:r>
        <w:rPr>
          <w:rFonts w:hint="default" w:ascii="Times New Roman" w:hAnsi="Times New Roman" w:cs="Times New Roman"/>
          <w:color w:val="auto"/>
          <w:vertAlign w:val="subscript"/>
        </w:rPr>
        <w:t>2</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O</w:t>
      </w:r>
      <w:r>
        <w:rPr>
          <w:rFonts w:hint="default" w:ascii="Times New Roman" w:hAnsi="Times New Roman" w:cs="Times New Roman"/>
          <w:color w:val="auto"/>
        </w:rPr>
        <w:br w:type="textWrapping"/>
      </w:r>
      <w:r>
        <w:rPr>
          <w:rFonts w:hint="default" w:ascii="Times New Roman" w:hAnsi="Times New Roman" w:cs="Times New Roman"/>
          <w:color w:val="auto"/>
        </w:rPr>
        <w:t xml:space="preserve">    ④与硫醇类恶臭气体的反应：</w:t>
      </w:r>
      <w:r>
        <w:rPr>
          <w:rFonts w:hint="default" w:ascii="Times New Roman" w:hAnsi="Times New Roman" w:cs="Times New Roman"/>
          <w:color w:val="auto"/>
        </w:rPr>
        <w:br w:type="textWrapping"/>
      </w:r>
      <w:r>
        <w:rPr>
          <w:rFonts w:hint="default" w:ascii="Times New Roman" w:hAnsi="Times New Roman" w:cs="Times New Roman"/>
          <w:color w:val="auto"/>
        </w:rPr>
        <w:t xml:space="preserve">   R-NH</w:t>
      </w:r>
      <w:r>
        <w:rPr>
          <w:rFonts w:hint="default" w:ascii="Times New Roman" w:hAnsi="Times New Roman" w:cs="Times New Roman"/>
          <w:color w:val="auto"/>
          <w:vertAlign w:val="subscript"/>
        </w:rPr>
        <w:t>2</w:t>
      </w:r>
      <w:r>
        <w:rPr>
          <w:rFonts w:hint="default" w:ascii="Times New Roman" w:hAnsi="Times New Roman" w:cs="Times New Roman"/>
          <w:color w:val="auto"/>
        </w:rPr>
        <w:t>+CH</w:t>
      </w:r>
      <w:r>
        <w:rPr>
          <w:rFonts w:hint="default" w:ascii="Times New Roman" w:hAnsi="Times New Roman" w:cs="Times New Roman"/>
          <w:color w:val="auto"/>
          <w:vertAlign w:val="subscript"/>
        </w:rPr>
        <w:t>4</w:t>
      </w:r>
      <w:r>
        <w:rPr>
          <w:rFonts w:hint="default" w:ascii="Times New Roman" w:hAnsi="Times New Roman" w:cs="Times New Roman"/>
          <w:color w:val="auto"/>
        </w:rPr>
        <w:t>S→R-NH</w:t>
      </w:r>
      <w:r>
        <w:rPr>
          <w:rFonts w:hint="default" w:ascii="Times New Roman" w:hAnsi="Times New Roman" w:cs="Times New Roman"/>
          <w:color w:val="auto"/>
          <w:vertAlign w:val="subscript"/>
        </w:rPr>
        <w:t>2</w:t>
      </w:r>
      <w:r>
        <w:rPr>
          <w:rFonts w:hint="default" w:ascii="Times New Roman" w:hAnsi="Times New Roman" w:cs="Times New Roman"/>
          <w:color w:val="auto"/>
        </w:rPr>
        <w:t>+N</w:t>
      </w:r>
      <w:r>
        <w:rPr>
          <w:rFonts w:hint="default" w:ascii="Times New Roman" w:hAnsi="Times New Roman" w:cs="Times New Roman"/>
          <w:color w:val="auto"/>
          <w:vertAlign w:val="subscript"/>
        </w:rPr>
        <w:t>2</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O+SO</w:t>
      </w:r>
      <w:r>
        <w:rPr>
          <w:rFonts w:hint="default" w:ascii="Times New Roman" w:hAnsi="Times New Roman" w:cs="Times New Roman"/>
          <w:color w:val="auto"/>
          <w:vertAlign w:val="subscript"/>
        </w:rPr>
        <w:t>2</w:t>
      </w:r>
      <w:r>
        <w:rPr>
          <w:rFonts w:hint="default" w:ascii="Times New Roman" w:hAnsi="Times New Roman" w:cs="Times New Roman"/>
          <w:color w:val="auto"/>
        </w:rPr>
        <w:br w:type="textWrapping"/>
      </w:r>
      <w:r>
        <w:rPr>
          <w:rFonts w:hint="default" w:ascii="Times New Roman" w:hAnsi="Times New Roman" w:cs="Times New Roman"/>
          <w:color w:val="auto"/>
        </w:rPr>
        <w:t>　 R-NH2+C</w:t>
      </w:r>
      <w:r>
        <w:rPr>
          <w:rFonts w:hint="default" w:ascii="Times New Roman" w:hAnsi="Times New Roman" w:cs="Times New Roman"/>
          <w:color w:val="auto"/>
          <w:vertAlign w:val="subscript"/>
        </w:rPr>
        <w:t>2</w:t>
      </w:r>
      <w:r>
        <w:rPr>
          <w:rFonts w:hint="default" w:ascii="Times New Roman" w:hAnsi="Times New Roman" w:cs="Times New Roman"/>
          <w:color w:val="auto"/>
        </w:rPr>
        <w:t>H</w:t>
      </w:r>
      <w:r>
        <w:rPr>
          <w:rFonts w:hint="default" w:ascii="Times New Roman" w:hAnsi="Times New Roman" w:cs="Times New Roman"/>
          <w:color w:val="auto"/>
          <w:vertAlign w:val="subscript"/>
        </w:rPr>
        <w:t>6</w:t>
      </w:r>
      <w:r>
        <w:rPr>
          <w:rFonts w:hint="default" w:ascii="Times New Roman" w:hAnsi="Times New Roman" w:cs="Times New Roman"/>
          <w:color w:val="auto"/>
        </w:rPr>
        <w:t>S→R-NH</w:t>
      </w:r>
      <w:r>
        <w:rPr>
          <w:rFonts w:hint="default" w:ascii="Times New Roman" w:hAnsi="Times New Roman" w:cs="Times New Roman"/>
          <w:color w:val="auto"/>
          <w:vertAlign w:val="subscript"/>
        </w:rPr>
        <w:t>2</w:t>
      </w:r>
      <w:r>
        <w:rPr>
          <w:rFonts w:hint="default" w:ascii="Times New Roman" w:hAnsi="Times New Roman" w:cs="Times New Roman"/>
          <w:color w:val="auto"/>
        </w:rPr>
        <w:t>+N</w:t>
      </w:r>
      <w:r>
        <w:rPr>
          <w:rFonts w:hint="default" w:ascii="Times New Roman" w:hAnsi="Times New Roman" w:cs="Times New Roman"/>
          <w:color w:val="auto"/>
          <w:vertAlign w:val="subscript"/>
        </w:rPr>
        <w:t>2</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O+SO</w:t>
      </w:r>
      <w:r>
        <w:rPr>
          <w:rFonts w:hint="default" w:ascii="Times New Roman" w:hAnsi="Times New Roman" w:cs="Times New Roman"/>
          <w:color w:val="auto"/>
          <w:vertAlign w:val="subscript"/>
        </w:rPr>
        <w:t>2</w:t>
      </w:r>
    </w:p>
    <w:p>
      <w:pPr>
        <w:widowControl/>
        <w:ind w:firstLine="480"/>
        <w:jc w:val="left"/>
        <w:rPr>
          <w:rFonts w:hint="default" w:ascii="Times New Roman" w:hAnsi="Times New Roman" w:cs="Times New Roman"/>
          <w:color w:val="auto"/>
          <w:kern w:val="0"/>
        </w:rPr>
      </w:pPr>
      <w:r>
        <w:rPr>
          <w:rFonts w:hint="default" w:ascii="Times New Roman" w:hAnsi="Times New Roman" w:cs="Times New Roman"/>
          <w:color w:val="auto"/>
          <w:kern w:val="0"/>
        </w:rPr>
        <w:t>①硫化氢H</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S的反应：</w:t>
      </w:r>
    </w:p>
    <w:p>
      <w:pPr>
        <w:widowControl/>
        <w:ind w:firstLine="480"/>
        <w:jc w:val="left"/>
        <w:rPr>
          <w:rFonts w:hint="default" w:ascii="Times New Roman" w:hAnsi="Times New Roman" w:cs="Times New Roman"/>
          <w:color w:val="auto"/>
          <w:kern w:val="0"/>
        </w:rPr>
      </w:pPr>
      <w:r>
        <w:rPr>
          <w:rFonts w:hint="default" w:ascii="Times New Roman" w:hAnsi="Times New Roman" w:cs="Times New Roman"/>
          <w:color w:val="auto"/>
          <w:kern w:val="0"/>
        </w:rPr>
        <w:t xml:space="preserve">    R-NH</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+H</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S→R-NH</w:t>
      </w:r>
      <w:r>
        <w:rPr>
          <w:rFonts w:hint="default" w:ascii="Times New Roman" w:hAnsi="Times New Roman" w:cs="Times New Roman"/>
          <w:color w:val="auto"/>
          <w:kern w:val="0"/>
          <w:vertAlign w:val="subscript"/>
        </w:rPr>
        <w:t>3</w:t>
      </w:r>
      <w:r>
        <w:rPr>
          <w:rFonts w:hint="default" w:ascii="Times New Roman" w:hAnsi="Times New Roman" w:cs="Times New Roman"/>
          <w:color w:val="auto"/>
          <w:kern w:val="0"/>
        </w:rPr>
        <w:t>-+SH</w:t>
      </w:r>
      <w:r>
        <w:rPr>
          <w:rFonts w:hint="default" w:ascii="Times New Roman" w:hAnsi="Times New Roman" w:cs="Times New Roman"/>
          <w:color w:val="auto"/>
          <w:kern w:val="0"/>
          <w:vertAlign w:val="superscript"/>
        </w:rPr>
        <w:t>-</w:t>
      </w:r>
    </w:p>
    <w:p>
      <w:pPr>
        <w:widowControl/>
        <w:ind w:firstLine="480"/>
        <w:jc w:val="left"/>
        <w:rPr>
          <w:rFonts w:hint="default" w:ascii="Times New Roman" w:hAnsi="Times New Roman" w:cs="Times New Roman"/>
          <w:color w:val="auto"/>
          <w:kern w:val="0"/>
        </w:rPr>
      </w:pPr>
      <w:r>
        <w:rPr>
          <w:rFonts w:hint="default" w:ascii="Times New Roman" w:hAnsi="Times New Roman" w:cs="Times New Roman"/>
          <w:color w:val="auto"/>
          <w:kern w:val="0"/>
        </w:rPr>
        <w:t>　　R-NH</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+SH</w:t>
      </w:r>
      <w:r>
        <w:rPr>
          <w:rFonts w:hint="default" w:ascii="Times New Roman" w:hAnsi="Times New Roman" w:cs="Times New Roman"/>
          <w:color w:val="auto"/>
          <w:kern w:val="0"/>
          <w:vertAlign w:val="superscript"/>
        </w:rPr>
        <w:t>-</w:t>
      </w:r>
      <w:r>
        <w:rPr>
          <w:rFonts w:hint="default" w:ascii="Times New Roman" w:hAnsi="Times New Roman" w:cs="Times New Roman"/>
          <w:color w:val="auto"/>
          <w:kern w:val="0"/>
        </w:rPr>
        <w:t>+O</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+H</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O→R-NH</w:t>
      </w:r>
      <w:r>
        <w:rPr>
          <w:rFonts w:hint="default" w:ascii="Times New Roman" w:hAnsi="Times New Roman" w:cs="Times New Roman"/>
          <w:color w:val="auto"/>
          <w:kern w:val="0"/>
          <w:vertAlign w:val="subscript"/>
        </w:rPr>
        <w:t>3</w:t>
      </w:r>
      <w:r>
        <w:rPr>
          <w:rFonts w:hint="default" w:ascii="Times New Roman" w:hAnsi="Times New Roman" w:cs="Times New Roman"/>
          <w:color w:val="auto"/>
          <w:kern w:val="0"/>
          <w:vertAlign w:val="superscript"/>
        </w:rPr>
        <w:t>+</w:t>
      </w:r>
      <w:r>
        <w:rPr>
          <w:rFonts w:hint="default" w:ascii="Times New Roman" w:hAnsi="Times New Roman" w:cs="Times New Roman"/>
          <w:color w:val="auto"/>
          <w:kern w:val="0"/>
        </w:rPr>
        <w:t>+SO</w:t>
      </w:r>
      <w:r>
        <w:rPr>
          <w:rFonts w:hint="default" w:ascii="Times New Roman" w:hAnsi="Times New Roman" w:cs="Times New Roman"/>
          <w:color w:val="auto"/>
          <w:kern w:val="0"/>
          <w:vertAlign w:val="subscript"/>
        </w:rPr>
        <w:t>4</w:t>
      </w:r>
      <w:r>
        <w:rPr>
          <w:rFonts w:hint="default" w:ascii="Times New Roman" w:hAnsi="Times New Roman" w:cs="Times New Roman"/>
          <w:color w:val="auto"/>
          <w:kern w:val="0"/>
          <w:vertAlign w:val="superscript"/>
        </w:rPr>
        <w:t>2-</w:t>
      </w:r>
      <w:r>
        <w:rPr>
          <w:rFonts w:hint="default" w:ascii="Times New Roman" w:hAnsi="Times New Roman" w:cs="Times New Roman"/>
          <w:color w:val="auto"/>
          <w:kern w:val="0"/>
        </w:rPr>
        <w:t>+OH</w:t>
      </w:r>
      <w:r>
        <w:rPr>
          <w:rFonts w:hint="default" w:ascii="Times New Roman" w:hAnsi="Times New Roman" w:cs="Times New Roman"/>
          <w:color w:val="auto"/>
          <w:kern w:val="0"/>
          <w:vertAlign w:val="superscript"/>
        </w:rPr>
        <w:t>-</w:t>
      </w:r>
    </w:p>
    <w:p>
      <w:pPr>
        <w:widowControl/>
        <w:ind w:firstLine="480"/>
        <w:jc w:val="left"/>
        <w:rPr>
          <w:rFonts w:hint="default" w:ascii="Times New Roman" w:hAnsi="Times New Roman" w:cs="Times New Roman"/>
          <w:color w:val="auto"/>
          <w:kern w:val="0"/>
        </w:rPr>
      </w:pPr>
      <w:r>
        <w:rPr>
          <w:rFonts w:hint="default" w:ascii="Times New Roman" w:hAnsi="Times New Roman" w:cs="Times New Roman"/>
          <w:color w:val="auto"/>
          <w:kern w:val="0"/>
        </w:rPr>
        <w:t>　　R-NH</w:t>
      </w:r>
      <w:r>
        <w:rPr>
          <w:rFonts w:hint="default" w:ascii="Times New Roman" w:hAnsi="Times New Roman" w:cs="Times New Roman"/>
          <w:color w:val="auto"/>
          <w:kern w:val="0"/>
          <w:vertAlign w:val="subscript"/>
        </w:rPr>
        <w:t>3</w:t>
      </w:r>
      <w:r>
        <w:rPr>
          <w:rFonts w:hint="default" w:ascii="Times New Roman" w:hAnsi="Times New Roman" w:cs="Times New Roman"/>
          <w:color w:val="auto"/>
          <w:kern w:val="0"/>
          <w:vertAlign w:val="superscript"/>
        </w:rPr>
        <w:t>+</w:t>
      </w:r>
      <w:r>
        <w:rPr>
          <w:rFonts w:hint="default" w:ascii="Times New Roman" w:hAnsi="Times New Roman" w:cs="Times New Roman"/>
          <w:color w:val="auto"/>
          <w:kern w:val="0"/>
        </w:rPr>
        <w:t>+OH</w:t>
      </w:r>
      <w:r>
        <w:rPr>
          <w:rFonts w:hint="default" w:ascii="Times New Roman" w:hAnsi="Times New Roman" w:cs="Times New Roman"/>
          <w:color w:val="auto"/>
          <w:kern w:val="0"/>
          <w:vertAlign w:val="superscript"/>
        </w:rPr>
        <w:t>-</w:t>
      </w:r>
      <w:r>
        <w:rPr>
          <w:rFonts w:hint="default" w:ascii="Times New Roman" w:hAnsi="Times New Roman" w:cs="Times New Roman"/>
          <w:color w:val="auto"/>
          <w:kern w:val="0"/>
        </w:rPr>
        <w:t>→R-NH</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+H</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O</w:t>
      </w:r>
    </w:p>
    <w:p>
      <w:pPr>
        <w:widowControl/>
        <w:ind w:firstLine="480"/>
        <w:jc w:val="left"/>
        <w:rPr>
          <w:rFonts w:hint="default" w:ascii="Times New Roman" w:hAnsi="Times New Roman" w:cs="Times New Roman"/>
          <w:color w:val="auto"/>
          <w:kern w:val="0"/>
        </w:rPr>
      </w:pPr>
      <w:r>
        <w:rPr>
          <w:rFonts w:hint="default" w:ascii="Times New Roman" w:hAnsi="Times New Roman" w:cs="Times New Roman"/>
          <w:color w:val="auto"/>
          <w:kern w:val="0"/>
        </w:rPr>
        <w:t>②与甲醛HCHO的反应：</w:t>
      </w:r>
      <w:r>
        <w:rPr>
          <w:rFonts w:hint="default" w:ascii="Times New Roman" w:hAnsi="Times New Roman" w:cs="Times New Roman"/>
          <w:color w:val="auto"/>
          <w:kern w:val="0"/>
        </w:rPr>
        <w:br w:type="textWrapping"/>
      </w:r>
      <w:r>
        <w:rPr>
          <w:rFonts w:hint="default" w:ascii="Times New Roman" w:hAnsi="Times New Roman" w:cs="Times New Roman"/>
          <w:color w:val="auto"/>
          <w:kern w:val="0"/>
        </w:rPr>
        <w:t xml:space="preserve">    R-NH</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+HCHO→CO</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+H</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O+N</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br w:type="textWrapping"/>
      </w:r>
      <w:r>
        <w:rPr>
          <w:rFonts w:hint="default" w:ascii="Times New Roman" w:hAnsi="Times New Roman" w:cs="Times New Roman"/>
          <w:color w:val="auto"/>
          <w:kern w:val="0"/>
        </w:rPr>
        <w:t>③与氨NH</w:t>
      </w:r>
      <w:r>
        <w:rPr>
          <w:rFonts w:hint="default" w:ascii="Times New Roman" w:hAnsi="Times New Roman" w:cs="Times New Roman"/>
          <w:color w:val="auto"/>
          <w:kern w:val="0"/>
          <w:vertAlign w:val="subscript"/>
        </w:rPr>
        <w:t>3</w:t>
      </w:r>
      <w:r>
        <w:rPr>
          <w:rFonts w:hint="default" w:ascii="Times New Roman" w:hAnsi="Times New Roman" w:cs="Times New Roman"/>
          <w:color w:val="auto"/>
          <w:kern w:val="0"/>
        </w:rPr>
        <w:t>的反应：</w:t>
      </w:r>
      <w:r>
        <w:rPr>
          <w:rFonts w:hint="default" w:ascii="Times New Roman" w:hAnsi="Times New Roman" w:cs="Times New Roman"/>
          <w:color w:val="auto"/>
          <w:kern w:val="0"/>
        </w:rPr>
        <w:br w:type="textWrapping"/>
      </w:r>
      <w:r>
        <w:rPr>
          <w:rFonts w:hint="default" w:ascii="Times New Roman" w:hAnsi="Times New Roman" w:cs="Times New Roman"/>
          <w:color w:val="auto"/>
          <w:kern w:val="0"/>
        </w:rPr>
        <w:t xml:space="preserve">   R-NH</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+NH</w:t>
      </w:r>
      <w:r>
        <w:rPr>
          <w:rFonts w:hint="default" w:ascii="Times New Roman" w:hAnsi="Times New Roman" w:cs="Times New Roman"/>
          <w:color w:val="auto"/>
          <w:kern w:val="0"/>
          <w:vertAlign w:val="subscript"/>
        </w:rPr>
        <w:t>3</w:t>
      </w:r>
      <w:r>
        <w:rPr>
          <w:rFonts w:hint="default" w:ascii="Times New Roman" w:hAnsi="Times New Roman" w:cs="Times New Roman"/>
          <w:color w:val="auto"/>
          <w:kern w:val="0"/>
        </w:rPr>
        <w:t>→R-NH</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+N</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+H</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O</w:t>
      </w:r>
      <w:r>
        <w:rPr>
          <w:rFonts w:hint="default" w:ascii="Times New Roman" w:hAnsi="Times New Roman" w:cs="Times New Roman"/>
          <w:color w:val="auto"/>
          <w:kern w:val="0"/>
        </w:rPr>
        <w:br w:type="textWrapping"/>
      </w:r>
      <w:r>
        <w:rPr>
          <w:rFonts w:hint="default" w:ascii="Times New Roman" w:hAnsi="Times New Roman" w:cs="Times New Roman"/>
          <w:color w:val="auto"/>
          <w:kern w:val="0"/>
        </w:rPr>
        <w:t>④与硫醇类恶臭气体的反应：</w:t>
      </w:r>
    </w:p>
    <w:p>
      <w:pPr>
        <w:widowControl/>
        <w:ind w:firstLine="480"/>
        <w:jc w:val="left"/>
        <w:rPr>
          <w:rFonts w:hint="default" w:ascii="Times New Roman" w:hAnsi="Times New Roman" w:cs="Times New Roman"/>
          <w:color w:val="auto"/>
          <w:kern w:val="0"/>
          <w:vertAlign w:val="subscript"/>
        </w:rPr>
      </w:pPr>
      <w:r>
        <w:rPr>
          <w:rFonts w:hint="default" w:ascii="Times New Roman" w:hAnsi="Times New Roman" w:cs="Times New Roman"/>
          <w:color w:val="auto"/>
          <w:kern w:val="0"/>
        </w:rPr>
        <w:t xml:space="preserve">  R-NH</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+CH</w:t>
      </w:r>
      <w:r>
        <w:rPr>
          <w:rFonts w:hint="default" w:ascii="Times New Roman" w:hAnsi="Times New Roman" w:cs="Times New Roman"/>
          <w:color w:val="auto"/>
          <w:kern w:val="0"/>
          <w:vertAlign w:val="subscript"/>
        </w:rPr>
        <w:t>4</w:t>
      </w:r>
      <w:r>
        <w:rPr>
          <w:rFonts w:hint="default" w:ascii="Times New Roman" w:hAnsi="Times New Roman" w:cs="Times New Roman"/>
          <w:color w:val="auto"/>
          <w:kern w:val="0"/>
        </w:rPr>
        <w:t>S→R-NH</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+N</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+H</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O+SO</w:t>
      </w:r>
      <w:r>
        <w:rPr>
          <w:rFonts w:hint="default" w:ascii="Times New Roman" w:hAnsi="Times New Roman" w:cs="Times New Roman"/>
          <w:color w:val="auto"/>
          <w:kern w:val="0"/>
          <w:vertAlign w:val="subscript"/>
        </w:rPr>
        <w:t>2</w:t>
      </w:r>
    </w:p>
    <w:p>
      <w:pPr>
        <w:widowControl/>
        <w:ind w:firstLine="240" w:firstLineChars="100"/>
        <w:jc w:val="left"/>
        <w:rPr>
          <w:rFonts w:hint="default" w:ascii="Times New Roman" w:hAnsi="Times New Roman" w:cs="Times New Roman"/>
          <w:b/>
          <w:bCs/>
          <w:color w:val="auto"/>
          <w:kern w:val="0"/>
          <w:u w:val="single"/>
          <w:vertAlign w:val="subscript"/>
        </w:rPr>
      </w:pPr>
      <w:r>
        <w:rPr>
          <w:rFonts w:hint="default" w:ascii="Times New Roman" w:hAnsi="Times New Roman" w:cs="Times New Roman"/>
          <w:color w:val="auto"/>
          <w:kern w:val="0"/>
        </w:rPr>
        <w:t xml:space="preserve">    R-NH</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+C</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H</w:t>
      </w:r>
      <w:r>
        <w:rPr>
          <w:rFonts w:hint="default" w:ascii="Times New Roman" w:hAnsi="Times New Roman" w:cs="Times New Roman"/>
          <w:color w:val="auto"/>
          <w:kern w:val="0"/>
          <w:vertAlign w:val="subscript"/>
        </w:rPr>
        <w:t>6</w:t>
      </w:r>
      <w:r>
        <w:rPr>
          <w:rFonts w:hint="default" w:ascii="Times New Roman" w:hAnsi="Times New Roman" w:cs="Times New Roman"/>
          <w:color w:val="auto"/>
          <w:kern w:val="0"/>
        </w:rPr>
        <w:t>S→R-NH</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+N</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+H</w:t>
      </w:r>
      <w:r>
        <w:rPr>
          <w:rFonts w:hint="default" w:ascii="Times New Roman" w:hAnsi="Times New Roman" w:cs="Times New Roman"/>
          <w:color w:val="auto"/>
          <w:kern w:val="0"/>
          <w:vertAlign w:val="subscript"/>
        </w:rPr>
        <w:t>2</w:t>
      </w:r>
      <w:r>
        <w:rPr>
          <w:rFonts w:hint="default" w:ascii="Times New Roman" w:hAnsi="Times New Roman" w:cs="Times New Roman"/>
          <w:color w:val="auto"/>
          <w:kern w:val="0"/>
        </w:rPr>
        <w:t>O+SO</w:t>
      </w:r>
      <w:r>
        <w:rPr>
          <w:rFonts w:hint="default" w:ascii="Times New Roman" w:hAnsi="Times New Roman" w:cs="Times New Roman"/>
          <w:color w:val="auto"/>
          <w:kern w:val="0"/>
          <w:vertAlign w:val="subscript"/>
        </w:rPr>
        <w:t>2</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B、恶臭治理设施</w:t>
      </w:r>
    </w:p>
    <w:p>
      <w:pPr>
        <w:widowControl/>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本项目主要废气污染物为恶臭，养殖场多为无组织排放。</w:t>
      </w:r>
    </w:p>
    <w:p>
      <w:pPr>
        <w:widowControl/>
        <w:spacing w:line="360" w:lineRule="auto"/>
        <w:ind w:firstLine="482" w:firstLineChars="200"/>
        <w:rPr>
          <w:rFonts w:hint="default" w:ascii="Times New Roman" w:hAnsi="Times New Roman" w:eastAsia="华文楷体" w:cs="Times New Roman"/>
          <w:b/>
          <w:bCs/>
          <w:color w:val="auto"/>
          <w:kern w:val="24"/>
          <w:sz w:val="24"/>
          <w:szCs w:val="24"/>
          <w:u w:val="single"/>
        </w:rPr>
      </w:pPr>
      <w:r>
        <w:rPr>
          <w:rFonts w:hint="default" w:ascii="Times New Roman" w:hAnsi="Times New Roman" w:cs="Times New Roman"/>
          <w:b/>
          <w:bCs/>
          <w:color w:val="auto"/>
          <w:kern w:val="0"/>
          <w:sz w:val="24"/>
          <w:szCs w:val="24"/>
          <w:u w:val="single"/>
        </w:rPr>
        <w:t>项目粪污治理区采用4面围挡、其中1面设置进出口大门，粪污治理区上方设置顶棚，顶棚同围墙之间留有30cm的缝隙，有利于空气进入，进行好氧发酵堆肥。粪污治理区在一侧围墙上设置风机，通过风机将固粪处理区的臭气抽至UV光解装置，通过装置顶部设置的UV灯管照射，利用光解原理分解臭气。经光解后的臭气通过设置有水帘装置的出口，使恶臭气体溶解进入水中，达到除臭的目的。经除臭后的气体排放。</w:t>
      </w:r>
    </w:p>
    <w:p>
      <w:pPr>
        <w:widowControl/>
        <w:spacing w:line="360" w:lineRule="auto"/>
        <w:ind w:firstLine="480" w:firstLineChars="200"/>
        <w:jc w:val="left"/>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恶臭气体主要由硫化氢、氨气、胺类等气体组成，由于该部分气体产生较集中，故采用恶臭治理措施进行治理。目前恶臭处理方法主要有吸收法、燃烧法、氧化法、活性炭吸附法和生物过滤法等。本项目拟采用UV光解催化氧化装置处理恶臭气体，UV光解催化氧化法具有处理效果好、无二次污染、投资及运行费用低、安全、易于管理等优点，该方法目前已经成熟并且被广泛使用。</w:t>
      </w:r>
    </w:p>
    <w:p>
      <w:pPr>
        <w:pStyle w:val="21"/>
        <w:shd w:val="clear" w:color="auto" w:fill="FFFFFF"/>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UV光解催化氧化装置处理恶臭气体是利用高能紫外线光束，使空气中产生大量的自由电子，这些电子大部分能被氧气所获得，形成负氧离子（O</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负氧离子不稳定，很容易失去一个电子而变成活性氧（臭氧），臭氧是高级氧化剂，既可以氧化分解有机物和无机物，对主要臭气硫化氢、氨气、甲硫醇和烃类化合物等，都可以与臭氧发生反应，在臭氧的作用下，这些恶臭气体由大分子物质被分解为小分子物质，直至矿化。另一方面在紫外线作用下，大分子恶臭气体结构链断裂，使恶臭气体物质转化为无臭味的小分子化合物或者完全矿化，生成水和C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w:t>
      </w:r>
    </w:p>
    <w:p>
      <w:pPr>
        <w:widowControl/>
        <w:spacing w:line="360" w:lineRule="auto"/>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通过UV光解催化氧化处理后的恶臭可以达到《恶臭污染物排放标准》（GB14454-93）的要求，综上所述，从技术和经济上，项目所采用的恶臭治理措施是可行的。</w:t>
      </w:r>
    </w:p>
    <w:p>
      <w:pPr>
        <w:spacing w:before="0" w:line="360" w:lineRule="auto"/>
        <w:ind w:left="0" w:firstLine="480"/>
        <w:jc w:val="left"/>
        <w:rPr>
          <w:rFonts w:hint="default" w:ascii="Times New Roman" w:hAnsi="Times New Roman" w:eastAsia="宋体" w:cs="Times New Roman"/>
          <w:b w:val="0"/>
          <w:bCs w:val="0"/>
          <w:color w:val="auto"/>
          <w:sz w:val="24"/>
          <w:szCs w:val="24"/>
          <w:lang w:eastAsia="zh-CN"/>
        </w:rPr>
      </w:pPr>
      <w:r>
        <w:rPr>
          <w:rFonts w:hint="default" w:ascii="Times New Roman" w:hAnsi="Times New Roman" w:cs="Times New Roman"/>
          <w:b w:val="0"/>
          <w:bCs w:val="0"/>
          <w:color w:val="auto"/>
          <w:sz w:val="24"/>
          <w:szCs w:val="24"/>
        </w:rPr>
        <w:t>根据《排污许可证核发与技术规范 畜禽养殖行业》中的废气无组织控制要求</w:t>
      </w:r>
      <w:r>
        <w:rPr>
          <w:rFonts w:hint="default" w:ascii="Times New Roman" w:hAnsi="Times New Roman" w:cs="Times New Roman"/>
          <w:b w:val="0"/>
          <w:bCs w:val="0"/>
          <w:color w:val="auto"/>
          <w:sz w:val="24"/>
          <w:szCs w:val="24"/>
          <w:lang w:eastAsia="zh-CN"/>
        </w:rPr>
        <w:t>，评价建议本项目拟采取的措施：（</w:t>
      </w:r>
      <w:r>
        <w:rPr>
          <w:rFonts w:hint="default" w:ascii="Times New Roman" w:hAnsi="Times New Roman" w:cs="Times New Roman"/>
          <w:b w:val="0"/>
          <w:bCs w:val="0"/>
          <w:color w:val="auto"/>
          <w:sz w:val="24"/>
          <w:szCs w:val="24"/>
          <w:lang w:val="en-US" w:eastAsia="zh-CN"/>
        </w:rPr>
        <w:t>1</w:t>
      </w:r>
      <w:r>
        <w:rPr>
          <w:rFonts w:hint="default" w:ascii="Times New Roman" w:hAnsi="Times New Roman" w:cs="Times New Roman"/>
          <w:b w:val="0"/>
          <w:bCs w:val="0"/>
          <w:color w:val="auto"/>
          <w:sz w:val="24"/>
          <w:szCs w:val="24"/>
          <w:lang w:eastAsia="zh-CN"/>
        </w:rPr>
        <w:t>）猪舍：选取益生菌配方饲料；及时清运粪污；想粪便或舍内投放吸附剂减少臭气的散发；投加或喷洒除臭剂；（</w:t>
      </w:r>
      <w:r>
        <w:rPr>
          <w:rFonts w:hint="default" w:ascii="Times New Roman" w:hAnsi="Times New Roman" w:cs="Times New Roman"/>
          <w:b w:val="0"/>
          <w:bCs w:val="0"/>
          <w:color w:val="auto"/>
          <w:sz w:val="24"/>
          <w:szCs w:val="24"/>
          <w:lang w:val="en-US" w:eastAsia="zh-CN"/>
        </w:rPr>
        <w:t>2</w:t>
      </w:r>
      <w:r>
        <w:rPr>
          <w:rFonts w:hint="default" w:ascii="Times New Roman" w:hAnsi="Times New Roman" w:cs="Times New Roman"/>
          <w:b w:val="0"/>
          <w:bCs w:val="0"/>
          <w:color w:val="auto"/>
          <w:sz w:val="24"/>
          <w:szCs w:val="24"/>
          <w:lang w:eastAsia="zh-CN"/>
        </w:rPr>
        <w:t>）固体粪污处理区：定期喷洒除臭剂；及时清运固体粪污；采用好氧堆肥方式；（</w:t>
      </w:r>
      <w:r>
        <w:rPr>
          <w:rFonts w:hint="default" w:ascii="Times New Roman" w:hAnsi="Times New Roman" w:cs="Times New Roman"/>
          <w:b w:val="0"/>
          <w:bCs w:val="0"/>
          <w:color w:val="auto"/>
          <w:sz w:val="24"/>
          <w:szCs w:val="24"/>
          <w:lang w:val="en-US" w:eastAsia="zh-CN"/>
        </w:rPr>
        <w:t>3</w:t>
      </w:r>
      <w:r>
        <w:rPr>
          <w:rFonts w:hint="default" w:ascii="Times New Roman" w:hAnsi="Times New Roman" w:cs="Times New Roman"/>
          <w:b w:val="0"/>
          <w:bCs w:val="0"/>
          <w:color w:val="auto"/>
          <w:sz w:val="24"/>
          <w:szCs w:val="24"/>
          <w:lang w:eastAsia="zh-CN"/>
        </w:rPr>
        <w:t>）废水处理工程：定期喷洒除臭剂、废水处理设施加盖</w:t>
      </w:r>
      <w:r>
        <w:rPr>
          <w:rFonts w:hint="default" w:ascii="Times New Roman" w:hAnsi="Times New Roman" w:cs="Times New Roman"/>
          <w:b w:val="0"/>
          <w:bCs w:val="0"/>
          <w:color w:val="auto"/>
          <w:sz w:val="24"/>
          <w:szCs w:val="24"/>
          <w:lang w:val="en-US" w:eastAsia="zh-CN"/>
        </w:rPr>
        <w:t xml:space="preserve"> 或加罩；（4）整个场区：固体粪污规划还田利用；场区运输道路全硬化、及时清扫、无积灰扬尘、定期洒水抑尘；加强场区绿化。</w:t>
      </w:r>
    </w:p>
    <w:p>
      <w:pPr>
        <w:spacing w:before="128" w:line="331" w:lineRule="auto"/>
        <w:ind w:left="217" w:firstLine="422"/>
        <w:jc w:val="center"/>
        <w:rPr>
          <w:rFonts w:hint="default" w:ascii="Times New Roman" w:hAnsi="Times New Roman" w:cs="Times New Roman"/>
          <w:color w:val="auto"/>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pacing w:val="-53"/>
          <w:sz w:val="21"/>
          <w:szCs w:val="21"/>
        </w:rPr>
        <w:t xml:space="preserve"> </w:t>
      </w:r>
      <w:r>
        <w:rPr>
          <w:rFonts w:hint="default" w:ascii="Times New Roman" w:hAnsi="Times New Roman" w:eastAsia="Times New Roman" w:cs="Times New Roman"/>
          <w:b/>
          <w:bCs/>
          <w:color w:val="auto"/>
          <w:sz w:val="21"/>
          <w:szCs w:val="21"/>
        </w:rPr>
        <w:t>6.2-5</w:t>
      </w:r>
      <w:r>
        <w:rPr>
          <w:rFonts w:hint="default" w:ascii="Times New Roman" w:hAnsi="Times New Roman" w:eastAsia="Times New Roman" w:cs="Times New Roman"/>
          <w:b/>
          <w:bCs/>
          <w:color w:val="auto"/>
          <w:sz w:val="21"/>
          <w:szCs w:val="21"/>
        </w:rPr>
        <w:tab/>
      </w:r>
      <w:r>
        <w:rPr>
          <w:rFonts w:hint="default" w:ascii="Times New Roman" w:hAnsi="Times New Roman" w:cs="Times New Roman"/>
          <w:b/>
          <w:bCs/>
          <w:color w:val="auto"/>
          <w:sz w:val="21"/>
          <w:szCs w:val="21"/>
        </w:rPr>
        <w:t>项目废气污染防治措施一览表</w:t>
      </w:r>
    </w:p>
    <w:tbl>
      <w:tblPr>
        <w:tblStyle w:val="25"/>
        <w:tblW w:w="8954" w:type="dxa"/>
        <w:tblInd w:w="0" w:type="dxa"/>
        <w:tblLayout w:type="fixed"/>
        <w:tblCellMar>
          <w:top w:w="0" w:type="dxa"/>
          <w:left w:w="0" w:type="dxa"/>
          <w:bottom w:w="0" w:type="dxa"/>
          <w:right w:w="0" w:type="dxa"/>
        </w:tblCellMar>
      </w:tblPr>
      <w:tblGrid>
        <w:gridCol w:w="505"/>
        <w:gridCol w:w="1383"/>
        <w:gridCol w:w="2492"/>
        <w:gridCol w:w="3323"/>
        <w:gridCol w:w="1251"/>
      </w:tblGrid>
      <w:tr>
        <w:tblPrEx>
          <w:tblCellMar>
            <w:top w:w="0" w:type="dxa"/>
            <w:left w:w="0" w:type="dxa"/>
            <w:bottom w:w="0" w:type="dxa"/>
            <w:right w:w="0" w:type="dxa"/>
          </w:tblCellMar>
        </w:tblPrEx>
        <w:trPr>
          <w:trHeight w:val="555" w:hRule="exact"/>
        </w:trPr>
        <w:tc>
          <w:tcPr>
            <w:tcW w:w="505" w:type="dxa"/>
            <w:tcBorders>
              <w:top w:val="single" w:color="000000" w:sz="2" w:space="0"/>
              <w:left w:val="nil"/>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w w:val="99"/>
                <w:sz w:val="21"/>
                <w:szCs w:val="21"/>
                <w:u w:val="single"/>
              </w:rPr>
              <w:t>序</w:t>
            </w:r>
          </w:p>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w w:val="99"/>
                <w:sz w:val="21"/>
                <w:szCs w:val="21"/>
                <w:u w:val="single"/>
              </w:rPr>
              <w:t>号</w:t>
            </w:r>
          </w:p>
        </w:tc>
        <w:tc>
          <w:tcPr>
            <w:tcW w:w="1383" w:type="dxa"/>
            <w:tcBorders>
              <w:top w:val="single" w:color="000000" w:sz="2" w:space="0"/>
              <w:left w:val="single" w:color="000000" w:sz="6" w:space="0"/>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排放源</w:t>
            </w:r>
          </w:p>
        </w:tc>
        <w:tc>
          <w:tcPr>
            <w:tcW w:w="2492" w:type="dxa"/>
            <w:tcBorders>
              <w:top w:val="single" w:color="000000" w:sz="2" w:space="0"/>
              <w:left w:val="single" w:color="000000" w:sz="6" w:space="0"/>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防治措施</w:t>
            </w:r>
          </w:p>
        </w:tc>
        <w:tc>
          <w:tcPr>
            <w:tcW w:w="3323" w:type="dxa"/>
            <w:tcBorders>
              <w:top w:val="single" w:color="000000" w:sz="2" w:space="0"/>
              <w:left w:val="single" w:color="000000" w:sz="6" w:space="0"/>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实施方案</w:t>
            </w:r>
          </w:p>
        </w:tc>
        <w:tc>
          <w:tcPr>
            <w:tcW w:w="1251" w:type="dxa"/>
            <w:tcBorders>
              <w:top w:val="single" w:color="000000" w:sz="2" w:space="0"/>
              <w:left w:val="single" w:color="000000" w:sz="6" w:space="0"/>
              <w:bottom w:val="single" w:color="000000" w:sz="6" w:space="0"/>
              <w:right w:val="nil"/>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治理目标</w:t>
            </w:r>
          </w:p>
        </w:tc>
      </w:tr>
      <w:tr>
        <w:tblPrEx>
          <w:tblCellMar>
            <w:top w:w="0" w:type="dxa"/>
            <w:left w:w="0" w:type="dxa"/>
            <w:bottom w:w="0" w:type="dxa"/>
            <w:right w:w="0" w:type="dxa"/>
          </w:tblCellMar>
        </w:tblPrEx>
        <w:trPr>
          <w:trHeight w:val="1042" w:hRule="exact"/>
        </w:trPr>
        <w:tc>
          <w:tcPr>
            <w:tcW w:w="505" w:type="dxa"/>
            <w:tcBorders>
              <w:top w:val="single" w:color="000000" w:sz="6" w:space="0"/>
              <w:left w:val="nil"/>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w w:val="99"/>
                <w:sz w:val="21"/>
                <w:szCs w:val="21"/>
                <w:u w:val="single"/>
              </w:rPr>
              <w:t>1</w:t>
            </w:r>
          </w:p>
        </w:tc>
        <w:tc>
          <w:tcPr>
            <w:tcW w:w="1383" w:type="dxa"/>
            <w:tcBorders>
              <w:top w:val="single" w:color="000000" w:sz="6" w:space="0"/>
              <w:left w:val="single" w:color="000000" w:sz="6" w:space="0"/>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猪舍</w:t>
            </w:r>
          </w:p>
        </w:tc>
        <w:tc>
          <w:tcPr>
            <w:tcW w:w="2492" w:type="dxa"/>
            <w:tcBorders>
              <w:top w:val="single" w:color="000000" w:sz="6" w:space="0"/>
              <w:left w:val="single" w:color="000000" w:sz="6" w:space="0"/>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eastAsia="宋体" w:cs="Times New Roman"/>
                <w:b/>
                <w:bCs/>
                <w:color w:val="auto"/>
                <w:sz w:val="21"/>
                <w:szCs w:val="21"/>
                <w:u w:val="single"/>
                <w:lang w:eastAsia="zh-CN"/>
              </w:rPr>
            </w:pPr>
            <w:r>
              <w:rPr>
                <w:rFonts w:hint="default" w:ascii="Times New Roman" w:hAnsi="Times New Roman" w:cs="Times New Roman"/>
                <w:b/>
                <w:bCs/>
                <w:color w:val="auto"/>
                <w:sz w:val="18"/>
                <w:szCs w:val="18"/>
                <w:u w:val="single"/>
              </w:rPr>
              <w:t>调整饲料配方、喷洒除臭剂、猪舍出风口处安装过滤吸附除臭装置</w:t>
            </w:r>
          </w:p>
        </w:tc>
        <w:tc>
          <w:tcPr>
            <w:tcW w:w="3323" w:type="dxa"/>
            <w:tcBorders>
              <w:top w:val="single" w:color="000000" w:sz="6" w:space="0"/>
              <w:left w:val="single" w:color="000000" w:sz="6" w:space="0"/>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pacing w:val="2"/>
                <w:sz w:val="21"/>
                <w:szCs w:val="21"/>
                <w:u w:val="single"/>
              </w:rPr>
              <w:t>猪舍清空时利用高压水枪彻底冲圈消毒，调整饲料配方，减少猪粪</w:t>
            </w:r>
            <w:r>
              <w:rPr>
                <w:rFonts w:hint="default" w:ascii="Times New Roman" w:hAnsi="Times New Roman" w:cs="Times New Roman"/>
                <w:b/>
                <w:bCs/>
                <w:color w:val="auto"/>
                <w:sz w:val="21"/>
                <w:szCs w:val="21"/>
                <w:u w:val="single"/>
              </w:rPr>
              <w:t>便中恶臭的产生</w:t>
            </w:r>
          </w:p>
        </w:tc>
        <w:tc>
          <w:tcPr>
            <w:tcW w:w="1251" w:type="dxa"/>
            <w:vMerge w:val="restart"/>
            <w:tcBorders>
              <w:top w:val="single" w:color="000000" w:sz="6" w:space="0"/>
              <w:left w:val="single" w:color="000000" w:sz="6" w:space="0"/>
              <w:right w:val="nil"/>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pacing w:val="-16"/>
                <w:sz w:val="21"/>
                <w:szCs w:val="21"/>
                <w:u w:val="single"/>
              </w:rPr>
              <w:t>满足《恶臭</w:t>
            </w:r>
            <w:r>
              <w:rPr>
                <w:rFonts w:hint="default" w:ascii="Times New Roman" w:hAnsi="Times New Roman" w:cs="Times New Roman"/>
                <w:b/>
                <w:bCs/>
                <w:color w:val="auto"/>
                <w:spacing w:val="-61"/>
                <w:sz w:val="21"/>
                <w:szCs w:val="21"/>
                <w:u w:val="single"/>
              </w:rPr>
              <w:t xml:space="preserve"> </w:t>
            </w:r>
            <w:r>
              <w:rPr>
                <w:rFonts w:hint="default" w:ascii="Times New Roman" w:hAnsi="Times New Roman" w:cs="Times New Roman"/>
                <w:b/>
                <w:bCs/>
                <w:color w:val="auto"/>
                <w:sz w:val="21"/>
                <w:szCs w:val="21"/>
                <w:u w:val="single"/>
              </w:rPr>
              <w:t>染</w:t>
            </w:r>
            <w:r>
              <w:rPr>
                <w:rFonts w:hint="default" w:ascii="Times New Roman" w:hAnsi="Times New Roman" w:cs="Times New Roman"/>
                <w:b/>
                <w:bCs/>
                <w:color w:val="auto"/>
                <w:spacing w:val="-61"/>
                <w:sz w:val="21"/>
                <w:szCs w:val="21"/>
                <w:u w:val="single"/>
              </w:rPr>
              <w:t xml:space="preserve"> </w:t>
            </w:r>
            <w:r>
              <w:rPr>
                <w:rFonts w:hint="default" w:ascii="Times New Roman" w:hAnsi="Times New Roman" w:cs="Times New Roman"/>
                <w:b/>
                <w:bCs/>
                <w:color w:val="auto"/>
                <w:sz w:val="21"/>
                <w:szCs w:val="21"/>
                <w:u w:val="single"/>
              </w:rPr>
              <w:t>物排放标准》</w:t>
            </w:r>
          </w:p>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（GB1455</w:t>
            </w:r>
          </w:p>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pacing w:val="-6"/>
                <w:sz w:val="21"/>
                <w:szCs w:val="21"/>
                <w:u w:val="single"/>
              </w:rPr>
              <w:t>4-93）标准</w:t>
            </w:r>
            <w:r>
              <w:rPr>
                <w:rFonts w:hint="default" w:ascii="Times New Roman" w:hAnsi="Times New Roman" w:cs="Times New Roman"/>
                <w:b/>
                <w:bCs/>
                <w:color w:val="auto"/>
                <w:sz w:val="21"/>
                <w:szCs w:val="21"/>
                <w:u w:val="single"/>
              </w:rPr>
              <w:t>要求。</w:t>
            </w:r>
          </w:p>
        </w:tc>
      </w:tr>
      <w:tr>
        <w:tblPrEx>
          <w:tblCellMar>
            <w:top w:w="0" w:type="dxa"/>
            <w:left w:w="0" w:type="dxa"/>
            <w:bottom w:w="0" w:type="dxa"/>
            <w:right w:w="0" w:type="dxa"/>
          </w:tblCellMar>
        </w:tblPrEx>
        <w:trPr>
          <w:trHeight w:val="1466" w:hRule="exact"/>
        </w:trPr>
        <w:tc>
          <w:tcPr>
            <w:tcW w:w="505" w:type="dxa"/>
            <w:tcBorders>
              <w:top w:val="single" w:color="000000" w:sz="6" w:space="0"/>
              <w:left w:val="nil"/>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w w:val="99"/>
                <w:sz w:val="21"/>
                <w:szCs w:val="21"/>
                <w:u w:val="single"/>
              </w:rPr>
              <w:t>2</w:t>
            </w:r>
          </w:p>
        </w:tc>
        <w:tc>
          <w:tcPr>
            <w:tcW w:w="1383" w:type="dxa"/>
            <w:tcBorders>
              <w:top w:val="single" w:color="000000" w:sz="6" w:space="0"/>
              <w:left w:val="single" w:color="000000" w:sz="6" w:space="0"/>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固粪处理区</w:t>
            </w:r>
          </w:p>
        </w:tc>
        <w:tc>
          <w:tcPr>
            <w:tcW w:w="2492" w:type="dxa"/>
            <w:tcBorders>
              <w:top w:val="single" w:color="000000" w:sz="6" w:space="0"/>
              <w:left w:val="single" w:color="000000" w:sz="6" w:space="0"/>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18"/>
                <w:szCs w:val="18"/>
                <w:u w:val="single"/>
              </w:rPr>
              <w:t>四面围墙，上设置顶棚，臭气通过风机引出，通过</w:t>
            </w:r>
            <w:r>
              <w:rPr>
                <w:rFonts w:hint="default" w:ascii="Times New Roman" w:hAnsi="Times New Roman" w:cs="Times New Roman"/>
                <w:b/>
                <w:bCs/>
                <w:color w:val="auto"/>
                <w:sz w:val="18"/>
                <w:szCs w:val="18"/>
                <w:u w:val="single"/>
                <w:lang w:val="en-US" w:eastAsia="zh-CN"/>
              </w:rPr>
              <w:t>UV光氧+水帘喷淋</w:t>
            </w:r>
            <w:r>
              <w:rPr>
                <w:rFonts w:hint="default" w:ascii="Times New Roman" w:hAnsi="Times New Roman" w:cs="Times New Roman"/>
                <w:b/>
                <w:bCs/>
                <w:color w:val="auto"/>
                <w:sz w:val="18"/>
                <w:szCs w:val="18"/>
                <w:u w:val="single"/>
              </w:rPr>
              <w:t>除臭处理后排放</w:t>
            </w:r>
          </w:p>
        </w:tc>
        <w:tc>
          <w:tcPr>
            <w:tcW w:w="3323" w:type="dxa"/>
            <w:tcBorders>
              <w:top w:val="single" w:color="000000" w:sz="6" w:space="0"/>
              <w:left w:val="single" w:color="000000" w:sz="6" w:space="0"/>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pacing w:val="2"/>
                <w:sz w:val="21"/>
                <w:szCs w:val="21"/>
                <w:u w:val="single"/>
              </w:rPr>
              <w:t>对操作人员强化培训，并配合喷洒除臭剂，喷洒频率为：前期连续喷</w:t>
            </w:r>
            <w:r>
              <w:rPr>
                <w:rFonts w:hint="default" w:ascii="Times New Roman" w:hAnsi="Times New Roman" w:cs="Times New Roman"/>
                <w:b/>
                <w:bCs/>
                <w:color w:val="auto"/>
                <w:sz w:val="21"/>
                <w:szCs w:val="21"/>
                <w:u w:val="single"/>
              </w:rPr>
              <w:t>洒3天，之后每隔5天喷洒一次</w:t>
            </w:r>
          </w:p>
        </w:tc>
        <w:tc>
          <w:tcPr>
            <w:tcW w:w="1251" w:type="dxa"/>
            <w:vMerge w:val="continue"/>
            <w:tcBorders>
              <w:left w:val="single" w:color="000000" w:sz="6" w:space="0"/>
              <w:right w:val="nil"/>
            </w:tcBorders>
            <w:vAlign w:val="center"/>
          </w:tcPr>
          <w:p>
            <w:pPr>
              <w:adjustRightInd/>
              <w:snapToGrid/>
              <w:spacing w:line="240" w:lineRule="auto"/>
              <w:ind w:firstLine="0" w:firstLineChars="0"/>
              <w:jc w:val="center"/>
              <w:rPr>
                <w:rFonts w:hint="default" w:ascii="Times New Roman" w:hAnsi="Times New Roman" w:cs="Times New Roman"/>
                <w:b/>
                <w:bCs/>
                <w:color w:val="auto"/>
                <w:sz w:val="21"/>
                <w:szCs w:val="21"/>
                <w:u w:val="single"/>
              </w:rPr>
            </w:pPr>
          </w:p>
        </w:tc>
      </w:tr>
      <w:tr>
        <w:tblPrEx>
          <w:tblCellMar>
            <w:top w:w="0" w:type="dxa"/>
            <w:left w:w="0" w:type="dxa"/>
            <w:bottom w:w="0" w:type="dxa"/>
            <w:right w:w="0" w:type="dxa"/>
          </w:tblCellMar>
        </w:tblPrEx>
        <w:trPr>
          <w:trHeight w:val="1307" w:hRule="exact"/>
        </w:trPr>
        <w:tc>
          <w:tcPr>
            <w:tcW w:w="505" w:type="dxa"/>
            <w:tcBorders>
              <w:top w:val="single" w:color="000000" w:sz="6" w:space="0"/>
              <w:left w:val="nil"/>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w w:val="99"/>
                <w:sz w:val="21"/>
                <w:szCs w:val="21"/>
                <w:u w:val="single"/>
              </w:rPr>
              <w:t>3</w:t>
            </w:r>
          </w:p>
        </w:tc>
        <w:tc>
          <w:tcPr>
            <w:tcW w:w="1383" w:type="dxa"/>
            <w:tcBorders>
              <w:top w:val="single" w:color="000000" w:sz="6" w:space="0"/>
              <w:left w:val="single" w:color="000000" w:sz="6" w:space="0"/>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污水前处理系统</w:t>
            </w:r>
          </w:p>
        </w:tc>
        <w:tc>
          <w:tcPr>
            <w:tcW w:w="2492" w:type="dxa"/>
            <w:tcBorders>
              <w:top w:val="single" w:color="000000" w:sz="6" w:space="0"/>
              <w:left w:val="single" w:color="000000" w:sz="6" w:space="0"/>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pacing w:val="3"/>
                <w:sz w:val="21"/>
                <w:szCs w:val="21"/>
                <w:u w:val="single"/>
              </w:rPr>
              <w:t>收集池密闭，加强管</w:t>
            </w:r>
          </w:p>
          <w:p>
            <w:pPr>
              <w:pStyle w:val="40"/>
              <w:adjustRightInd/>
              <w:snapToGrid/>
              <w:spacing w:line="240" w:lineRule="auto"/>
              <w:ind w:firstLine="0" w:firstLineChars="0"/>
              <w:jc w:val="center"/>
              <w:rPr>
                <w:rFonts w:hint="default" w:ascii="Times New Roman" w:hAnsi="Times New Roman" w:eastAsia="宋体" w:cs="Times New Roman"/>
                <w:b/>
                <w:bCs/>
                <w:color w:val="auto"/>
                <w:sz w:val="21"/>
                <w:szCs w:val="21"/>
                <w:u w:val="single"/>
                <w:lang w:eastAsia="zh-CN"/>
              </w:rPr>
            </w:pPr>
            <w:r>
              <w:rPr>
                <w:rFonts w:hint="default" w:ascii="Times New Roman" w:hAnsi="Times New Roman" w:cs="Times New Roman"/>
                <w:b/>
                <w:bCs/>
                <w:color w:val="auto"/>
                <w:spacing w:val="3"/>
                <w:sz w:val="21"/>
                <w:szCs w:val="21"/>
                <w:u w:val="single"/>
              </w:rPr>
              <w:t>理，喷洒除臭剂，周</w:t>
            </w:r>
            <w:r>
              <w:rPr>
                <w:rFonts w:hint="default" w:ascii="Times New Roman" w:hAnsi="Times New Roman" w:cs="Times New Roman"/>
                <w:b/>
                <w:bCs/>
                <w:color w:val="auto"/>
                <w:sz w:val="21"/>
                <w:szCs w:val="21"/>
                <w:u w:val="single"/>
              </w:rPr>
              <w:t>边绿化带</w:t>
            </w:r>
          </w:p>
        </w:tc>
        <w:tc>
          <w:tcPr>
            <w:tcW w:w="3323" w:type="dxa"/>
            <w:tcBorders>
              <w:top w:val="single" w:color="000000" w:sz="6" w:space="0"/>
              <w:left w:val="single" w:color="000000" w:sz="6" w:space="0"/>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pacing w:val="2"/>
                <w:sz w:val="21"/>
                <w:szCs w:val="21"/>
                <w:u w:val="single"/>
              </w:rPr>
              <w:t>对操作人员强化培训，并配合喷洒</w:t>
            </w:r>
          </w:p>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pacing w:val="2"/>
                <w:sz w:val="21"/>
                <w:szCs w:val="21"/>
                <w:u w:val="single"/>
              </w:rPr>
              <w:t>除臭剂，喷洒频率为：前期连续喷</w:t>
            </w:r>
            <w:r>
              <w:rPr>
                <w:rFonts w:hint="default" w:ascii="Times New Roman" w:hAnsi="Times New Roman" w:cs="Times New Roman"/>
                <w:b/>
                <w:bCs/>
                <w:color w:val="auto"/>
                <w:sz w:val="21"/>
                <w:szCs w:val="21"/>
                <w:u w:val="single"/>
              </w:rPr>
              <w:t>洒3天，之后每隔5天喷洒一次</w:t>
            </w:r>
          </w:p>
        </w:tc>
        <w:tc>
          <w:tcPr>
            <w:tcW w:w="1251" w:type="dxa"/>
            <w:vMerge w:val="continue"/>
            <w:tcBorders>
              <w:left w:val="single" w:color="000000" w:sz="6" w:space="0"/>
              <w:right w:val="nil"/>
            </w:tcBorders>
            <w:vAlign w:val="center"/>
          </w:tcPr>
          <w:p>
            <w:pPr>
              <w:adjustRightInd/>
              <w:snapToGrid/>
              <w:spacing w:line="240" w:lineRule="auto"/>
              <w:ind w:firstLine="0" w:firstLineChars="0"/>
              <w:jc w:val="center"/>
              <w:rPr>
                <w:rFonts w:hint="default" w:ascii="Times New Roman" w:hAnsi="Times New Roman" w:cs="Times New Roman"/>
                <w:b/>
                <w:bCs/>
                <w:color w:val="auto"/>
                <w:sz w:val="21"/>
                <w:szCs w:val="21"/>
                <w:u w:val="single"/>
              </w:rPr>
            </w:pPr>
          </w:p>
        </w:tc>
      </w:tr>
      <w:tr>
        <w:tblPrEx>
          <w:tblCellMar>
            <w:top w:w="0" w:type="dxa"/>
            <w:left w:w="0" w:type="dxa"/>
            <w:bottom w:w="0" w:type="dxa"/>
            <w:right w:w="0" w:type="dxa"/>
          </w:tblCellMar>
        </w:tblPrEx>
        <w:trPr>
          <w:trHeight w:val="748" w:hRule="exact"/>
        </w:trPr>
        <w:tc>
          <w:tcPr>
            <w:tcW w:w="505" w:type="dxa"/>
            <w:tcBorders>
              <w:top w:val="single" w:color="000000" w:sz="6" w:space="0"/>
              <w:left w:val="nil"/>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w w:val="99"/>
                <w:sz w:val="21"/>
                <w:szCs w:val="21"/>
                <w:u w:val="single"/>
              </w:rPr>
              <w:t>4</w:t>
            </w:r>
          </w:p>
        </w:tc>
        <w:tc>
          <w:tcPr>
            <w:tcW w:w="1383" w:type="dxa"/>
            <w:tcBorders>
              <w:top w:val="single" w:color="000000" w:sz="6" w:space="0"/>
              <w:left w:val="single" w:color="000000" w:sz="6" w:space="0"/>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eastAsia="宋体" w:cs="Times New Roman"/>
                <w:b/>
                <w:bCs/>
                <w:color w:val="auto"/>
                <w:sz w:val="21"/>
                <w:szCs w:val="21"/>
                <w:u w:val="single"/>
                <w:lang w:eastAsia="zh-CN"/>
              </w:rPr>
            </w:pPr>
            <w:r>
              <w:rPr>
                <w:rFonts w:hint="default" w:ascii="Times New Roman" w:hAnsi="Times New Roman" w:cs="Times New Roman"/>
                <w:b/>
                <w:bCs/>
                <w:color w:val="auto"/>
                <w:sz w:val="21"/>
                <w:szCs w:val="21"/>
                <w:u w:val="single"/>
                <w:lang w:eastAsia="zh-CN"/>
              </w:rPr>
              <w:t>沼液存储池</w:t>
            </w:r>
          </w:p>
        </w:tc>
        <w:tc>
          <w:tcPr>
            <w:tcW w:w="2492" w:type="dxa"/>
            <w:tcBorders>
              <w:top w:val="single" w:color="000000" w:sz="6" w:space="0"/>
              <w:left w:val="single" w:color="000000" w:sz="6" w:space="0"/>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pacing w:val="3"/>
                <w:sz w:val="21"/>
                <w:szCs w:val="21"/>
                <w:u w:val="single"/>
                <w:lang w:eastAsia="zh-CN"/>
              </w:rPr>
              <w:t>沼液存储池</w:t>
            </w:r>
            <w:r>
              <w:rPr>
                <w:rFonts w:hint="default" w:ascii="Times New Roman" w:hAnsi="Times New Roman" w:cs="Times New Roman"/>
                <w:b/>
                <w:bCs/>
                <w:color w:val="auto"/>
                <w:spacing w:val="3"/>
                <w:sz w:val="21"/>
                <w:szCs w:val="21"/>
                <w:u w:val="single"/>
              </w:rPr>
              <w:t>密闭，喷</w:t>
            </w:r>
          </w:p>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洒除臭剂，周边绿化</w:t>
            </w:r>
          </w:p>
        </w:tc>
        <w:tc>
          <w:tcPr>
            <w:tcW w:w="3323" w:type="dxa"/>
            <w:tcBorders>
              <w:top w:val="single" w:color="000000" w:sz="6" w:space="0"/>
              <w:left w:val="single" w:color="000000" w:sz="6" w:space="0"/>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pacing w:val="2"/>
                <w:sz w:val="21"/>
                <w:szCs w:val="21"/>
                <w:u w:val="single"/>
              </w:rPr>
              <w:t>四周加强绿化，主要种植草木、灌</w:t>
            </w:r>
          </w:p>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木、乔木等间隔立体绿化</w:t>
            </w:r>
          </w:p>
        </w:tc>
        <w:tc>
          <w:tcPr>
            <w:tcW w:w="1251" w:type="dxa"/>
            <w:vMerge w:val="continue"/>
            <w:tcBorders>
              <w:left w:val="single" w:color="000000" w:sz="6" w:space="0"/>
              <w:right w:val="nil"/>
            </w:tcBorders>
            <w:vAlign w:val="center"/>
          </w:tcPr>
          <w:p>
            <w:pPr>
              <w:adjustRightInd/>
              <w:snapToGrid/>
              <w:spacing w:line="240" w:lineRule="auto"/>
              <w:ind w:firstLine="0" w:firstLineChars="0"/>
              <w:jc w:val="center"/>
              <w:rPr>
                <w:rFonts w:hint="default" w:ascii="Times New Roman" w:hAnsi="Times New Roman" w:cs="Times New Roman"/>
                <w:b/>
                <w:bCs/>
                <w:color w:val="auto"/>
                <w:sz w:val="21"/>
                <w:szCs w:val="21"/>
                <w:u w:val="single"/>
              </w:rPr>
            </w:pPr>
          </w:p>
        </w:tc>
      </w:tr>
      <w:tr>
        <w:tblPrEx>
          <w:tblCellMar>
            <w:top w:w="0" w:type="dxa"/>
            <w:left w:w="0" w:type="dxa"/>
            <w:bottom w:w="0" w:type="dxa"/>
            <w:right w:w="0" w:type="dxa"/>
          </w:tblCellMar>
        </w:tblPrEx>
        <w:trPr>
          <w:trHeight w:val="680" w:hRule="exact"/>
        </w:trPr>
        <w:tc>
          <w:tcPr>
            <w:tcW w:w="505" w:type="dxa"/>
            <w:tcBorders>
              <w:top w:val="single" w:color="000000" w:sz="6" w:space="0"/>
              <w:left w:val="nil"/>
              <w:bottom w:val="single" w:color="000000" w:sz="2"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w w:val="99"/>
                <w:sz w:val="21"/>
                <w:szCs w:val="21"/>
                <w:u w:val="single"/>
              </w:rPr>
              <w:t>5</w:t>
            </w:r>
          </w:p>
        </w:tc>
        <w:tc>
          <w:tcPr>
            <w:tcW w:w="1383" w:type="dxa"/>
            <w:tcBorders>
              <w:top w:val="single" w:color="000000" w:sz="6" w:space="0"/>
              <w:left w:val="single" w:color="000000" w:sz="6" w:space="0"/>
              <w:bottom w:val="single" w:color="000000" w:sz="2"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高温处理机</w:t>
            </w:r>
          </w:p>
        </w:tc>
        <w:tc>
          <w:tcPr>
            <w:tcW w:w="2492" w:type="dxa"/>
            <w:tcBorders>
              <w:top w:val="single" w:color="000000" w:sz="6" w:space="0"/>
              <w:left w:val="single" w:color="000000" w:sz="6" w:space="0"/>
              <w:bottom w:val="single" w:color="000000" w:sz="2"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UV光氧净化设备</w:t>
            </w:r>
          </w:p>
        </w:tc>
        <w:tc>
          <w:tcPr>
            <w:tcW w:w="3323" w:type="dxa"/>
            <w:tcBorders>
              <w:top w:val="single" w:color="000000" w:sz="6" w:space="0"/>
              <w:left w:val="single" w:color="000000" w:sz="6" w:space="0"/>
              <w:bottom w:val="single" w:color="000000" w:sz="2"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pacing w:val="3"/>
                <w:sz w:val="21"/>
                <w:szCs w:val="21"/>
                <w:u w:val="single"/>
              </w:rPr>
              <w:t>废气经一套</w:t>
            </w:r>
            <w:r>
              <w:rPr>
                <w:rFonts w:hint="default" w:ascii="Times New Roman" w:hAnsi="Times New Roman" w:cs="Times New Roman"/>
                <w:b/>
                <w:bCs/>
                <w:color w:val="auto"/>
                <w:sz w:val="21"/>
                <w:szCs w:val="21"/>
                <w:u w:val="single"/>
              </w:rPr>
              <w:t>UV</w:t>
            </w:r>
            <w:r>
              <w:rPr>
                <w:rFonts w:hint="default" w:ascii="Times New Roman" w:hAnsi="Times New Roman" w:cs="Times New Roman"/>
                <w:b/>
                <w:bCs/>
                <w:color w:val="auto"/>
                <w:spacing w:val="3"/>
                <w:sz w:val="21"/>
                <w:szCs w:val="21"/>
                <w:u w:val="single"/>
              </w:rPr>
              <w:t>光氧净化设备净化</w:t>
            </w:r>
          </w:p>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后</w:t>
            </w:r>
            <w:r>
              <w:rPr>
                <w:rFonts w:hint="default" w:ascii="Times New Roman" w:hAnsi="Times New Roman" w:cs="Times New Roman"/>
                <w:b/>
                <w:bCs/>
                <w:color w:val="auto"/>
                <w:sz w:val="21"/>
                <w:szCs w:val="21"/>
                <w:u w:val="single"/>
                <w:lang w:eastAsia="zh-CN"/>
              </w:rPr>
              <w:t>无组织</w:t>
            </w:r>
            <w:r>
              <w:rPr>
                <w:rFonts w:hint="default" w:ascii="Times New Roman" w:hAnsi="Times New Roman" w:cs="Times New Roman"/>
                <w:b/>
                <w:bCs/>
                <w:color w:val="auto"/>
                <w:sz w:val="21"/>
                <w:szCs w:val="21"/>
                <w:u w:val="single"/>
              </w:rPr>
              <w:t>排放</w:t>
            </w:r>
          </w:p>
        </w:tc>
        <w:tc>
          <w:tcPr>
            <w:tcW w:w="1251" w:type="dxa"/>
            <w:vMerge w:val="continue"/>
            <w:tcBorders>
              <w:left w:val="single" w:color="000000" w:sz="6" w:space="0"/>
              <w:bottom w:val="single" w:color="000000" w:sz="2" w:space="0"/>
              <w:right w:val="nil"/>
            </w:tcBorders>
            <w:vAlign w:val="center"/>
          </w:tcPr>
          <w:p>
            <w:pPr>
              <w:adjustRightInd/>
              <w:snapToGrid/>
              <w:spacing w:line="240" w:lineRule="auto"/>
              <w:ind w:firstLine="0" w:firstLineChars="0"/>
              <w:jc w:val="center"/>
              <w:rPr>
                <w:rFonts w:hint="default" w:ascii="Times New Roman" w:hAnsi="Times New Roman" w:cs="Times New Roman"/>
                <w:b/>
                <w:bCs/>
                <w:color w:val="auto"/>
                <w:sz w:val="21"/>
                <w:szCs w:val="21"/>
                <w:u w:val="single"/>
              </w:rPr>
            </w:pPr>
          </w:p>
        </w:tc>
      </w:tr>
    </w:tbl>
    <w:p>
      <w:pPr>
        <w:ind w:firstLine="480"/>
        <w:rPr>
          <w:rFonts w:hint="default" w:ascii="Times New Roman" w:hAnsi="Times New Roman" w:cs="Times New Roman"/>
          <w:bCs/>
          <w:color w:val="auto"/>
        </w:rPr>
      </w:pPr>
      <w:r>
        <w:rPr>
          <w:rFonts w:hint="default" w:ascii="Times New Roman" w:hAnsi="Times New Roman" w:cs="Times New Roman"/>
          <w:bCs/>
          <w:color w:val="auto"/>
        </w:rPr>
        <w:t>（</w:t>
      </w:r>
      <w:r>
        <w:rPr>
          <w:rFonts w:hint="default" w:ascii="Times New Roman" w:hAnsi="Times New Roman" w:cs="Times New Roman"/>
          <w:bCs/>
          <w:color w:val="auto"/>
          <w:lang w:val="en-US" w:eastAsia="zh-CN"/>
        </w:rPr>
        <w:t>3</w:t>
      </w:r>
      <w:r>
        <w:rPr>
          <w:rFonts w:hint="default" w:ascii="Times New Roman" w:hAnsi="Times New Roman" w:cs="Times New Roman"/>
          <w:bCs/>
          <w:color w:val="auto"/>
        </w:rPr>
        <w:t>）同类污染源防治措施及源强类比分析</w:t>
      </w:r>
    </w:p>
    <w:p>
      <w:pPr>
        <w:ind w:firstLine="480"/>
        <w:rPr>
          <w:rFonts w:hint="default" w:ascii="Times New Roman" w:hAnsi="Times New Roman" w:cs="Times New Roman"/>
          <w:color w:val="auto"/>
        </w:rPr>
      </w:pPr>
      <w:r>
        <w:rPr>
          <w:rFonts w:hint="default" w:ascii="Times New Roman" w:hAnsi="Times New Roman" w:cs="Times New Roman"/>
          <w:bCs/>
          <w:color w:val="auto"/>
        </w:rPr>
        <w:t>根据牧原食品股份有限公司内乡十五分场（年出栏生猪6万头，2012年12月取得批复，现已全部投产）</w:t>
      </w:r>
      <w:r>
        <w:rPr>
          <w:rFonts w:hint="default" w:ascii="Times New Roman" w:hAnsi="Times New Roman" w:cs="Times New Roman"/>
          <w:bCs/>
          <w:color w:val="auto"/>
          <w:lang w:eastAsia="zh-CN"/>
        </w:rPr>
        <w:t>沼液存储池</w:t>
      </w:r>
      <w:r>
        <w:rPr>
          <w:rFonts w:hint="default" w:ascii="Times New Roman" w:hAnsi="Times New Roman" w:cs="Times New Roman"/>
          <w:bCs/>
          <w:color w:val="auto"/>
        </w:rPr>
        <w:t>周边恶臭气体监测报告（内乡县环境监测站2013年3月监测）显示，通过绿化处理后，距离</w:t>
      </w:r>
      <w:r>
        <w:rPr>
          <w:rFonts w:hint="default" w:ascii="Times New Roman" w:hAnsi="Times New Roman" w:cs="Times New Roman"/>
          <w:bCs/>
          <w:color w:val="auto"/>
          <w:lang w:eastAsia="zh-CN"/>
        </w:rPr>
        <w:t>沼液存储池</w:t>
      </w:r>
      <w:r>
        <w:rPr>
          <w:rFonts w:hint="default" w:ascii="Times New Roman" w:hAnsi="Times New Roman" w:cs="Times New Roman"/>
          <w:bCs/>
          <w:color w:val="auto"/>
        </w:rPr>
        <w:t>下风向5m恶臭气体浓度（氨气0.16mg/m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；H</w:t>
      </w:r>
      <w:r>
        <w:rPr>
          <w:rFonts w:hint="default" w:ascii="Times New Roman" w:hAnsi="Times New Roman" w:cs="Times New Roman"/>
          <w:bCs/>
          <w:color w:val="auto"/>
          <w:vertAlign w:val="subscript"/>
        </w:rPr>
        <w:t>2</w:t>
      </w:r>
      <w:r>
        <w:rPr>
          <w:rFonts w:hint="default" w:ascii="Times New Roman" w:hAnsi="Times New Roman" w:cs="Times New Roman"/>
          <w:bCs/>
          <w:color w:val="auto"/>
        </w:rPr>
        <w:t>S0.03mg/m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）；下风向50m恶臭气体浓度（氨气0.11mg/m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；H</w:t>
      </w:r>
      <w:r>
        <w:rPr>
          <w:rFonts w:hint="default" w:ascii="Times New Roman" w:hAnsi="Times New Roman" w:cs="Times New Roman"/>
          <w:bCs/>
          <w:color w:val="auto"/>
          <w:vertAlign w:val="subscript"/>
        </w:rPr>
        <w:t>2</w:t>
      </w:r>
      <w:r>
        <w:rPr>
          <w:rFonts w:hint="default" w:ascii="Times New Roman" w:hAnsi="Times New Roman" w:cs="Times New Roman"/>
          <w:bCs/>
          <w:color w:val="auto"/>
        </w:rPr>
        <w:t>S 0.002mg/m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）可满足《环境影响评价技术导则 大气环境》（HJ2.2-2018）附录D，其他污染物空气质量浓度参考限值要求。</w:t>
      </w:r>
    </w:p>
    <w:p>
      <w:pPr>
        <w:ind w:firstLine="480"/>
        <w:rPr>
          <w:rFonts w:hint="default" w:ascii="Times New Roman" w:hAnsi="Times New Roman" w:cs="Times New Roman"/>
          <w:color w:val="auto"/>
        </w:rPr>
      </w:pPr>
      <w:r>
        <w:rPr>
          <w:rFonts w:hint="default" w:ascii="Times New Roman" w:hAnsi="Times New Roman" w:cs="Times New Roman"/>
          <w:color w:val="auto"/>
        </w:rPr>
        <w:t>采用上述措施治理后，可有效减轻项目恶臭污染影响，评价预测场界排放臭气浓度能够满足《畜禽养殖业污染物排放标准》（GB18596－2001）中表7要求，并在场界外设置防护距离，在防护距离内不得新建学校、医院、居民区等环境敏感点。</w:t>
      </w:r>
    </w:p>
    <w:p>
      <w:pPr>
        <w:ind w:firstLine="480"/>
        <w:rPr>
          <w:rFonts w:hint="default" w:ascii="Times New Roman" w:hAnsi="Times New Roman" w:cs="Times New Roman"/>
          <w:color w:val="auto"/>
        </w:rPr>
      </w:pPr>
      <w:r>
        <w:rPr>
          <w:rFonts w:hint="default" w:ascii="Times New Roman" w:hAnsi="Times New Roman" w:cs="Times New Roman"/>
          <w:color w:val="auto"/>
        </w:rPr>
        <w:t>因此采用场区绿化等方式可有效去除恶臭，达到减降目的。</w:t>
      </w:r>
    </w:p>
    <w:p>
      <w:pPr>
        <w:tabs>
          <w:tab w:val="left" w:pos="5625"/>
        </w:tabs>
        <w:ind w:firstLine="480"/>
        <w:outlineLvl w:val="3"/>
        <w:rPr>
          <w:rFonts w:hint="default" w:ascii="Times New Roman" w:hAnsi="Times New Roman" w:cs="Times New Roman"/>
          <w:color w:val="auto"/>
        </w:rPr>
      </w:pPr>
      <w:r>
        <w:rPr>
          <w:rFonts w:hint="default" w:ascii="Times New Roman" w:hAnsi="Times New Roman" w:cs="Times New Roman"/>
          <w:color w:val="auto"/>
        </w:rPr>
        <w:t>6.2.4.2其他废气</w:t>
      </w:r>
    </w:p>
    <w:p>
      <w:pPr>
        <w:ind w:firstLine="480"/>
        <w:rPr>
          <w:rFonts w:hint="default" w:ascii="Times New Roman" w:hAnsi="Times New Roman" w:cs="Times New Roman"/>
          <w:color w:val="auto"/>
        </w:rPr>
      </w:pPr>
      <w:r>
        <w:rPr>
          <w:rFonts w:hint="default" w:ascii="Times New Roman" w:hAnsi="Times New Roman" w:cs="Times New Roman"/>
          <w:color w:val="auto"/>
        </w:rPr>
        <w:t>（1）沼气燃烧废气</w:t>
      </w:r>
    </w:p>
    <w:p>
      <w:pPr>
        <w:pStyle w:val="11"/>
        <w:spacing w:before="0" w:after="0"/>
        <w:ind w:left="0" w:right="0" w:firstLine="496"/>
        <w:rPr>
          <w:rFonts w:hint="default" w:ascii="Times New Roman" w:hAnsi="Times New Roman" w:cs="Times New Roman"/>
          <w:color w:val="auto"/>
        </w:rPr>
      </w:pPr>
      <w:r>
        <w:rPr>
          <w:rFonts w:hint="default" w:ascii="Times New Roman" w:hAnsi="Times New Roman" w:cs="Times New Roman"/>
          <w:color w:val="auto"/>
          <w:spacing w:val="4"/>
        </w:rPr>
        <w:t>根据项目的沼气特性，经类比，1m</w:t>
      </w:r>
      <w:r>
        <w:rPr>
          <w:rFonts w:hint="default" w:ascii="Times New Roman" w:hAnsi="Times New Roman" w:cs="Times New Roman"/>
          <w:color w:val="auto"/>
          <w:spacing w:val="4"/>
          <w:vertAlign w:val="superscript"/>
        </w:rPr>
        <w:t>3</w:t>
      </w:r>
      <w:r>
        <w:rPr>
          <w:rFonts w:hint="default" w:ascii="Times New Roman" w:hAnsi="Times New Roman" w:cs="Times New Roman"/>
          <w:color w:val="auto"/>
          <w:spacing w:val="4"/>
        </w:rPr>
        <w:t>沼气燃烧后产生的废气量为7.96m</w:t>
      </w:r>
      <w:r>
        <w:rPr>
          <w:rFonts w:hint="default" w:ascii="Times New Roman" w:hAnsi="Times New Roman" w:cs="Times New Roman"/>
          <w:color w:val="auto"/>
          <w:spacing w:val="4"/>
          <w:vertAlign w:val="superscript"/>
        </w:rPr>
        <w:t>3</w:t>
      </w:r>
      <w:r>
        <w:rPr>
          <w:rFonts w:hint="default" w:ascii="Times New Roman" w:hAnsi="Times New Roman" w:cs="Times New Roman"/>
          <w:color w:val="auto"/>
          <w:spacing w:val="4"/>
        </w:rPr>
        <w:t>，SO</w:t>
      </w:r>
      <w:r>
        <w:rPr>
          <w:rFonts w:hint="default" w:ascii="Times New Roman" w:hAnsi="Times New Roman" w:cs="Times New Roman"/>
          <w:color w:val="auto"/>
          <w:spacing w:val="4"/>
          <w:vertAlign w:val="subscript"/>
        </w:rPr>
        <w:t>2</w:t>
      </w:r>
      <w:r>
        <w:rPr>
          <w:rFonts w:hint="default" w:ascii="Times New Roman" w:hAnsi="Times New Roman" w:cs="Times New Roman"/>
          <w:color w:val="auto"/>
          <w:spacing w:val="4"/>
        </w:rPr>
        <w:t>产生浓度为17mg/m</w:t>
      </w:r>
      <w:r>
        <w:rPr>
          <w:rFonts w:hint="default" w:ascii="Times New Roman" w:hAnsi="Times New Roman" w:cs="Times New Roman"/>
          <w:color w:val="auto"/>
          <w:spacing w:val="4"/>
          <w:vertAlign w:val="superscript"/>
        </w:rPr>
        <w:t>3</w:t>
      </w:r>
      <w:r>
        <w:rPr>
          <w:rFonts w:hint="default" w:ascii="Times New Roman" w:hAnsi="Times New Roman" w:cs="Times New Roman"/>
          <w:color w:val="auto"/>
          <w:spacing w:val="4"/>
        </w:rPr>
        <w:t>，烟尘产生浓度30mg/m</w:t>
      </w:r>
      <w:r>
        <w:rPr>
          <w:rFonts w:hint="default" w:ascii="Times New Roman" w:hAnsi="Times New Roman" w:cs="Times New Roman"/>
          <w:color w:val="auto"/>
          <w:spacing w:val="4"/>
          <w:vertAlign w:val="superscript"/>
        </w:rPr>
        <w:t>3</w:t>
      </w:r>
      <w:r>
        <w:rPr>
          <w:rFonts w:hint="default" w:ascii="Times New Roman" w:hAnsi="Times New Roman" w:cs="Times New Roman"/>
          <w:color w:val="auto"/>
          <w:spacing w:val="4"/>
        </w:rPr>
        <w:t>，NOx产生浓度为75mg/m</w:t>
      </w:r>
      <w:r>
        <w:rPr>
          <w:rFonts w:hint="default" w:ascii="Times New Roman" w:hAnsi="Times New Roman" w:cs="Times New Roman"/>
          <w:color w:val="auto"/>
          <w:spacing w:val="4"/>
          <w:vertAlign w:val="superscript"/>
        </w:rPr>
        <w:t>3</w:t>
      </w:r>
      <w:r>
        <w:rPr>
          <w:rFonts w:hint="default" w:ascii="Times New Roman" w:hAnsi="Times New Roman" w:cs="Times New Roman"/>
          <w:color w:val="auto"/>
          <w:spacing w:val="4"/>
        </w:rPr>
        <w:t>。则项目沼气燃烧废气量为</w:t>
      </w:r>
      <w:r>
        <w:rPr>
          <w:rFonts w:hint="default" w:ascii="Times New Roman" w:hAnsi="Times New Roman" w:cs="Times New Roman"/>
          <w:color w:val="auto"/>
          <w:spacing w:val="4"/>
          <w:lang w:val="en-US" w:eastAsia="zh-CN"/>
        </w:rPr>
        <w:t>108.2万</w:t>
      </w:r>
      <w:r>
        <w:rPr>
          <w:rFonts w:hint="default" w:ascii="Times New Roman" w:hAnsi="Times New Roman" w:cs="Times New Roman"/>
          <w:color w:val="auto"/>
          <w:spacing w:val="4"/>
        </w:rPr>
        <w:t>m</w:t>
      </w:r>
      <w:r>
        <w:rPr>
          <w:rFonts w:hint="default" w:ascii="Times New Roman" w:hAnsi="Times New Roman" w:cs="Times New Roman"/>
          <w:color w:val="auto"/>
          <w:spacing w:val="4"/>
          <w:vertAlign w:val="superscript"/>
        </w:rPr>
        <w:t>3</w:t>
      </w:r>
      <w:r>
        <w:rPr>
          <w:rFonts w:hint="default" w:ascii="Times New Roman" w:hAnsi="Times New Roman" w:cs="Times New Roman"/>
          <w:color w:val="auto"/>
          <w:spacing w:val="4"/>
        </w:rPr>
        <w:t>，SO</w:t>
      </w:r>
      <w:r>
        <w:rPr>
          <w:rFonts w:hint="default" w:ascii="Times New Roman" w:hAnsi="Times New Roman" w:cs="Times New Roman"/>
          <w:color w:val="auto"/>
          <w:spacing w:val="4"/>
          <w:vertAlign w:val="subscript"/>
        </w:rPr>
        <w:t>2</w:t>
      </w:r>
      <w:r>
        <w:rPr>
          <w:rFonts w:hint="default" w:ascii="Times New Roman" w:hAnsi="Times New Roman" w:cs="Times New Roman"/>
          <w:color w:val="auto"/>
          <w:spacing w:val="4"/>
        </w:rPr>
        <w:t>产生量为</w:t>
      </w:r>
      <w:r>
        <w:rPr>
          <w:rFonts w:hint="default" w:ascii="Times New Roman" w:hAnsi="Times New Roman" w:cs="Times New Roman"/>
          <w:color w:val="auto"/>
          <w:spacing w:val="4"/>
          <w:lang w:val="en-US" w:eastAsia="zh-CN"/>
        </w:rPr>
        <w:t>0.018</w:t>
      </w:r>
      <w:r>
        <w:rPr>
          <w:rFonts w:hint="default" w:ascii="Times New Roman" w:hAnsi="Times New Roman" w:cs="Times New Roman"/>
          <w:color w:val="auto"/>
          <w:spacing w:val="4"/>
        </w:rPr>
        <w:t>t/a，烟尘产生量为</w:t>
      </w:r>
      <w:r>
        <w:rPr>
          <w:rFonts w:hint="default" w:ascii="Times New Roman" w:hAnsi="Times New Roman" w:cs="Times New Roman"/>
          <w:color w:val="auto"/>
          <w:spacing w:val="4"/>
          <w:lang w:val="en-US" w:eastAsia="zh-CN"/>
        </w:rPr>
        <w:t>0.032</w:t>
      </w:r>
      <w:r>
        <w:rPr>
          <w:rFonts w:hint="default" w:ascii="Times New Roman" w:hAnsi="Times New Roman" w:cs="Times New Roman"/>
          <w:color w:val="auto"/>
          <w:spacing w:val="4"/>
        </w:rPr>
        <w:t>t/a，NOx产生量为</w:t>
      </w:r>
      <w:r>
        <w:rPr>
          <w:rFonts w:hint="default" w:ascii="Times New Roman" w:hAnsi="Times New Roman" w:cs="Times New Roman"/>
          <w:color w:val="auto"/>
          <w:spacing w:val="4"/>
          <w:lang w:val="en-US" w:eastAsia="zh-CN"/>
        </w:rPr>
        <w:t>0.081</w:t>
      </w:r>
      <w:r>
        <w:rPr>
          <w:rFonts w:hint="default" w:ascii="Times New Roman" w:hAnsi="Times New Roman" w:cs="Times New Roman"/>
          <w:color w:val="auto"/>
          <w:spacing w:val="4"/>
        </w:rPr>
        <w:t>t/a。本项目沼气燃烧废气排放能够满足《大气污染物综合排放标准》(GB16297-1996)二级排放标准。</w:t>
      </w:r>
    </w:p>
    <w:p>
      <w:pPr>
        <w:widowControl/>
        <w:ind w:firstLine="480"/>
        <w:rPr>
          <w:rFonts w:hint="default" w:ascii="Times New Roman" w:hAnsi="Times New Roman" w:cs="Times New Roman"/>
          <w:color w:val="auto"/>
        </w:rPr>
      </w:pPr>
      <w:r>
        <w:rPr>
          <w:rFonts w:hint="default" w:ascii="Times New Roman" w:hAnsi="Times New Roman" w:cs="Times New Roman"/>
          <w:color w:val="auto"/>
        </w:rPr>
        <w:t>（2）食堂油烟</w:t>
      </w:r>
    </w:p>
    <w:p>
      <w:pPr>
        <w:widowControl/>
        <w:ind w:firstLine="480"/>
        <w:rPr>
          <w:rFonts w:hint="default" w:ascii="Times New Roman" w:hAnsi="Times New Roman" w:cs="Times New Roman"/>
          <w:color w:val="auto"/>
        </w:rPr>
      </w:pPr>
      <w:r>
        <w:rPr>
          <w:rFonts w:hint="default" w:ascii="Times New Roman" w:hAnsi="Times New Roman" w:cs="Times New Roman"/>
          <w:color w:val="auto"/>
        </w:rPr>
        <w:t>项目食堂油烟经油烟净化装置处理后，</w:t>
      </w:r>
      <w:r>
        <w:rPr>
          <w:rFonts w:hint="default" w:ascii="Times New Roman" w:hAnsi="Times New Roman" w:cs="Times New Roman"/>
          <w:color w:val="auto"/>
          <w:spacing w:val="25"/>
        </w:rPr>
        <w:t>处理后餐厅油烟年排放量为</w:t>
      </w:r>
      <w:r>
        <w:rPr>
          <w:rFonts w:hint="default" w:ascii="Times New Roman" w:hAnsi="Times New Roman" w:eastAsia="Times New Roman" w:cs="Times New Roman"/>
          <w:color w:val="auto"/>
          <w:spacing w:val="2"/>
        </w:rPr>
        <w:t>0.000</w:t>
      </w:r>
      <w:r>
        <w:rPr>
          <w:rFonts w:hint="default" w:ascii="Times New Roman" w:hAnsi="Times New Roman" w:cs="Times New Roman"/>
          <w:color w:val="auto"/>
          <w:spacing w:val="2"/>
        </w:rPr>
        <w:t>5</w:t>
      </w:r>
      <w:r>
        <w:rPr>
          <w:rFonts w:hint="default" w:ascii="Times New Roman" w:hAnsi="Times New Roman" w:eastAsia="Times New Roman" w:cs="Times New Roman"/>
          <w:color w:val="auto"/>
          <w:spacing w:val="2"/>
        </w:rPr>
        <w:t>t/a</w:t>
      </w:r>
      <w:r>
        <w:rPr>
          <w:rFonts w:hint="default" w:ascii="Times New Roman" w:hAnsi="Times New Roman" w:cs="Times New Roman"/>
          <w:color w:val="auto"/>
          <w:spacing w:val="2"/>
        </w:rPr>
        <w:t>，</w:t>
      </w:r>
      <w:r>
        <w:rPr>
          <w:rFonts w:hint="default" w:ascii="Times New Roman" w:hAnsi="Times New Roman" w:cs="Times New Roman"/>
          <w:color w:val="auto"/>
          <w:spacing w:val="-91"/>
        </w:rPr>
        <w:t xml:space="preserve"> </w:t>
      </w:r>
      <w:r>
        <w:rPr>
          <w:rFonts w:hint="default" w:ascii="Times New Roman" w:hAnsi="Times New Roman" w:cs="Times New Roman"/>
          <w:color w:val="auto"/>
          <w:spacing w:val="22"/>
        </w:rPr>
        <w:t>排放浓度</w:t>
      </w:r>
      <w:r>
        <w:rPr>
          <w:rFonts w:hint="default" w:ascii="Times New Roman" w:hAnsi="Times New Roman" w:cs="Times New Roman"/>
          <w:color w:val="auto"/>
          <w:spacing w:val="-118"/>
        </w:rPr>
        <w:t xml:space="preserve"> </w:t>
      </w:r>
      <w:r>
        <w:rPr>
          <w:rFonts w:hint="default" w:ascii="Times New Roman" w:hAnsi="Times New Roman" w:eastAsia="Times New Roman" w:cs="Times New Roman"/>
          <w:color w:val="auto"/>
          <w:spacing w:val="-5"/>
        </w:rPr>
        <w:t>0.</w:t>
      </w:r>
      <w:r>
        <w:rPr>
          <w:rFonts w:hint="default" w:ascii="Times New Roman" w:hAnsi="Times New Roman" w:cs="Times New Roman"/>
          <w:color w:val="auto"/>
          <w:spacing w:val="-5"/>
        </w:rPr>
        <w:t>08</w:t>
      </w:r>
      <w:r>
        <w:rPr>
          <w:rFonts w:hint="default" w:ascii="Times New Roman" w:hAnsi="Times New Roman" w:eastAsia="Times New Roman" w:cs="Times New Roman"/>
          <w:color w:val="auto"/>
          <w:spacing w:val="-5"/>
        </w:rPr>
        <w:t>mg/</w:t>
      </w:r>
      <w:r>
        <w:rPr>
          <w:rFonts w:hint="default" w:ascii="Times New Roman" w:hAnsi="Times New Roman" w:cs="Times New Roman"/>
          <w:color w:val="auto"/>
          <w:spacing w:val="-5"/>
        </w:rPr>
        <w:t>m</w:t>
      </w:r>
      <w:r>
        <w:rPr>
          <w:rFonts w:hint="default" w:ascii="Times New Roman" w:hAnsi="Times New Roman" w:cs="Times New Roman"/>
          <w:color w:val="auto"/>
          <w:spacing w:val="-5"/>
          <w:vertAlign w:val="superscript"/>
        </w:rPr>
        <w:t>3</w:t>
      </w:r>
      <w:r>
        <w:rPr>
          <w:rFonts w:hint="default" w:ascii="Times New Roman" w:hAnsi="Times New Roman" w:cs="Times New Roman"/>
          <w:color w:val="auto"/>
          <w:spacing w:val="-5"/>
        </w:rPr>
        <w:t>，能够满足河南省《餐饮业油烟污染物排放标准》（试行）（</w:t>
      </w:r>
      <w:r>
        <w:rPr>
          <w:rFonts w:hint="default" w:ascii="Times New Roman" w:hAnsi="Times New Roman" w:eastAsia="Times New Roman" w:cs="Times New Roman"/>
          <w:color w:val="auto"/>
          <w:spacing w:val="-5"/>
        </w:rPr>
        <w:t>DB41/1604-2018</w:t>
      </w:r>
      <w:r>
        <w:rPr>
          <w:rFonts w:hint="default" w:ascii="Times New Roman" w:hAnsi="Times New Roman" w:cs="Times New Roman"/>
          <w:color w:val="auto"/>
          <w:spacing w:val="-5"/>
        </w:rPr>
        <w:t>）油烟最高允许排放浓度标准（</w:t>
      </w:r>
      <w:r>
        <w:rPr>
          <w:rFonts w:hint="default" w:ascii="Times New Roman" w:hAnsi="Times New Roman" w:eastAsia="Times New Roman" w:cs="Times New Roman"/>
          <w:color w:val="auto"/>
          <w:spacing w:val="-5"/>
        </w:rPr>
        <w:t>1.5mg/</w:t>
      </w:r>
      <w:r>
        <w:rPr>
          <w:rFonts w:hint="default" w:ascii="Times New Roman" w:hAnsi="Times New Roman" w:cs="Times New Roman"/>
          <w:color w:val="auto"/>
          <w:spacing w:val="-5"/>
        </w:rPr>
        <w:t>m</w:t>
      </w:r>
      <w:r>
        <w:rPr>
          <w:rFonts w:hint="default" w:ascii="Times New Roman" w:hAnsi="Times New Roman" w:cs="Times New Roman"/>
          <w:color w:val="auto"/>
          <w:spacing w:val="-5"/>
          <w:vertAlign w:val="superscript"/>
        </w:rPr>
        <w:t>3</w:t>
      </w:r>
      <w:r>
        <w:rPr>
          <w:rFonts w:hint="default" w:ascii="Times New Roman" w:hAnsi="Times New Roman" w:cs="Times New Roman"/>
          <w:color w:val="auto"/>
          <w:spacing w:val="-5"/>
        </w:rPr>
        <w:t>）</w:t>
      </w:r>
      <w:r>
        <w:rPr>
          <w:rFonts w:hint="default" w:ascii="Times New Roman" w:hAnsi="Times New Roman" w:cs="Times New Roman"/>
          <w:color w:val="auto"/>
        </w:rPr>
        <w:t>。</w:t>
      </w:r>
    </w:p>
    <w:p>
      <w:pPr>
        <w:pStyle w:val="5"/>
        <w:rPr>
          <w:rFonts w:hint="default" w:ascii="Times New Roman" w:hAnsi="Times New Roman" w:cs="Times New Roman"/>
          <w:color w:val="auto"/>
          <w:lang w:val="en-US"/>
        </w:rPr>
      </w:pPr>
      <w:r>
        <w:rPr>
          <w:rFonts w:hint="default" w:ascii="Times New Roman" w:hAnsi="Times New Roman" w:cs="Times New Roman"/>
          <w:color w:val="auto"/>
          <w:lang w:val="en-US"/>
        </w:rPr>
        <w:t>6.2.5噪声污染防治措施分析</w:t>
      </w:r>
    </w:p>
    <w:p>
      <w:pPr>
        <w:ind w:firstLine="480"/>
        <w:rPr>
          <w:rFonts w:hint="default" w:ascii="Times New Roman" w:hAnsi="Times New Roman" w:cs="Times New Roman"/>
          <w:bCs/>
          <w:color w:val="auto"/>
        </w:rPr>
      </w:pPr>
      <w:r>
        <w:rPr>
          <w:rFonts w:hint="default" w:ascii="Times New Roman" w:hAnsi="Times New Roman" w:cs="Times New Roman"/>
          <w:bCs/>
          <w:color w:val="auto"/>
        </w:rPr>
        <w:t>本项目噪声主要为废水处理设备、排风扇等设备运行时产生的噪声，根据类比调查，其源强为75～85dB(A)。</w:t>
      </w:r>
    </w:p>
    <w:p>
      <w:pPr>
        <w:ind w:firstLine="480"/>
        <w:rPr>
          <w:rFonts w:hint="default" w:ascii="Times New Roman" w:hAnsi="Times New Roman" w:cs="Times New Roman"/>
          <w:bCs/>
          <w:color w:val="auto"/>
        </w:rPr>
      </w:pPr>
      <w:r>
        <w:rPr>
          <w:rFonts w:hint="default" w:ascii="Times New Roman" w:hAnsi="Times New Roman" w:cs="Times New Roman"/>
          <w:bCs/>
          <w:color w:val="auto"/>
        </w:rPr>
        <w:t>项目采取以下措施来进行：</w:t>
      </w:r>
    </w:p>
    <w:p>
      <w:pPr>
        <w:ind w:firstLine="480"/>
        <w:rPr>
          <w:rFonts w:hint="default" w:ascii="Times New Roman" w:hAnsi="Times New Roman" w:cs="Times New Roman"/>
          <w:bCs/>
          <w:color w:val="auto"/>
        </w:rPr>
      </w:pPr>
      <w:r>
        <w:rPr>
          <w:rFonts w:hint="default" w:ascii="Times New Roman" w:hAnsi="Times New Roman" w:cs="Times New Roman"/>
          <w:bCs/>
          <w:color w:val="auto"/>
        </w:rPr>
        <w:t>（1）企业在设备选型上，应选择低噪声风机、水泵设备，以防止项目运营期间产生的噪声源叠加，对区域环境产生较大影响。</w:t>
      </w:r>
    </w:p>
    <w:p>
      <w:pPr>
        <w:ind w:firstLine="480"/>
        <w:rPr>
          <w:rFonts w:hint="default" w:ascii="Times New Roman" w:hAnsi="Times New Roman" w:cs="Times New Roman"/>
          <w:bCs/>
          <w:color w:val="auto"/>
        </w:rPr>
      </w:pPr>
      <w:r>
        <w:rPr>
          <w:rFonts w:hint="default" w:ascii="Times New Roman" w:hAnsi="Times New Roman" w:cs="Times New Roman"/>
          <w:bCs/>
          <w:color w:val="auto"/>
        </w:rPr>
        <w:t>（2）对风机、水泵设备安装减振垫进行设备基础减振处理，根据噪声衰减规律分析：经基础减振（减轻振动及不固定配件摆动噪声）及隔声措施噪声衰减可以达到20～40dB(A)。</w:t>
      </w:r>
    </w:p>
    <w:p>
      <w:pPr>
        <w:ind w:firstLine="480"/>
        <w:rPr>
          <w:rFonts w:hint="default" w:ascii="Times New Roman" w:hAnsi="Times New Roman" w:cs="Times New Roman"/>
          <w:bCs/>
          <w:color w:val="auto"/>
        </w:rPr>
      </w:pPr>
      <w:r>
        <w:rPr>
          <w:rFonts w:hint="default" w:ascii="Times New Roman" w:hAnsi="Times New Roman" w:cs="Times New Roman"/>
          <w:bCs/>
          <w:color w:val="auto"/>
        </w:rPr>
        <w:t>（3）在场区周围及场内加强绿化，充分利用建筑的边角空隙土地及不规则土地进行绿化；场区绿化应结合场区与猪舍之间的隔离、遮荫及防风需要进行。可根据当地实际种植能美化环境、净化空气的树种和花草，不宜种植有毒、有刺、飞絮的植物，其噪声源强可衰减约5dB(A)。</w:t>
      </w:r>
    </w:p>
    <w:p>
      <w:pPr>
        <w:ind w:firstLine="480"/>
        <w:rPr>
          <w:rFonts w:hint="default" w:ascii="Times New Roman" w:hAnsi="Times New Roman" w:cs="Times New Roman"/>
          <w:bCs/>
          <w:color w:val="auto"/>
        </w:rPr>
      </w:pPr>
      <w:r>
        <w:rPr>
          <w:rFonts w:hint="default" w:ascii="Times New Roman" w:hAnsi="Times New Roman" w:cs="Times New Roman"/>
          <w:bCs/>
          <w:color w:val="auto"/>
        </w:rPr>
        <w:t>（4）评价要求噪声源强较高的设备，尽量往场区内部布置，因距离的原因实现噪声衰减。</w:t>
      </w:r>
    </w:p>
    <w:p>
      <w:pPr>
        <w:ind w:firstLine="480"/>
        <w:rPr>
          <w:rFonts w:hint="default" w:ascii="Times New Roman" w:hAnsi="Times New Roman" w:cs="Times New Roman"/>
          <w:color w:val="auto"/>
        </w:rPr>
      </w:pPr>
      <w:r>
        <w:rPr>
          <w:rFonts w:hint="default" w:ascii="Times New Roman" w:hAnsi="Times New Roman" w:cs="Times New Roman"/>
          <w:bCs/>
          <w:color w:val="auto"/>
        </w:rPr>
        <w:t>经采取以上措施，噪声可衰减约15~20dB(A)，再经一定距离衰减后，预测场界噪声满足《工业企业厂界环境噪声排放标准》（GB12348－2008）2类标准的要求。</w:t>
      </w:r>
    </w:p>
    <w:p>
      <w:pPr>
        <w:pStyle w:val="5"/>
        <w:rPr>
          <w:rFonts w:hint="default" w:ascii="Times New Roman" w:hAnsi="Times New Roman" w:cs="Times New Roman"/>
          <w:color w:val="auto"/>
          <w:lang w:val="en-US"/>
        </w:rPr>
      </w:pPr>
      <w:r>
        <w:rPr>
          <w:rFonts w:hint="default" w:ascii="Times New Roman" w:hAnsi="Times New Roman" w:cs="Times New Roman"/>
          <w:color w:val="auto"/>
          <w:lang w:val="en-US"/>
        </w:rPr>
        <w:t>6.2.6固废污染防治措施</w:t>
      </w:r>
    </w:p>
    <w:p>
      <w:pPr>
        <w:tabs>
          <w:tab w:val="left" w:pos="5625"/>
        </w:tabs>
        <w:ind w:firstLine="480"/>
        <w:outlineLvl w:val="3"/>
        <w:rPr>
          <w:rFonts w:hint="default" w:ascii="Times New Roman" w:hAnsi="Times New Roman" w:cs="Times New Roman"/>
          <w:color w:val="auto"/>
        </w:rPr>
      </w:pPr>
      <w:r>
        <w:rPr>
          <w:rFonts w:hint="default" w:ascii="Times New Roman" w:hAnsi="Times New Roman" w:cs="Times New Roman"/>
          <w:color w:val="auto"/>
        </w:rPr>
        <w:t>6.2.6.1固体废物处置措施</w:t>
      </w:r>
    </w:p>
    <w:p>
      <w:pPr>
        <w:ind w:firstLine="480"/>
        <w:rPr>
          <w:rFonts w:hint="default" w:ascii="Times New Roman" w:hAnsi="Times New Roman" w:cs="Times New Roman"/>
          <w:bCs/>
          <w:color w:val="auto"/>
        </w:rPr>
      </w:pPr>
      <w:r>
        <w:rPr>
          <w:rFonts w:hint="default" w:ascii="Times New Roman" w:hAnsi="Times New Roman" w:cs="Times New Roman"/>
          <w:bCs/>
          <w:color w:val="auto"/>
        </w:rPr>
        <w:t>本项目产生的固体废物主要包括疾病防疫产生的医疗废物、养殖过程产生的少量病死猪尸、猪粪固形物、</w:t>
      </w:r>
      <w:r>
        <w:rPr>
          <w:rFonts w:hint="default" w:ascii="Times New Roman" w:hAnsi="Times New Roman" w:cs="Times New Roman"/>
          <w:bCs/>
          <w:color w:val="auto"/>
          <w:lang w:eastAsia="zh-CN"/>
        </w:rPr>
        <w:t>废导热油、</w:t>
      </w:r>
      <w:r>
        <w:rPr>
          <w:rFonts w:hint="default" w:ascii="Times New Roman" w:hAnsi="Times New Roman" w:cs="Times New Roman"/>
          <w:bCs/>
          <w:color w:val="auto"/>
        </w:rPr>
        <w:t>废脱硫剂</w:t>
      </w:r>
      <w:r>
        <w:rPr>
          <w:rFonts w:hint="default" w:ascii="Times New Roman" w:hAnsi="Times New Roman" w:cs="Times New Roman"/>
          <w:bCs/>
          <w:color w:val="auto"/>
          <w:lang w:eastAsia="zh-CN"/>
        </w:rPr>
        <w:t>、废</w:t>
      </w:r>
      <w:r>
        <w:rPr>
          <w:rFonts w:hint="default" w:ascii="Times New Roman" w:hAnsi="Times New Roman" w:cs="Times New Roman"/>
          <w:bCs/>
          <w:color w:val="auto"/>
          <w:lang w:val="en-US" w:eastAsia="zh-CN"/>
        </w:rPr>
        <w:t>UV灯管</w:t>
      </w:r>
      <w:r>
        <w:rPr>
          <w:rFonts w:hint="default" w:ascii="Times New Roman" w:hAnsi="Times New Roman" w:cs="Times New Roman"/>
          <w:color w:val="auto"/>
        </w:rPr>
        <w:t>及</w:t>
      </w:r>
      <w:r>
        <w:rPr>
          <w:rFonts w:hint="default" w:ascii="Times New Roman" w:hAnsi="Times New Roman" w:cs="Times New Roman"/>
          <w:bCs/>
          <w:color w:val="auto"/>
        </w:rPr>
        <w:t>职工生活垃圾等。对照《国家危险废物名录》（2016本），医疗废物、病死猪、母猪胎盘</w:t>
      </w:r>
      <w:r>
        <w:rPr>
          <w:rFonts w:hint="default" w:ascii="Times New Roman" w:hAnsi="Times New Roman" w:cs="Times New Roman"/>
          <w:bCs/>
          <w:color w:val="auto"/>
          <w:lang w:eastAsia="zh-CN"/>
        </w:rPr>
        <w:t>、废导热油、废</w:t>
      </w:r>
      <w:r>
        <w:rPr>
          <w:rFonts w:hint="default" w:ascii="Times New Roman" w:hAnsi="Times New Roman" w:cs="Times New Roman"/>
          <w:bCs/>
          <w:color w:val="auto"/>
          <w:lang w:val="en-US" w:eastAsia="zh-CN"/>
        </w:rPr>
        <w:t>UV灯管</w:t>
      </w:r>
      <w:r>
        <w:rPr>
          <w:rFonts w:hint="default" w:ascii="Times New Roman" w:hAnsi="Times New Roman" w:cs="Times New Roman"/>
          <w:bCs/>
          <w:color w:val="auto"/>
        </w:rPr>
        <w:t>均属于危险废物，其余均为一般固废。本</w:t>
      </w:r>
      <w:r>
        <w:rPr>
          <w:rFonts w:hint="default" w:ascii="Times New Roman" w:hAnsi="Times New Roman" w:cs="Times New Roman"/>
          <w:color w:val="auto"/>
        </w:rPr>
        <w:t>项目营运期固体废物产排情况及处置措施见表6.2-6。</w:t>
      </w:r>
    </w:p>
    <w:p>
      <w:pPr>
        <w:spacing w:afterLines="30" w:line="500" w:lineRule="exact"/>
        <w:ind w:firstLine="482"/>
        <w:jc w:val="left"/>
        <w:rPr>
          <w:rFonts w:hint="default" w:ascii="Times New Roman" w:hAnsi="Times New Roman" w:cs="Times New Roman"/>
          <w:b/>
          <w:color w:val="auto"/>
        </w:rPr>
      </w:pPr>
      <w:r>
        <w:rPr>
          <w:rFonts w:hint="default" w:ascii="Times New Roman" w:hAnsi="Times New Roman" w:cs="Times New Roman"/>
          <w:b/>
          <w:color w:val="auto"/>
        </w:rPr>
        <w:t>表6.2-6              固体废物产排情况及处置措施一览表</w:t>
      </w:r>
    </w:p>
    <w:tbl>
      <w:tblPr>
        <w:tblStyle w:val="25"/>
        <w:tblW w:w="8946" w:type="dxa"/>
        <w:tblInd w:w="137" w:type="dxa"/>
        <w:tblLayout w:type="fixed"/>
        <w:tblCellMar>
          <w:top w:w="0" w:type="dxa"/>
          <w:left w:w="0" w:type="dxa"/>
          <w:bottom w:w="0" w:type="dxa"/>
          <w:right w:w="0" w:type="dxa"/>
        </w:tblCellMar>
      </w:tblPr>
      <w:tblGrid>
        <w:gridCol w:w="701"/>
        <w:gridCol w:w="1533"/>
        <w:gridCol w:w="1419"/>
        <w:gridCol w:w="1196"/>
        <w:gridCol w:w="930"/>
        <w:gridCol w:w="2213"/>
        <w:gridCol w:w="954"/>
      </w:tblGrid>
      <w:tr>
        <w:tblPrEx>
          <w:tblCellMar>
            <w:top w:w="0" w:type="dxa"/>
            <w:left w:w="0" w:type="dxa"/>
            <w:bottom w:w="0" w:type="dxa"/>
            <w:right w:w="0" w:type="dxa"/>
          </w:tblCellMar>
        </w:tblPrEx>
        <w:trPr>
          <w:trHeight w:val="634" w:hRule="exact"/>
        </w:trPr>
        <w:tc>
          <w:tcPr>
            <w:tcW w:w="701" w:type="dxa"/>
            <w:tcBorders>
              <w:top w:val="single" w:color="000000" w:sz="2" w:space="0"/>
              <w:left w:val="nil"/>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序号</w:t>
            </w:r>
          </w:p>
        </w:tc>
        <w:tc>
          <w:tcPr>
            <w:tcW w:w="1533" w:type="dxa"/>
            <w:tcBorders>
              <w:top w:val="single" w:color="000000" w:sz="2" w:space="0"/>
              <w:left w:val="single" w:color="000000" w:sz="6" w:space="0"/>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产生环节</w:t>
            </w:r>
          </w:p>
        </w:tc>
        <w:tc>
          <w:tcPr>
            <w:tcW w:w="1419" w:type="dxa"/>
            <w:tcBorders>
              <w:top w:val="single" w:color="000000" w:sz="2" w:space="0"/>
              <w:left w:val="single" w:color="000000" w:sz="6" w:space="0"/>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名称</w:t>
            </w:r>
          </w:p>
        </w:tc>
        <w:tc>
          <w:tcPr>
            <w:tcW w:w="1196" w:type="dxa"/>
            <w:tcBorders>
              <w:top w:val="single" w:color="000000" w:sz="2" w:space="0"/>
              <w:left w:val="single" w:color="000000" w:sz="6" w:space="0"/>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固废性质</w:t>
            </w:r>
          </w:p>
        </w:tc>
        <w:tc>
          <w:tcPr>
            <w:tcW w:w="930" w:type="dxa"/>
            <w:tcBorders>
              <w:top w:val="single" w:color="000000" w:sz="2" w:space="0"/>
              <w:left w:val="single" w:color="000000" w:sz="6" w:space="0"/>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产生量</w:t>
            </w:r>
            <w:r>
              <w:rPr>
                <w:rFonts w:hint="default" w:ascii="Times New Roman" w:hAnsi="Times New Roman" w:cs="Times New Roman"/>
                <w:color w:val="auto"/>
                <w:sz w:val="21"/>
                <w:szCs w:val="21"/>
              </w:rPr>
              <w:t>t/a</w:t>
            </w:r>
          </w:p>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w:t>
            </w:r>
            <w:r>
              <w:rPr>
                <w:rFonts w:hint="default" w:ascii="Times New Roman" w:hAnsi="Times New Roman" w:eastAsia="Times New Roman" w:cs="Times New Roman"/>
                <w:b/>
                <w:bCs/>
                <w:color w:val="auto"/>
                <w:sz w:val="21"/>
                <w:szCs w:val="21"/>
              </w:rPr>
              <w:t>t/a</w:t>
            </w:r>
            <w:r>
              <w:rPr>
                <w:rFonts w:hint="default" w:ascii="Times New Roman" w:hAnsi="Times New Roman" w:cs="Times New Roman"/>
                <w:b/>
                <w:bCs/>
                <w:color w:val="auto"/>
                <w:sz w:val="21"/>
                <w:szCs w:val="21"/>
              </w:rPr>
              <w:t>）</w:t>
            </w:r>
          </w:p>
        </w:tc>
        <w:tc>
          <w:tcPr>
            <w:tcW w:w="2213" w:type="dxa"/>
            <w:tcBorders>
              <w:top w:val="single" w:color="000000" w:sz="2" w:space="0"/>
              <w:left w:val="single" w:color="000000" w:sz="6" w:space="0"/>
              <w:bottom w:val="single" w:color="000000" w:sz="6" w:space="0"/>
              <w:right w:val="single" w:color="000000" w:sz="6"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处置措施</w:t>
            </w:r>
          </w:p>
        </w:tc>
        <w:tc>
          <w:tcPr>
            <w:tcW w:w="954" w:type="dxa"/>
            <w:tcBorders>
              <w:top w:val="single" w:color="000000" w:sz="2" w:space="0"/>
              <w:left w:val="single" w:color="000000" w:sz="6" w:space="0"/>
              <w:bottom w:val="single" w:color="000000" w:sz="6" w:space="0"/>
              <w:right w:val="nil"/>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排放量</w:t>
            </w:r>
            <w:r>
              <w:rPr>
                <w:rFonts w:hint="default" w:ascii="Times New Roman" w:hAnsi="Times New Roman" w:cs="Times New Roman"/>
                <w:color w:val="auto"/>
                <w:sz w:val="21"/>
                <w:szCs w:val="21"/>
              </w:rPr>
              <w:t>t/a</w:t>
            </w:r>
          </w:p>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w:t>
            </w:r>
            <w:r>
              <w:rPr>
                <w:rFonts w:hint="default" w:ascii="Times New Roman" w:hAnsi="Times New Roman" w:eastAsia="Times New Roman" w:cs="Times New Roman"/>
                <w:b/>
                <w:bCs/>
                <w:color w:val="auto"/>
                <w:sz w:val="21"/>
                <w:szCs w:val="21"/>
              </w:rPr>
              <w:t>t/a</w:t>
            </w:r>
            <w:r>
              <w:rPr>
                <w:rFonts w:hint="default" w:ascii="Times New Roman" w:hAnsi="Times New Roman" w:cs="Times New Roman"/>
                <w:b/>
                <w:bCs/>
                <w:color w:val="auto"/>
                <w:sz w:val="21"/>
                <w:szCs w:val="21"/>
              </w:rPr>
              <w:t>）</w:t>
            </w:r>
          </w:p>
        </w:tc>
      </w:tr>
      <w:tr>
        <w:tblPrEx>
          <w:tblCellMar>
            <w:top w:w="0" w:type="dxa"/>
            <w:left w:w="0" w:type="dxa"/>
            <w:bottom w:w="0" w:type="dxa"/>
            <w:right w:w="0" w:type="dxa"/>
          </w:tblCellMar>
        </w:tblPrEx>
        <w:trPr>
          <w:trHeight w:val="639" w:hRule="exact"/>
        </w:trPr>
        <w:tc>
          <w:tcPr>
            <w:tcW w:w="701"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53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防疫</w:t>
            </w:r>
          </w:p>
        </w:tc>
        <w:tc>
          <w:tcPr>
            <w:tcW w:w="1419"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医疗固废</w:t>
            </w:r>
          </w:p>
        </w:tc>
        <w:tc>
          <w:tcPr>
            <w:tcW w:w="1196"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（HW01）</w:t>
            </w:r>
          </w:p>
        </w:tc>
        <w:tc>
          <w:tcPr>
            <w:tcW w:w="93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0.045</w:t>
            </w:r>
          </w:p>
        </w:tc>
        <w:tc>
          <w:tcPr>
            <w:tcW w:w="221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定期交由有资质单位</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处理</w:t>
            </w: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CellMar>
            <w:top w:w="0" w:type="dxa"/>
            <w:left w:w="0" w:type="dxa"/>
            <w:bottom w:w="0" w:type="dxa"/>
            <w:right w:w="0" w:type="dxa"/>
          </w:tblCellMar>
        </w:tblPrEx>
        <w:trPr>
          <w:trHeight w:val="1246" w:hRule="exact"/>
        </w:trPr>
        <w:tc>
          <w:tcPr>
            <w:tcW w:w="701"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53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养殖</w:t>
            </w:r>
          </w:p>
        </w:tc>
        <w:tc>
          <w:tcPr>
            <w:tcW w:w="1419"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病死猪</w:t>
            </w:r>
          </w:p>
        </w:tc>
        <w:tc>
          <w:tcPr>
            <w:tcW w:w="1196"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（HW01）</w:t>
            </w:r>
          </w:p>
        </w:tc>
        <w:tc>
          <w:tcPr>
            <w:tcW w:w="93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21.36</w:t>
            </w:r>
          </w:p>
        </w:tc>
        <w:tc>
          <w:tcPr>
            <w:tcW w:w="221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在厂区内无害化处理后，残渣作为有机肥</w:t>
            </w:r>
            <w:r>
              <w:rPr>
                <w:rFonts w:hint="default" w:ascii="Times New Roman" w:hAnsi="Times New Roman" w:cs="Times New Roman"/>
                <w:color w:val="auto"/>
                <w:sz w:val="21"/>
                <w:szCs w:val="21"/>
                <w:lang w:eastAsia="zh-CN"/>
              </w:rPr>
              <w:t>基料</w:t>
            </w:r>
            <w:r>
              <w:rPr>
                <w:rFonts w:hint="default" w:ascii="Times New Roman" w:hAnsi="Times New Roman" w:cs="Times New Roman"/>
                <w:color w:val="auto"/>
                <w:sz w:val="21"/>
                <w:szCs w:val="21"/>
              </w:rPr>
              <w:t>外售</w:t>
            </w: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CellMar>
            <w:top w:w="0" w:type="dxa"/>
            <w:left w:w="0" w:type="dxa"/>
            <w:bottom w:w="0" w:type="dxa"/>
            <w:right w:w="0" w:type="dxa"/>
          </w:tblCellMar>
        </w:tblPrEx>
        <w:trPr>
          <w:trHeight w:val="639" w:hRule="exact"/>
        </w:trPr>
        <w:tc>
          <w:tcPr>
            <w:tcW w:w="701" w:type="dxa"/>
            <w:tcBorders>
              <w:top w:val="single" w:color="000000" w:sz="6" w:space="0"/>
              <w:left w:val="nil"/>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53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固液分离</w:t>
            </w:r>
          </w:p>
        </w:tc>
        <w:tc>
          <w:tcPr>
            <w:tcW w:w="1419"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猪粪</w:t>
            </w:r>
          </w:p>
        </w:tc>
        <w:tc>
          <w:tcPr>
            <w:tcW w:w="1196"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w:t>
            </w:r>
          </w:p>
        </w:tc>
        <w:tc>
          <w:tcPr>
            <w:tcW w:w="93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1353.86</w:t>
            </w:r>
          </w:p>
        </w:tc>
        <w:tc>
          <w:tcPr>
            <w:tcW w:w="221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经发酵后作为制有机</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肥</w:t>
            </w:r>
            <w:r>
              <w:rPr>
                <w:rFonts w:hint="default" w:ascii="Times New Roman" w:hAnsi="Times New Roman" w:cs="Times New Roman"/>
                <w:color w:val="auto"/>
                <w:sz w:val="21"/>
                <w:szCs w:val="21"/>
                <w:lang w:eastAsia="zh-CN"/>
              </w:rPr>
              <w:t>基料</w:t>
            </w:r>
            <w:r>
              <w:rPr>
                <w:rFonts w:hint="default" w:ascii="Times New Roman" w:hAnsi="Times New Roman" w:cs="Times New Roman"/>
                <w:color w:val="auto"/>
                <w:sz w:val="21"/>
                <w:szCs w:val="21"/>
              </w:rPr>
              <w:t>外售</w:t>
            </w: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CellMar>
            <w:top w:w="0" w:type="dxa"/>
            <w:left w:w="0" w:type="dxa"/>
            <w:bottom w:w="0" w:type="dxa"/>
            <w:right w:w="0" w:type="dxa"/>
          </w:tblCellMar>
        </w:tblPrEx>
        <w:trPr>
          <w:trHeight w:val="355" w:hRule="exact"/>
        </w:trPr>
        <w:tc>
          <w:tcPr>
            <w:tcW w:w="701"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53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沼气脱硫装置</w:t>
            </w:r>
          </w:p>
        </w:tc>
        <w:tc>
          <w:tcPr>
            <w:tcW w:w="1419"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废脱硫剂</w:t>
            </w:r>
          </w:p>
        </w:tc>
        <w:tc>
          <w:tcPr>
            <w:tcW w:w="1196"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w:t>
            </w:r>
          </w:p>
        </w:tc>
        <w:tc>
          <w:tcPr>
            <w:tcW w:w="93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0.16</w:t>
            </w:r>
          </w:p>
        </w:tc>
        <w:tc>
          <w:tcPr>
            <w:tcW w:w="221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生产厂家统一回收处置</w:t>
            </w: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CellMar>
            <w:top w:w="0" w:type="dxa"/>
            <w:left w:w="0" w:type="dxa"/>
            <w:bottom w:w="0" w:type="dxa"/>
            <w:right w:w="0" w:type="dxa"/>
          </w:tblCellMar>
        </w:tblPrEx>
        <w:trPr>
          <w:trHeight w:val="355" w:hRule="exact"/>
        </w:trPr>
        <w:tc>
          <w:tcPr>
            <w:tcW w:w="701" w:type="dxa"/>
            <w:tcBorders>
              <w:top w:val="single" w:color="000000" w:sz="6" w:space="0"/>
              <w:left w:val="nil"/>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53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职工生活</w:t>
            </w:r>
          </w:p>
        </w:tc>
        <w:tc>
          <w:tcPr>
            <w:tcW w:w="1419"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1196"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w:t>
            </w:r>
          </w:p>
        </w:tc>
        <w:tc>
          <w:tcPr>
            <w:tcW w:w="93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5.475</w:t>
            </w:r>
          </w:p>
        </w:tc>
        <w:tc>
          <w:tcPr>
            <w:tcW w:w="221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送交环卫部门处理</w:t>
            </w: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r>
      <w:tr>
        <w:tblPrEx>
          <w:tblCellMar>
            <w:top w:w="0" w:type="dxa"/>
            <w:left w:w="0" w:type="dxa"/>
            <w:bottom w:w="0" w:type="dxa"/>
            <w:right w:w="0" w:type="dxa"/>
          </w:tblCellMar>
        </w:tblPrEx>
        <w:trPr>
          <w:trHeight w:val="625" w:hRule="exact"/>
        </w:trPr>
        <w:tc>
          <w:tcPr>
            <w:tcW w:w="701" w:type="dxa"/>
            <w:tcBorders>
              <w:top w:val="single" w:color="000000" w:sz="6" w:space="0"/>
              <w:left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w:t>
            </w:r>
          </w:p>
        </w:tc>
        <w:tc>
          <w:tcPr>
            <w:tcW w:w="1533"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无害化处理</w:t>
            </w:r>
          </w:p>
        </w:tc>
        <w:tc>
          <w:tcPr>
            <w:tcW w:w="1419"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废导热油</w:t>
            </w:r>
          </w:p>
        </w:tc>
        <w:tc>
          <w:tcPr>
            <w:tcW w:w="1196"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危险废物</w:t>
            </w:r>
          </w:p>
          <w:p>
            <w:pPr>
              <w:keepNext w:val="0"/>
              <w:keepLines w:val="0"/>
              <w:widowControl/>
              <w:suppressLineNumbers w:val="0"/>
              <w:ind w:left="0" w:leftChars="0" w:firstLine="0" w:firstLineChars="0"/>
              <w:jc w:val="center"/>
              <w:rPr>
                <w:rFonts w:hint="default" w:ascii="Times New Roman" w:hAnsi="Times New Roman" w:cs="Times New Roman"/>
                <w:color w:val="auto"/>
              </w:rPr>
            </w:pPr>
            <w:r>
              <w:rPr>
                <w:rFonts w:hint="default" w:ascii="Times New Roman" w:hAnsi="Times New Roman" w:eastAsia="宋体" w:cs="Times New Roman"/>
                <w:color w:val="auto"/>
                <w:kern w:val="0"/>
                <w:sz w:val="20"/>
                <w:szCs w:val="20"/>
                <w:lang w:val="en-US" w:eastAsia="zh-CN" w:bidi="ar"/>
              </w:rPr>
              <w:t>（</w:t>
            </w:r>
            <w:r>
              <w:rPr>
                <w:rFonts w:hint="default" w:ascii="Times New Roman" w:hAnsi="Times New Roman" w:eastAsia="TimesNewRomanPSMT" w:cs="Times New Roman"/>
                <w:color w:val="auto"/>
                <w:kern w:val="0"/>
                <w:sz w:val="20"/>
                <w:szCs w:val="20"/>
                <w:lang w:val="en-US" w:eastAsia="zh-CN" w:bidi="ar"/>
              </w:rPr>
              <w:t>HW08</w:t>
            </w:r>
            <w:r>
              <w:rPr>
                <w:rFonts w:hint="default" w:ascii="Times New Roman" w:hAnsi="Times New Roman" w:eastAsia="宋体" w:cs="Times New Roman"/>
                <w:color w:val="auto"/>
                <w:kern w:val="0"/>
                <w:sz w:val="20"/>
                <w:szCs w:val="20"/>
                <w:lang w:val="en-US" w:eastAsia="zh-CN" w:bidi="ar"/>
              </w:rPr>
              <w:t>）</w:t>
            </w:r>
          </w:p>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rPr>
            </w:pPr>
          </w:p>
        </w:tc>
        <w:tc>
          <w:tcPr>
            <w:tcW w:w="930"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0.125</w:t>
            </w:r>
          </w:p>
        </w:tc>
        <w:tc>
          <w:tcPr>
            <w:tcW w:w="2213" w:type="dxa"/>
            <w:tcBorders>
              <w:top w:val="single" w:color="000000" w:sz="6" w:space="0"/>
              <w:left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定期交由有资质单位</w:t>
            </w:r>
          </w:p>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处理</w:t>
            </w:r>
          </w:p>
        </w:tc>
        <w:tc>
          <w:tcPr>
            <w:tcW w:w="954" w:type="dxa"/>
            <w:tcBorders>
              <w:top w:val="single" w:color="000000" w:sz="6" w:space="0"/>
              <w:left w:val="single" w:color="000000" w:sz="6" w:space="0"/>
              <w:bottom w:val="single" w:color="000000" w:sz="6" w:space="0"/>
              <w:right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w:t>
            </w:r>
          </w:p>
        </w:tc>
      </w:tr>
      <w:tr>
        <w:tblPrEx>
          <w:tblCellMar>
            <w:top w:w="0" w:type="dxa"/>
            <w:left w:w="0" w:type="dxa"/>
            <w:bottom w:w="0" w:type="dxa"/>
            <w:right w:w="0" w:type="dxa"/>
          </w:tblCellMar>
        </w:tblPrEx>
        <w:trPr>
          <w:trHeight w:val="625" w:hRule="exact"/>
        </w:trPr>
        <w:tc>
          <w:tcPr>
            <w:tcW w:w="701" w:type="dxa"/>
            <w:tcBorders>
              <w:top w:val="single" w:color="000000" w:sz="6" w:space="0"/>
              <w:left w:val="nil"/>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153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b/>
                <w:bCs/>
                <w:color w:val="auto"/>
                <w:sz w:val="21"/>
                <w:szCs w:val="21"/>
                <w:u w:val="single"/>
                <w:lang w:val="en-US" w:eastAsia="zh-CN"/>
              </w:rPr>
            </w:pPr>
            <w:r>
              <w:rPr>
                <w:rFonts w:hint="default" w:ascii="Times New Roman" w:hAnsi="Times New Roman" w:cs="Times New Roman"/>
                <w:b/>
                <w:bCs/>
                <w:color w:val="auto"/>
                <w:sz w:val="21"/>
                <w:szCs w:val="21"/>
                <w:u w:val="single"/>
              </w:rPr>
              <w:t>无害化处理</w:t>
            </w:r>
          </w:p>
        </w:tc>
        <w:tc>
          <w:tcPr>
            <w:tcW w:w="1419"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b/>
                <w:bCs/>
                <w:color w:val="auto"/>
                <w:sz w:val="21"/>
                <w:szCs w:val="21"/>
                <w:u w:val="single"/>
                <w:lang w:val="en-US" w:eastAsia="zh-CN"/>
              </w:rPr>
            </w:pPr>
            <w:r>
              <w:rPr>
                <w:rFonts w:hint="default" w:ascii="Times New Roman" w:hAnsi="Times New Roman" w:cs="Times New Roman"/>
                <w:b/>
                <w:bCs/>
                <w:color w:val="auto"/>
                <w:sz w:val="21"/>
                <w:szCs w:val="21"/>
                <w:u w:val="single"/>
                <w:lang w:eastAsia="zh-CN"/>
              </w:rPr>
              <w:t>废</w:t>
            </w:r>
            <w:r>
              <w:rPr>
                <w:rFonts w:hint="default" w:ascii="Times New Roman" w:hAnsi="Times New Roman" w:cs="Times New Roman"/>
                <w:b/>
                <w:bCs/>
                <w:color w:val="auto"/>
                <w:sz w:val="21"/>
                <w:szCs w:val="21"/>
                <w:u w:val="single"/>
                <w:lang w:val="en-US" w:eastAsia="zh-CN"/>
              </w:rPr>
              <w:t>UV灯管</w:t>
            </w:r>
          </w:p>
        </w:tc>
        <w:tc>
          <w:tcPr>
            <w:tcW w:w="1196"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危险废物</w:t>
            </w:r>
          </w:p>
          <w:p>
            <w:pPr>
              <w:widowControl/>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kern w:val="0"/>
                <w:sz w:val="20"/>
                <w:szCs w:val="20"/>
                <w:u w:val="single"/>
                <w:lang w:bidi="ar"/>
              </w:rPr>
              <w:t>（</w:t>
            </w:r>
            <w:r>
              <w:rPr>
                <w:rFonts w:hint="default" w:ascii="Times New Roman" w:hAnsi="Times New Roman" w:eastAsia="TimesNewRomanPSMT" w:cs="Times New Roman"/>
                <w:b/>
                <w:bCs/>
                <w:color w:val="auto"/>
                <w:kern w:val="0"/>
                <w:sz w:val="20"/>
                <w:szCs w:val="20"/>
                <w:u w:val="single"/>
                <w:lang w:bidi="ar"/>
              </w:rPr>
              <w:t>HW</w:t>
            </w:r>
            <w:r>
              <w:rPr>
                <w:rFonts w:hint="default" w:ascii="Times New Roman" w:hAnsi="Times New Roman" w:cs="Times New Roman"/>
                <w:b/>
                <w:bCs/>
                <w:color w:val="auto"/>
                <w:kern w:val="0"/>
                <w:sz w:val="20"/>
                <w:szCs w:val="20"/>
                <w:u w:val="single"/>
                <w:lang w:val="en-US" w:eastAsia="zh-CN" w:bidi="ar"/>
              </w:rPr>
              <w:t>29</w:t>
            </w:r>
            <w:r>
              <w:rPr>
                <w:rFonts w:hint="default" w:ascii="Times New Roman" w:hAnsi="Times New Roman" w:cs="Times New Roman"/>
                <w:b/>
                <w:bCs/>
                <w:color w:val="auto"/>
                <w:kern w:val="0"/>
                <w:sz w:val="20"/>
                <w:szCs w:val="20"/>
                <w:u w:val="single"/>
                <w:lang w:bidi="ar"/>
              </w:rPr>
              <w:t>）</w:t>
            </w:r>
          </w:p>
        </w:tc>
        <w:tc>
          <w:tcPr>
            <w:tcW w:w="930"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b/>
                <w:bCs/>
                <w:color w:val="auto"/>
                <w:sz w:val="21"/>
                <w:szCs w:val="21"/>
                <w:u w:val="single"/>
                <w:lang w:val="en-US" w:eastAsia="zh-CN"/>
              </w:rPr>
            </w:pPr>
            <w:r>
              <w:rPr>
                <w:rFonts w:hint="default" w:ascii="Times New Roman" w:hAnsi="Times New Roman" w:cs="Times New Roman"/>
                <w:b/>
                <w:bCs/>
                <w:color w:val="auto"/>
                <w:sz w:val="21"/>
                <w:szCs w:val="21"/>
                <w:u w:val="single"/>
                <w:lang w:val="en-US" w:eastAsia="zh-CN"/>
              </w:rPr>
              <w:t>0.01</w:t>
            </w:r>
          </w:p>
        </w:tc>
        <w:tc>
          <w:tcPr>
            <w:tcW w:w="2213" w:type="dxa"/>
            <w:tcBorders>
              <w:top w:val="single" w:color="000000" w:sz="6" w:space="0"/>
              <w:left w:val="single" w:color="000000" w:sz="6" w:space="0"/>
              <w:bottom w:val="single" w:color="000000" w:sz="6" w:space="0"/>
              <w:right w:val="single" w:color="000000" w:sz="6" w:space="0"/>
            </w:tcBorders>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定期交由有资质单位</w:t>
            </w:r>
          </w:p>
          <w:p>
            <w:pPr>
              <w:spacing w:line="240" w:lineRule="auto"/>
              <w:ind w:firstLine="0" w:firstLineChars="0"/>
              <w:jc w:val="center"/>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cs="Times New Roman"/>
                <w:b/>
                <w:bCs/>
                <w:color w:val="auto"/>
                <w:sz w:val="21"/>
                <w:szCs w:val="21"/>
                <w:u w:val="single"/>
              </w:rPr>
              <w:t>处理</w:t>
            </w:r>
          </w:p>
        </w:tc>
        <w:tc>
          <w:tcPr>
            <w:tcW w:w="954" w:type="dxa"/>
            <w:tcBorders>
              <w:top w:val="single" w:color="000000" w:sz="6" w:space="0"/>
              <w:left w:val="single" w:color="000000" w:sz="6" w:space="0"/>
              <w:bottom w:val="single" w:color="000000" w:sz="6" w:space="0"/>
              <w:right w:val="nil"/>
            </w:tcBorders>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w:t>
            </w:r>
          </w:p>
        </w:tc>
      </w:tr>
    </w:tbl>
    <w:p>
      <w:pPr>
        <w:tabs>
          <w:tab w:val="left" w:pos="5625"/>
        </w:tabs>
        <w:spacing w:beforeLines="50" w:afterLines="30"/>
        <w:ind w:firstLine="480"/>
        <w:outlineLvl w:val="3"/>
        <w:rPr>
          <w:rFonts w:hint="default" w:ascii="Times New Roman" w:hAnsi="Times New Roman" w:cs="Times New Roman"/>
          <w:color w:val="auto"/>
        </w:rPr>
      </w:pPr>
      <w:r>
        <w:rPr>
          <w:rFonts w:hint="default" w:ascii="Times New Roman" w:hAnsi="Times New Roman" w:cs="Times New Roman"/>
          <w:color w:val="auto"/>
        </w:rPr>
        <w:t>6.2.6.2固体废物暂存措施</w:t>
      </w:r>
    </w:p>
    <w:p>
      <w:pPr>
        <w:ind w:firstLine="480"/>
        <w:rPr>
          <w:rFonts w:hint="default" w:ascii="Times New Roman" w:hAnsi="Times New Roman" w:cs="Times New Roman"/>
          <w:color w:val="auto"/>
        </w:rPr>
      </w:pPr>
      <w:r>
        <w:rPr>
          <w:rFonts w:hint="default" w:ascii="Times New Roman" w:hAnsi="Times New Roman" w:cs="Times New Roman"/>
          <w:color w:val="auto"/>
        </w:rPr>
        <w:t>本项目产生的固体废物主要是一般工业固体废物和危险固体废物。固体废物的暂存措施如下：</w:t>
      </w:r>
    </w:p>
    <w:p>
      <w:pPr>
        <w:ind w:firstLine="480"/>
        <w:rPr>
          <w:rFonts w:hint="default" w:ascii="Times New Roman" w:hAnsi="Times New Roman" w:cs="Times New Roman"/>
          <w:color w:val="auto"/>
        </w:rPr>
      </w:pPr>
      <w:r>
        <w:rPr>
          <w:rFonts w:hint="default" w:ascii="Times New Roman" w:hAnsi="Times New Roman" w:cs="Times New Roman"/>
          <w:color w:val="auto"/>
        </w:rPr>
        <w:t>（1）一般工业固体废物</w:t>
      </w:r>
    </w:p>
    <w:p>
      <w:pPr>
        <w:ind w:firstLine="480"/>
        <w:rPr>
          <w:rFonts w:hint="default" w:ascii="Times New Roman" w:hAnsi="Times New Roman" w:cs="Times New Roman"/>
          <w:color w:val="auto"/>
        </w:rPr>
      </w:pPr>
      <w:r>
        <w:rPr>
          <w:rFonts w:hint="default" w:ascii="Times New Roman" w:hAnsi="Times New Roman" w:cs="Times New Roman"/>
          <w:color w:val="auto"/>
        </w:rPr>
        <w:t>根据《中华人民共和国固体废物污染环境防治法》要求，评价建议对一般固体废物设置1个规范的临时堆存场地，占地面积40m</w:t>
      </w:r>
      <w:r>
        <w:rPr>
          <w:rFonts w:hint="default" w:ascii="Times New Roman" w:hAnsi="Times New Roman" w:cs="Times New Roman"/>
          <w:color w:val="auto"/>
          <w:vertAlign w:val="superscript"/>
        </w:rPr>
        <w:t>2</w:t>
      </w:r>
      <w:r>
        <w:rPr>
          <w:rFonts w:hint="default" w:ascii="Times New Roman" w:hAnsi="Times New Roman" w:cs="Times New Roman"/>
          <w:color w:val="auto"/>
        </w:rPr>
        <w:t>，用以暂存废脱硫剂和生活垃圾等，按照《一般工业固体废物贮存、处置场污染控制标准》（GB18599-2001）中相应规定，必须采取防扬撒、防流失、防渗漏等三防措施，进行地面硬化，设顶棚和围挡，避免雨水进入，地基加高10cm，达到三防要求。</w:t>
      </w:r>
    </w:p>
    <w:p>
      <w:pPr>
        <w:tabs>
          <w:tab w:val="left" w:pos="2610"/>
        </w:tabs>
        <w:ind w:firstLine="480"/>
        <w:rPr>
          <w:rFonts w:hint="default" w:ascii="Times New Roman" w:hAnsi="Times New Roman" w:cs="Times New Roman"/>
          <w:color w:val="auto"/>
        </w:rPr>
      </w:pPr>
      <w:r>
        <w:rPr>
          <w:rFonts w:hint="default" w:ascii="Times New Roman" w:hAnsi="Times New Roman" w:cs="Times New Roman"/>
          <w:color w:val="auto"/>
        </w:rPr>
        <w:t>（2）危险固体废物</w:t>
      </w:r>
      <w:r>
        <w:rPr>
          <w:rFonts w:hint="default" w:ascii="Times New Roman" w:hAnsi="Times New Roman" w:cs="Times New Roman"/>
          <w:color w:val="auto"/>
        </w:rPr>
        <w:tab/>
      </w:r>
    </w:p>
    <w:p>
      <w:pPr>
        <w:ind w:firstLine="480"/>
        <w:rPr>
          <w:rFonts w:hint="default" w:ascii="Times New Roman" w:hAnsi="Times New Roman" w:cs="Times New Roman"/>
          <w:color w:val="auto"/>
        </w:rPr>
      </w:pPr>
      <w:r>
        <w:rPr>
          <w:rFonts w:hint="default" w:ascii="Times New Roman" w:hAnsi="Times New Roman" w:cs="Times New Roman"/>
          <w:color w:val="auto"/>
        </w:rPr>
        <w:t>本项目在场区设置暂存间1个，占地面积为20m</w:t>
      </w:r>
      <w:r>
        <w:rPr>
          <w:rFonts w:hint="default" w:ascii="Times New Roman" w:hAnsi="Times New Roman" w:cs="Times New Roman"/>
          <w:color w:val="auto"/>
          <w:vertAlign w:val="superscript"/>
        </w:rPr>
        <w:t>2</w:t>
      </w:r>
      <w:r>
        <w:rPr>
          <w:rFonts w:hint="default" w:ascii="Times New Roman" w:hAnsi="Times New Roman" w:cs="Times New Roman"/>
          <w:color w:val="auto"/>
        </w:rPr>
        <w:t>，用于收集、暂存养猪过程产生的医疗废物，</w:t>
      </w:r>
      <w:r>
        <w:rPr>
          <w:rFonts w:hint="default" w:ascii="Times New Roman" w:hAnsi="Times New Roman" w:cs="Times New Roman"/>
          <w:color w:val="auto"/>
          <w:spacing w:val="2"/>
        </w:rPr>
        <w:t>另设置病</w:t>
      </w:r>
      <w:r>
        <w:rPr>
          <w:rFonts w:hint="default" w:ascii="Times New Roman" w:hAnsi="Times New Roman" w:cs="Times New Roman"/>
          <w:color w:val="auto"/>
        </w:rPr>
        <w:t>死</w:t>
      </w:r>
      <w:r>
        <w:rPr>
          <w:rFonts w:hint="default" w:ascii="Times New Roman" w:hAnsi="Times New Roman" w:cs="Times New Roman"/>
          <w:color w:val="auto"/>
          <w:spacing w:val="2"/>
        </w:rPr>
        <w:t>猪暂存</w:t>
      </w:r>
      <w:r>
        <w:rPr>
          <w:rFonts w:hint="default" w:ascii="Times New Roman" w:hAnsi="Times New Roman" w:cs="Times New Roman"/>
          <w:color w:val="auto"/>
        </w:rPr>
        <w:t>间</w:t>
      </w:r>
      <w:r>
        <w:rPr>
          <w:rFonts w:hint="default" w:ascii="Times New Roman" w:hAnsi="Times New Roman" w:eastAsia="Times New Roman" w:cs="Times New Roman"/>
          <w:color w:val="auto"/>
        </w:rPr>
        <w:t>1</w:t>
      </w:r>
      <w:r>
        <w:rPr>
          <w:rFonts w:hint="default" w:ascii="Times New Roman" w:hAnsi="Times New Roman" w:cs="Times New Roman"/>
          <w:color w:val="auto"/>
          <w:spacing w:val="2"/>
        </w:rPr>
        <w:t>个，占地</w:t>
      </w:r>
      <w:r>
        <w:rPr>
          <w:rFonts w:hint="default" w:ascii="Times New Roman" w:hAnsi="Times New Roman" w:cs="Times New Roman"/>
          <w:color w:val="auto"/>
        </w:rPr>
        <w:t>面积</w:t>
      </w:r>
      <w:r>
        <w:rPr>
          <w:rFonts w:hint="default" w:ascii="Times New Roman" w:hAnsi="Times New Roman" w:eastAsia="Times New Roman" w:cs="Times New Roman"/>
          <w:color w:val="auto"/>
        </w:rPr>
        <w:t>30</w:t>
      </w:r>
      <w:r>
        <w:rPr>
          <w:rFonts w:hint="default" w:ascii="Times New Roman" w:hAnsi="Times New Roman" w:eastAsia="Times New Roman" w:cs="Times New Roman"/>
          <w:color w:val="auto"/>
          <w:w w:val="99"/>
        </w:rPr>
        <w:t>m</w:t>
      </w:r>
      <w:r>
        <w:rPr>
          <w:rFonts w:hint="default" w:ascii="Times New Roman" w:hAnsi="Times New Roman" w:cs="Times New Roman"/>
          <w:color w:val="auto"/>
          <w:w w:val="99"/>
          <w:vertAlign w:val="superscript"/>
        </w:rPr>
        <w:t>2</w:t>
      </w:r>
      <w:r>
        <w:rPr>
          <w:rFonts w:hint="default" w:ascii="Times New Roman" w:hAnsi="Times New Roman" w:cs="Times New Roman"/>
          <w:color w:val="auto"/>
          <w:w w:val="99"/>
        </w:rPr>
        <w:t>。</w:t>
      </w:r>
      <w:r>
        <w:rPr>
          <w:rFonts w:hint="default" w:ascii="Times New Roman" w:hAnsi="Times New Roman" w:cs="Times New Roman"/>
          <w:color w:val="auto"/>
        </w:rPr>
        <w:t>危废暂存间须满足《危险废物贮存污染控制标准》（GB18597-2001）要求：危废临时贮存间的混凝土基础做防渗处理，防渗层采用2mm厚的防渗材料，保证渗透系数≤10</w:t>
      </w:r>
      <w:r>
        <w:rPr>
          <w:rFonts w:hint="default" w:ascii="Times New Roman" w:hAnsi="Times New Roman" w:cs="Times New Roman"/>
          <w:color w:val="auto"/>
          <w:vertAlign w:val="superscript"/>
        </w:rPr>
        <w:t>-10</w:t>
      </w:r>
      <w:r>
        <w:rPr>
          <w:rFonts w:hint="default" w:ascii="Times New Roman" w:hAnsi="Times New Roman" w:cs="Times New Roman"/>
          <w:color w:val="auto"/>
        </w:rPr>
        <w:t>cm/s，并采用环氧漆做防腐防渗处理；危废的贮存场所设置明显标志；贮存场所内禁止混放不相溶危险废物；危废的转移执行国家环保总局第5号令《危险废物转移联单管理办法》。</w:t>
      </w:r>
    </w:p>
    <w:p>
      <w:pPr>
        <w:pStyle w:val="11"/>
        <w:ind w:firstLine="480"/>
        <w:rPr>
          <w:rFonts w:hint="default" w:ascii="Times New Roman" w:hAnsi="Times New Roman" w:cs="Times New Roman"/>
          <w:color w:val="auto"/>
        </w:rPr>
      </w:pPr>
      <w:r>
        <w:rPr>
          <w:rFonts w:hint="default" w:ascii="Times New Roman" w:hAnsi="Times New Roman" w:cs="Times New Roman"/>
          <w:color w:val="auto"/>
        </w:rPr>
        <w:t>项目危险废物废物分类及危害汇总表及建设项目危 险废物贮存场所（设施）基本情况一览表见下表。</w:t>
      </w:r>
    </w:p>
    <w:p>
      <w:pPr>
        <w:tabs>
          <w:tab w:val="left" w:pos="3260"/>
        </w:tabs>
        <w:ind w:firstLine="482"/>
        <w:jc w:val="left"/>
        <w:rPr>
          <w:rFonts w:hint="default" w:ascii="Times New Roman" w:hAnsi="Times New Roman" w:cs="Times New Roman"/>
          <w:color w:val="auto"/>
        </w:rPr>
      </w:pPr>
      <w:r>
        <w:rPr>
          <w:rFonts w:hint="default" w:ascii="Times New Roman" w:hAnsi="Times New Roman" w:cs="Times New Roman"/>
          <w:b/>
          <w:bCs/>
          <w:color w:val="auto"/>
        </w:rPr>
        <w:t>表</w:t>
      </w:r>
      <w:r>
        <w:rPr>
          <w:rFonts w:hint="default" w:ascii="Times New Roman" w:hAnsi="Times New Roman" w:cs="Times New Roman"/>
          <w:b/>
          <w:bCs/>
          <w:color w:val="auto"/>
          <w:spacing w:val="-53"/>
        </w:rPr>
        <w:t xml:space="preserve"> </w:t>
      </w:r>
      <w:r>
        <w:rPr>
          <w:rFonts w:hint="default" w:ascii="Times New Roman" w:hAnsi="Times New Roman" w:eastAsia="Times New Roman" w:cs="Times New Roman"/>
          <w:b/>
          <w:bCs/>
          <w:color w:val="auto"/>
        </w:rPr>
        <w:t>6.2-7</w:t>
      </w:r>
      <w:r>
        <w:rPr>
          <w:rFonts w:hint="default" w:ascii="Times New Roman" w:hAnsi="Times New Roman" w:eastAsia="Times New Roman" w:cs="Times New Roman"/>
          <w:b/>
          <w:bCs/>
          <w:color w:val="auto"/>
        </w:rPr>
        <w:tab/>
      </w:r>
      <w:r>
        <w:rPr>
          <w:rFonts w:hint="default" w:ascii="Times New Roman" w:hAnsi="Times New Roman" w:cs="Times New Roman"/>
          <w:b/>
          <w:bCs/>
          <w:color w:val="auto"/>
        </w:rPr>
        <w:t>项目危险废物分类及危害汇总表</w:t>
      </w:r>
    </w:p>
    <w:tbl>
      <w:tblPr>
        <w:tblStyle w:val="25"/>
        <w:tblW w:w="8945" w:type="dxa"/>
        <w:tblInd w:w="0" w:type="dxa"/>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06"/>
        <w:gridCol w:w="783"/>
        <w:gridCol w:w="1168"/>
        <w:gridCol w:w="836"/>
        <w:gridCol w:w="976"/>
        <w:gridCol w:w="698"/>
        <w:gridCol w:w="734"/>
        <w:gridCol w:w="704"/>
        <w:gridCol w:w="510"/>
        <w:gridCol w:w="698"/>
        <w:gridCol w:w="1032"/>
      </w:tblGrid>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5" w:hRule="exact"/>
        </w:trPr>
        <w:tc>
          <w:tcPr>
            <w:tcW w:w="806"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危险废物名称</w:t>
            </w:r>
          </w:p>
        </w:tc>
        <w:tc>
          <w:tcPr>
            <w:tcW w:w="783"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危险废物类别</w:t>
            </w:r>
          </w:p>
        </w:tc>
        <w:tc>
          <w:tcPr>
            <w:tcW w:w="1168"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危险废物</w:t>
            </w:r>
          </w:p>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代码</w:t>
            </w:r>
          </w:p>
        </w:tc>
        <w:tc>
          <w:tcPr>
            <w:tcW w:w="836"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产生量</w:t>
            </w:r>
          </w:p>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pacing w:val="-10"/>
                <w:sz w:val="21"/>
                <w:szCs w:val="21"/>
                <w:u w:val="single"/>
              </w:rPr>
              <w:t>（</w:t>
            </w:r>
            <w:r>
              <w:rPr>
                <w:rFonts w:hint="default" w:ascii="Times New Roman" w:hAnsi="Times New Roman" w:eastAsia="Times New Roman" w:cs="Times New Roman"/>
                <w:b/>
                <w:bCs/>
                <w:color w:val="auto"/>
                <w:spacing w:val="-10"/>
                <w:sz w:val="21"/>
                <w:szCs w:val="21"/>
                <w:u w:val="single"/>
              </w:rPr>
              <w:t>t/a</w:t>
            </w:r>
            <w:r>
              <w:rPr>
                <w:rFonts w:hint="default" w:ascii="Times New Roman" w:hAnsi="Times New Roman" w:cs="Times New Roman"/>
                <w:b/>
                <w:bCs/>
                <w:color w:val="auto"/>
                <w:spacing w:val="-10"/>
                <w:sz w:val="21"/>
                <w:szCs w:val="21"/>
                <w:u w:val="single"/>
              </w:rPr>
              <w:t>）</w:t>
            </w:r>
          </w:p>
        </w:tc>
        <w:tc>
          <w:tcPr>
            <w:tcW w:w="976"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产生工序</w:t>
            </w:r>
            <w:r>
              <w:rPr>
                <w:rFonts w:hint="default" w:ascii="Times New Roman" w:hAnsi="Times New Roman" w:cs="Times New Roman"/>
                <w:b/>
                <w:bCs/>
                <w:color w:val="auto"/>
                <w:w w:val="99"/>
                <w:sz w:val="21"/>
                <w:szCs w:val="21"/>
                <w:u w:val="single"/>
              </w:rPr>
              <w:t xml:space="preserve"> </w:t>
            </w:r>
            <w:r>
              <w:rPr>
                <w:rFonts w:hint="default" w:ascii="Times New Roman" w:hAnsi="Times New Roman" w:cs="Times New Roman"/>
                <w:b/>
                <w:bCs/>
                <w:color w:val="auto"/>
                <w:sz w:val="21"/>
                <w:szCs w:val="21"/>
                <w:u w:val="single"/>
              </w:rPr>
              <w:t>及装置</w:t>
            </w:r>
          </w:p>
        </w:tc>
        <w:tc>
          <w:tcPr>
            <w:tcW w:w="698"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形态</w:t>
            </w:r>
          </w:p>
        </w:tc>
        <w:tc>
          <w:tcPr>
            <w:tcW w:w="734"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主要</w:t>
            </w:r>
            <w:r>
              <w:rPr>
                <w:rFonts w:hint="default" w:ascii="Times New Roman" w:hAnsi="Times New Roman" w:cs="Times New Roman"/>
                <w:b/>
                <w:bCs/>
                <w:color w:val="auto"/>
                <w:w w:val="99"/>
                <w:sz w:val="21"/>
                <w:szCs w:val="21"/>
                <w:u w:val="single"/>
              </w:rPr>
              <w:t xml:space="preserve"> </w:t>
            </w:r>
            <w:r>
              <w:rPr>
                <w:rFonts w:hint="default" w:ascii="Times New Roman" w:hAnsi="Times New Roman" w:cs="Times New Roman"/>
                <w:b/>
                <w:bCs/>
                <w:color w:val="auto"/>
                <w:sz w:val="21"/>
                <w:szCs w:val="21"/>
                <w:u w:val="single"/>
              </w:rPr>
              <w:t>成分</w:t>
            </w:r>
          </w:p>
        </w:tc>
        <w:tc>
          <w:tcPr>
            <w:tcW w:w="704"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有害</w:t>
            </w:r>
            <w:r>
              <w:rPr>
                <w:rFonts w:hint="default" w:ascii="Times New Roman" w:hAnsi="Times New Roman" w:cs="Times New Roman"/>
                <w:b/>
                <w:bCs/>
                <w:color w:val="auto"/>
                <w:w w:val="99"/>
                <w:sz w:val="21"/>
                <w:szCs w:val="21"/>
                <w:u w:val="single"/>
              </w:rPr>
              <w:t xml:space="preserve"> </w:t>
            </w:r>
            <w:r>
              <w:rPr>
                <w:rFonts w:hint="default" w:ascii="Times New Roman" w:hAnsi="Times New Roman" w:cs="Times New Roman"/>
                <w:b/>
                <w:bCs/>
                <w:color w:val="auto"/>
                <w:sz w:val="21"/>
                <w:szCs w:val="21"/>
                <w:u w:val="single"/>
              </w:rPr>
              <w:t>成分</w:t>
            </w:r>
          </w:p>
        </w:tc>
        <w:tc>
          <w:tcPr>
            <w:tcW w:w="510"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产废</w:t>
            </w:r>
            <w:r>
              <w:rPr>
                <w:rFonts w:hint="default" w:ascii="Times New Roman" w:hAnsi="Times New Roman" w:cs="Times New Roman"/>
                <w:b/>
                <w:bCs/>
                <w:color w:val="auto"/>
                <w:w w:val="99"/>
                <w:sz w:val="21"/>
                <w:szCs w:val="21"/>
                <w:u w:val="single"/>
              </w:rPr>
              <w:t xml:space="preserve"> </w:t>
            </w:r>
            <w:r>
              <w:rPr>
                <w:rFonts w:hint="default" w:ascii="Times New Roman" w:hAnsi="Times New Roman" w:cs="Times New Roman"/>
                <w:b/>
                <w:bCs/>
                <w:color w:val="auto"/>
                <w:sz w:val="21"/>
                <w:szCs w:val="21"/>
                <w:u w:val="single"/>
              </w:rPr>
              <w:t>周期</w:t>
            </w:r>
          </w:p>
        </w:tc>
        <w:tc>
          <w:tcPr>
            <w:tcW w:w="698"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危险</w:t>
            </w:r>
            <w:r>
              <w:rPr>
                <w:rFonts w:hint="default" w:ascii="Times New Roman" w:hAnsi="Times New Roman" w:cs="Times New Roman"/>
                <w:b/>
                <w:bCs/>
                <w:color w:val="auto"/>
                <w:w w:val="99"/>
                <w:sz w:val="21"/>
                <w:szCs w:val="21"/>
                <w:u w:val="single"/>
              </w:rPr>
              <w:t xml:space="preserve"> </w:t>
            </w:r>
            <w:r>
              <w:rPr>
                <w:rFonts w:hint="default" w:ascii="Times New Roman" w:hAnsi="Times New Roman" w:cs="Times New Roman"/>
                <w:b/>
                <w:bCs/>
                <w:color w:val="auto"/>
                <w:sz w:val="21"/>
                <w:szCs w:val="21"/>
                <w:u w:val="single"/>
              </w:rPr>
              <w:t>特性</w:t>
            </w:r>
          </w:p>
        </w:tc>
        <w:tc>
          <w:tcPr>
            <w:tcW w:w="1032"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污染防治</w:t>
            </w:r>
            <w:r>
              <w:rPr>
                <w:rFonts w:hint="default" w:ascii="Times New Roman" w:hAnsi="Times New Roman" w:cs="Times New Roman"/>
                <w:b/>
                <w:bCs/>
                <w:color w:val="auto"/>
                <w:w w:val="99"/>
                <w:sz w:val="21"/>
                <w:szCs w:val="21"/>
                <w:u w:val="single"/>
              </w:rPr>
              <w:t xml:space="preserve"> </w:t>
            </w:r>
            <w:r>
              <w:rPr>
                <w:rFonts w:hint="default" w:ascii="Times New Roman" w:hAnsi="Times New Roman" w:cs="Times New Roman"/>
                <w:b/>
                <w:bCs/>
                <w:color w:val="auto"/>
                <w:sz w:val="21"/>
                <w:szCs w:val="21"/>
                <w:u w:val="single"/>
              </w:rPr>
              <w:t>措施</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10" w:hRule="exact"/>
        </w:trPr>
        <w:tc>
          <w:tcPr>
            <w:tcW w:w="806"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医疗</w:t>
            </w:r>
          </w:p>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固废</w:t>
            </w:r>
          </w:p>
        </w:tc>
        <w:tc>
          <w:tcPr>
            <w:tcW w:w="783"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eastAsia="Times New Roman" w:cs="Times New Roman"/>
                <w:b/>
                <w:bCs/>
                <w:color w:val="auto"/>
                <w:sz w:val="21"/>
                <w:szCs w:val="21"/>
                <w:u w:val="single"/>
              </w:rPr>
            </w:pPr>
            <w:r>
              <w:rPr>
                <w:rFonts w:hint="default" w:ascii="Times New Roman" w:hAnsi="Times New Roman" w:cs="Times New Roman"/>
                <w:b/>
                <w:bCs/>
                <w:color w:val="auto"/>
                <w:sz w:val="21"/>
                <w:u w:val="single"/>
              </w:rPr>
              <w:t>HW01</w:t>
            </w:r>
          </w:p>
        </w:tc>
        <w:tc>
          <w:tcPr>
            <w:tcW w:w="1168"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eastAsia="Times New Roman" w:cs="Times New Roman"/>
                <w:b/>
                <w:bCs/>
                <w:color w:val="auto"/>
                <w:sz w:val="21"/>
                <w:szCs w:val="21"/>
                <w:u w:val="single"/>
              </w:rPr>
            </w:pPr>
            <w:r>
              <w:rPr>
                <w:rFonts w:hint="default" w:ascii="Times New Roman" w:hAnsi="Times New Roman" w:cs="Times New Roman"/>
                <w:b/>
                <w:bCs/>
                <w:color w:val="auto"/>
                <w:sz w:val="21"/>
                <w:u w:val="single"/>
              </w:rPr>
              <w:t>831-002-01</w:t>
            </w:r>
          </w:p>
        </w:tc>
        <w:tc>
          <w:tcPr>
            <w:tcW w:w="836"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u w:val="single"/>
              </w:rPr>
              <w:t>0.045</w:t>
            </w:r>
          </w:p>
        </w:tc>
        <w:tc>
          <w:tcPr>
            <w:tcW w:w="976"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防疫</w:t>
            </w:r>
          </w:p>
        </w:tc>
        <w:tc>
          <w:tcPr>
            <w:tcW w:w="698"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固态</w:t>
            </w:r>
          </w:p>
        </w:tc>
        <w:tc>
          <w:tcPr>
            <w:tcW w:w="734"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塑料、玻璃</w:t>
            </w:r>
          </w:p>
        </w:tc>
        <w:tc>
          <w:tcPr>
            <w:tcW w:w="704"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感染</w:t>
            </w:r>
          </w:p>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病菌</w:t>
            </w:r>
          </w:p>
        </w:tc>
        <w:tc>
          <w:tcPr>
            <w:tcW w:w="510"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eastAsia="Times New Roman" w:cs="Times New Roman"/>
                <w:b/>
                <w:bCs/>
                <w:color w:val="auto"/>
                <w:sz w:val="21"/>
                <w:szCs w:val="21"/>
                <w:u w:val="single"/>
              </w:rPr>
              <w:t>6</w:t>
            </w:r>
            <w:r>
              <w:rPr>
                <w:rFonts w:hint="default" w:ascii="Times New Roman" w:hAnsi="Times New Roman" w:cs="Times New Roman"/>
                <w:b/>
                <w:bCs/>
                <w:color w:val="auto"/>
                <w:sz w:val="21"/>
                <w:szCs w:val="21"/>
                <w:u w:val="single"/>
              </w:rPr>
              <w:t>月</w:t>
            </w:r>
          </w:p>
        </w:tc>
        <w:tc>
          <w:tcPr>
            <w:tcW w:w="698"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eastAsia="Times New Roman" w:cs="Times New Roman"/>
                <w:b/>
                <w:bCs/>
                <w:color w:val="auto"/>
                <w:sz w:val="21"/>
                <w:szCs w:val="21"/>
                <w:u w:val="single"/>
              </w:rPr>
            </w:pPr>
            <w:r>
              <w:rPr>
                <w:rFonts w:hint="default" w:ascii="Times New Roman" w:hAnsi="Times New Roman" w:cs="Times New Roman"/>
                <w:b/>
                <w:bCs/>
                <w:color w:val="auto"/>
                <w:sz w:val="21"/>
                <w:u w:val="single"/>
              </w:rPr>
              <w:t>In</w:t>
            </w:r>
          </w:p>
        </w:tc>
        <w:tc>
          <w:tcPr>
            <w:tcW w:w="1032"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定期委托</w:t>
            </w:r>
          </w:p>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有资质的</w:t>
            </w:r>
          </w:p>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单位安全</w:t>
            </w:r>
          </w:p>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处置</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581" w:hRule="exact"/>
        </w:trPr>
        <w:tc>
          <w:tcPr>
            <w:tcW w:w="806"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病死猪、母猪胎盘</w:t>
            </w:r>
          </w:p>
        </w:tc>
        <w:tc>
          <w:tcPr>
            <w:tcW w:w="783"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eastAsia="Times New Roman" w:cs="Times New Roman"/>
                <w:b/>
                <w:bCs/>
                <w:color w:val="auto"/>
                <w:sz w:val="21"/>
                <w:szCs w:val="21"/>
                <w:u w:val="single"/>
              </w:rPr>
            </w:pPr>
            <w:r>
              <w:rPr>
                <w:rFonts w:hint="default" w:ascii="Times New Roman" w:hAnsi="Times New Roman" w:cs="Times New Roman"/>
                <w:b/>
                <w:bCs/>
                <w:color w:val="auto"/>
                <w:sz w:val="21"/>
                <w:u w:val="single"/>
              </w:rPr>
              <w:t>HW01</w:t>
            </w:r>
          </w:p>
        </w:tc>
        <w:tc>
          <w:tcPr>
            <w:tcW w:w="1168"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eastAsia="Times New Roman" w:cs="Times New Roman"/>
                <w:b/>
                <w:bCs/>
                <w:color w:val="auto"/>
                <w:sz w:val="21"/>
                <w:szCs w:val="21"/>
                <w:u w:val="single"/>
              </w:rPr>
            </w:pPr>
            <w:r>
              <w:rPr>
                <w:rFonts w:hint="default" w:ascii="Times New Roman" w:hAnsi="Times New Roman" w:cs="Times New Roman"/>
                <w:b/>
                <w:bCs/>
                <w:color w:val="auto"/>
                <w:sz w:val="21"/>
                <w:u w:val="single"/>
              </w:rPr>
              <w:t>831-003-01</w:t>
            </w:r>
          </w:p>
        </w:tc>
        <w:tc>
          <w:tcPr>
            <w:tcW w:w="836"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u w:val="single"/>
              </w:rPr>
              <w:t>18.25</w:t>
            </w:r>
          </w:p>
        </w:tc>
        <w:tc>
          <w:tcPr>
            <w:tcW w:w="976"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养殖</w:t>
            </w:r>
          </w:p>
        </w:tc>
        <w:tc>
          <w:tcPr>
            <w:tcW w:w="698"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固态</w:t>
            </w:r>
          </w:p>
        </w:tc>
        <w:tc>
          <w:tcPr>
            <w:tcW w:w="734"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动物尸体</w:t>
            </w:r>
          </w:p>
        </w:tc>
        <w:tc>
          <w:tcPr>
            <w:tcW w:w="704"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感染</w:t>
            </w:r>
            <w:r>
              <w:rPr>
                <w:rFonts w:hint="default" w:ascii="Times New Roman" w:hAnsi="Times New Roman" w:cs="Times New Roman"/>
                <w:b/>
                <w:bCs/>
                <w:color w:val="auto"/>
                <w:w w:val="99"/>
                <w:sz w:val="21"/>
                <w:szCs w:val="21"/>
                <w:u w:val="single"/>
              </w:rPr>
              <w:t xml:space="preserve"> </w:t>
            </w:r>
            <w:r>
              <w:rPr>
                <w:rFonts w:hint="default" w:ascii="Times New Roman" w:hAnsi="Times New Roman" w:cs="Times New Roman"/>
                <w:b/>
                <w:bCs/>
                <w:color w:val="auto"/>
                <w:sz w:val="21"/>
                <w:szCs w:val="21"/>
                <w:u w:val="single"/>
              </w:rPr>
              <w:t>病菌</w:t>
            </w:r>
          </w:p>
        </w:tc>
        <w:tc>
          <w:tcPr>
            <w:tcW w:w="510"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eastAsia="Times New Roman" w:cs="Times New Roman"/>
                <w:b/>
                <w:bCs/>
                <w:color w:val="auto"/>
                <w:sz w:val="21"/>
                <w:szCs w:val="21"/>
                <w:u w:val="single"/>
              </w:rPr>
            </w:pPr>
            <w:r>
              <w:rPr>
                <w:rFonts w:hint="default" w:ascii="Times New Roman" w:hAnsi="Times New Roman" w:cs="Times New Roman"/>
                <w:b/>
                <w:bCs/>
                <w:color w:val="auto"/>
                <w:sz w:val="21"/>
                <w:u w:val="single"/>
              </w:rPr>
              <w:t>1d</w:t>
            </w:r>
          </w:p>
        </w:tc>
        <w:tc>
          <w:tcPr>
            <w:tcW w:w="698"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eastAsia="Times New Roman" w:cs="Times New Roman"/>
                <w:b/>
                <w:bCs/>
                <w:color w:val="auto"/>
                <w:sz w:val="21"/>
                <w:szCs w:val="21"/>
                <w:u w:val="single"/>
              </w:rPr>
            </w:pPr>
            <w:r>
              <w:rPr>
                <w:rFonts w:hint="default" w:ascii="Times New Roman" w:hAnsi="Times New Roman" w:cs="Times New Roman"/>
                <w:b/>
                <w:bCs/>
                <w:color w:val="auto"/>
                <w:sz w:val="21"/>
                <w:u w:val="single"/>
              </w:rPr>
              <w:t>In</w:t>
            </w:r>
          </w:p>
        </w:tc>
        <w:tc>
          <w:tcPr>
            <w:tcW w:w="1032" w:type="dxa"/>
            <w:tcBorders>
              <w:tl2br w:val="nil"/>
              <w:tr2bl w:val="nil"/>
            </w:tcBorders>
            <w:vAlign w:val="center"/>
          </w:tcPr>
          <w:p>
            <w:pPr>
              <w:pStyle w:val="40"/>
              <w:adjustRightInd/>
              <w:snapToGrid/>
              <w:spacing w:line="240" w:lineRule="auto"/>
              <w:ind w:firstLine="0" w:firstLineChars="0"/>
              <w:jc w:val="center"/>
              <w:rPr>
                <w:rFonts w:hint="default" w:ascii="Times New Roman" w:hAnsi="Times New Roman" w:cs="Times New Roman"/>
                <w:b/>
                <w:bCs/>
                <w:color w:val="auto"/>
                <w:spacing w:val="-13"/>
                <w:sz w:val="21"/>
                <w:szCs w:val="21"/>
                <w:u w:val="single"/>
              </w:rPr>
            </w:pPr>
            <w:r>
              <w:rPr>
                <w:rFonts w:hint="default" w:ascii="Times New Roman" w:hAnsi="Times New Roman" w:cs="Times New Roman"/>
                <w:b/>
                <w:bCs/>
                <w:color w:val="auto"/>
                <w:spacing w:val="-13"/>
                <w:sz w:val="21"/>
                <w:szCs w:val="21"/>
                <w:u w:val="single"/>
              </w:rPr>
              <w:t>经高温无</w:t>
            </w:r>
          </w:p>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pacing w:val="-13"/>
                <w:sz w:val="21"/>
                <w:szCs w:val="21"/>
                <w:u w:val="single"/>
              </w:rPr>
              <w:t>害化处理</w:t>
            </w:r>
          </w:p>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pacing w:val="-13"/>
                <w:sz w:val="21"/>
                <w:szCs w:val="21"/>
                <w:u w:val="single"/>
              </w:rPr>
              <w:t>后作为有</w:t>
            </w:r>
            <w:r>
              <w:rPr>
                <w:rFonts w:hint="default" w:ascii="Times New Roman" w:hAnsi="Times New Roman" w:cs="Times New Roman"/>
                <w:b/>
                <w:bCs/>
                <w:color w:val="auto"/>
                <w:w w:val="99"/>
                <w:sz w:val="21"/>
                <w:szCs w:val="21"/>
                <w:u w:val="single"/>
              </w:rPr>
              <w:t xml:space="preserve"> </w:t>
            </w:r>
            <w:r>
              <w:rPr>
                <w:rFonts w:hint="default" w:ascii="Times New Roman" w:hAnsi="Times New Roman" w:cs="Times New Roman"/>
                <w:b/>
                <w:bCs/>
                <w:color w:val="auto"/>
                <w:spacing w:val="-13"/>
                <w:sz w:val="21"/>
                <w:szCs w:val="21"/>
                <w:u w:val="single"/>
              </w:rPr>
              <w:t>机肥原料</w:t>
            </w:r>
          </w:p>
          <w:p>
            <w:pPr>
              <w:pStyle w:val="40"/>
              <w:adjustRightInd/>
              <w:snapToGrid/>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pacing w:val="-8"/>
                <w:sz w:val="21"/>
                <w:szCs w:val="21"/>
                <w:u w:val="single"/>
              </w:rPr>
              <w:t>外售</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61" w:hRule="exact"/>
        </w:trPr>
        <w:tc>
          <w:tcPr>
            <w:tcW w:w="806"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lang w:eastAsia="zh-CN"/>
              </w:rPr>
              <w:t>废导热油</w:t>
            </w:r>
          </w:p>
        </w:tc>
        <w:tc>
          <w:tcPr>
            <w:tcW w:w="783"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auto"/>
                <w:sz w:val="21"/>
                <w:u w:val="single"/>
              </w:rPr>
            </w:pPr>
            <w:r>
              <w:rPr>
                <w:rFonts w:hint="default" w:ascii="Times New Roman" w:hAnsi="Times New Roman" w:cs="Times New Roman"/>
                <w:b/>
                <w:bCs/>
                <w:color w:val="auto"/>
                <w:sz w:val="21"/>
                <w:u w:val="single"/>
                <w:lang w:val="en-US" w:eastAsia="zh-CN"/>
              </w:rPr>
              <w:t>HW08</w:t>
            </w:r>
          </w:p>
        </w:tc>
        <w:tc>
          <w:tcPr>
            <w:tcW w:w="1168"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auto"/>
                <w:sz w:val="21"/>
                <w:u w:val="single"/>
              </w:rPr>
            </w:pPr>
            <w:r>
              <w:rPr>
                <w:rFonts w:hint="default" w:ascii="Times New Roman" w:hAnsi="Times New Roman" w:cs="Times New Roman"/>
                <w:b/>
                <w:bCs/>
                <w:color w:val="auto"/>
                <w:sz w:val="21"/>
                <w:u w:val="single"/>
                <w:lang w:val="en-US" w:eastAsia="zh-CN"/>
              </w:rPr>
              <w:t>900-249-08</w:t>
            </w:r>
          </w:p>
        </w:tc>
        <w:tc>
          <w:tcPr>
            <w:tcW w:w="836"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auto"/>
                <w:sz w:val="21"/>
                <w:u w:val="single"/>
              </w:rPr>
            </w:pPr>
            <w:r>
              <w:rPr>
                <w:rFonts w:hint="default" w:ascii="Times New Roman" w:hAnsi="Times New Roman" w:cs="Times New Roman"/>
                <w:b/>
                <w:bCs/>
                <w:color w:val="auto"/>
                <w:sz w:val="21"/>
                <w:u w:val="single"/>
                <w:lang w:val="en-US" w:eastAsia="zh-CN"/>
              </w:rPr>
              <w:t>0.125</w:t>
            </w:r>
          </w:p>
        </w:tc>
        <w:tc>
          <w:tcPr>
            <w:tcW w:w="976"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lang w:eastAsia="zh-CN"/>
              </w:rPr>
              <w:t>无害化处理机</w:t>
            </w:r>
          </w:p>
        </w:tc>
        <w:tc>
          <w:tcPr>
            <w:tcW w:w="698"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lang w:eastAsia="zh-CN"/>
              </w:rPr>
              <w:t>液态</w:t>
            </w:r>
          </w:p>
        </w:tc>
        <w:tc>
          <w:tcPr>
            <w:tcW w:w="734"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lang w:eastAsia="zh-CN"/>
              </w:rPr>
              <w:t>矿物油</w:t>
            </w:r>
          </w:p>
        </w:tc>
        <w:tc>
          <w:tcPr>
            <w:tcW w:w="704"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lang w:eastAsia="zh-CN"/>
              </w:rPr>
              <w:t>矿物油</w:t>
            </w:r>
          </w:p>
        </w:tc>
        <w:tc>
          <w:tcPr>
            <w:tcW w:w="510"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auto"/>
                <w:sz w:val="21"/>
                <w:u w:val="single"/>
              </w:rPr>
            </w:pPr>
            <w:r>
              <w:rPr>
                <w:rFonts w:hint="default" w:ascii="Times New Roman" w:hAnsi="Times New Roman" w:cs="Times New Roman"/>
                <w:b/>
                <w:bCs/>
                <w:color w:val="auto"/>
                <w:sz w:val="21"/>
                <w:u w:val="single"/>
                <w:lang w:val="en-US" w:eastAsia="zh-CN"/>
              </w:rPr>
              <w:t>2年</w:t>
            </w:r>
          </w:p>
        </w:tc>
        <w:tc>
          <w:tcPr>
            <w:tcW w:w="698"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auto"/>
                <w:sz w:val="21"/>
                <w:u w:val="single"/>
              </w:rPr>
            </w:pPr>
            <w:r>
              <w:rPr>
                <w:rFonts w:hint="default" w:ascii="Times New Roman" w:hAnsi="Times New Roman" w:cs="Times New Roman"/>
                <w:b/>
                <w:bCs/>
                <w:color w:val="auto"/>
                <w:sz w:val="21"/>
                <w:u w:val="single"/>
                <w:lang w:val="en-US" w:eastAsia="zh-CN"/>
              </w:rPr>
              <w:t>T，I</w:t>
            </w:r>
          </w:p>
        </w:tc>
        <w:tc>
          <w:tcPr>
            <w:tcW w:w="1032"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定期委托</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有资质的</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单位安全</w:t>
            </w:r>
          </w:p>
          <w:p>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auto"/>
                <w:spacing w:val="-8"/>
                <w:sz w:val="21"/>
                <w:szCs w:val="21"/>
                <w:u w:val="single"/>
              </w:rPr>
            </w:pPr>
            <w:r>
              <w:rPr>
                <w:rFonts w:hint="default" w:ascii="Times New Roman" w:hAnsi="Times New Roman" w:eastAsia="宋体" w:cs="Times New Roman"/>
                <w:b/>
                <w:bCs/>
                <w:color w:val="auto"/>
                <w:sz w:val="21"/>
                <w:szCs w:val="21"/>
                <w:u w:val="single"/>
              </w:rPr>
              <w:t>处置</w:t>
            </w:r>
          </w:p>
        </w:tc>
      </w:tr>
      <w:tr>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361" w:hRule="exact"/>
        </w:trPr>
        <w:tc>
          <w:tcPr>
            <w:tcW w:w="806" w:type="dxa"/>
            <w:tcBorders>
              <w:tl2br w:val="nil"/>
              <w:tr2bl w:val="nil"/>
            </w:tcBorders>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b/>
                <w:bCs/>
                <w:color w:val="auto"/>
                <w:sz w:val="21"/>
                <w:szCs w:val="21"/>
                <w:u w:val="single"/>
                <w:lang w:val="en-US" w:eastAsia="zh-CN"/>
              </w:rPr>
            </w:pPr>
            <w:r>
              <w:rPr>
                <w:rFonts w:hint="default" w:ascii="Times New Roman" w:hAnsi="Times New Roman" w:cs="Times New Roman"/>
                <w:b/>
                <w:bCs/>
                <w:color w:val="auto"/>
                <w:sz w:val="21"/>
                <w:szCs w:val="21"/>
                <w:u w:val="single"/>
                <w:lang w:eastAsia="zh-CN"/>
              </w:rPr>
              <w:t>废</w:t>
            </w:r>
            <w:r>
              <w:rPr>
                <w:rFonts w:hint="default" w:ascii="Times New Roman" w:hAnsi="Times New Roman" w:cs="Times New Roman"/>
                <w:b/>
                <w:bCs/>
                <w:color w:val="auto"/>
                <w:sz w:val="21"/>
                <w:szCs w:val="21"/>
                <w:u w:val="single"/>
                <w:lang w:val="en-US" w:eastAsia="zh-CN"/>
              </w:rPr>
              <w:t>UV灯管</w:t>
            </w:r>
          </w:p>
        </w:tc>
        <w:tc>
          <w:tcPr>
            <w:tcW w:w="783" w:type="dxa"/>
            <w:tcBorders>
              <w:tl2br w:val="nil"/>
              <w:tr2bl w:val="nil"/>
            </w:tcBorders>
            <w:vAlign w:val="center"/>
          </w:tcPr>
          <w:p>
            <w:pPr>
              <w:pStyle w:val="57"/>
              <w:spacing w:before="0" w:beforeLines="0" w:line="240" w:lineRule="auto"/>
              <w:ind w:firstLine="0" w:firstLineChars="0"/>
              <w:rPr>
                <w:rFonts w:hint="default" w:ascii="Times New Roman" w:hAnsi="Times New Roman" w:eastAsia="宋体" w:cs="Times New Roman"/>
                <w:b/>
                <w:bCs/>
                <w:snapToGrid w:val="0"/>
                <w:color w:val="auto"/>
                <w:kern w:val="0"/>
                <w:sz w:val="21"/>
                <w:szCs w:val="21"/>
                <w:u w:val="single"/>
                <w:lang w:val="en-US" w:eastAsia="zh-CN" w:bidi="ar-SA"/>
              </w:rPr>
            </w:pPr>
            <w:r>
              <w:rPr>
                <w:rFonts w:hint="default" w:ascii="Times New Roman" w:hAnsi="Times New Roman" w:cs="Times New Roman"/>
                <w:b/>
                <w:bCs/>
                <w:color w:val="auto"/>
                <w:sz w:val="21"/>
                <w:szCs w:val="21"/>
                <w:u w:val="single"/>
              </w:rPr>
              <w:t>HW29</w:t>
            </w:r>
          </w:p>
        </w:tc>
        <w:tc>
          <w:tcPr>
            <w:tcW w:w="1168" w:type="dxa"/>
            <w:tcBorders>
              <w:tl2br w:val="nil"/>
              <w:tr2bl w:val="nil"/>
            </w:tcBorders>
            <w:vAlign w:val="center"/>
          </w:tcPr>
          <w:p>
            <w:pPr>
              <w:pStyle w:val="57"/>
              <w:spacing w:before="0" w:beforeLines="0" w:line="240" w:lineRule="auto"/>
              <w:ind w:firstLine="0" w:firstLineChars="0"/>
              <w:rPr>
                <w:rFonts w:hint="default" w:ascii="Times New Roman" w:hAnsi="Times New Roman" w:eastAsia="宋体" w:cs="Times New Roman"/>
                <w:b/>
                <w:bCs/>
                <w:snapToGrid w:val="0"/>
                <w:color w:val="auto"/>
                <w:kern w:val="0"/>
                <w:sz w:val="21"/>
                <w:szCs w:val="21"/>
                <w:u w:val="single"/>
                <w:lang w:val="en-US" w:eastAsia="zh-CN" w:bidi="ar-SA"/>
              </w:rPr>
            </w:pPr>
            <w:r>
              <w:rPr>
                <w:rFonts w:hint="default" w:ascii="Times New Roman" w:hAnsi="Times New Roman" w:cs="Times New Roman"/>
                <w:b/>
                <w:bCs/>
                <w:color w:val="auto"/>
                <w:sz w:val="21"/>
                <w:szCs w:val="21"/>
                <w:u w:val="single"/>
              </w:rPr>
              <w:t>900-023-29</w:t>
            </w:r>
          </w:p>
        </w:tc>
        <w:tc>
          <w:tcPr>
            <w:tcW w:w="836" w:type="dxa"/>
            <w:tcBorders>
              <w:tl2br w:val="nil"/>
              <w:tr2bl w:val="nil"/>
            </w:tcBorders>
            <w:vAlign w:val="center"/>
          </w:tcPr>
          <w:p>
            <w:pPr>
              <w:pStyle w:val="57"/>
              <w:spacing w:before="0" w:beforeLines="0" w:line="240" w:lineRule="auto"/>
              <w:ind w:firstLine="0" w:firstLineChars="0"/>
              <w:rPr>
                <w:rFonts w:hint="default" w:ascii="Times New Roman" w:hAnsi="Times New Roman" w:eastAsia="宋体" w:cs="Times New Roman"/>
                <w:b/>
                <w:bCs/>
                <w:snapToGrid w:val="0"/>
                <w:color w:val="auto"/>
                <w:kern w:val="0"/>
                <w:sz w:val="21"/>
                <w:szCs w:val="21"/>
                <w:u w:val="single"/>
                <w:lang w:val="en-US" w:eastAsia="zh-CN" w:bidi="ar-SA"/>
              </w:rPr>
            </w:pPr>
            <w:r>
              <w:rPr>
                <w:rFonts w:hint="default" w:ascii="Times New Roman" w:hAnsi="Times New Roman" w:cs="Times New Roman"/>
                <w:b/>
                <w:bCs/>
                <w:color w:val="auto"/>
                <w:sz w:val="21"/>
                <w:szCs w:val="21"/>
                <w:u w:val="single"/>
              </w:rPr>
              <w:t>0.01</w:t>
            </w:r>
          </w:p>
        </w:tc>
        <w:tc>
          <w:tcPr>
            <w:tcW w:w="976" w:type="dxa"/>
            <w:tcBorders>
              <w:tl2br w:val="nil"/>
              <w:tr2bl w:val="nil"/>
            </w:tcBorders>
            <w:vAlign w:val="center"/>
          </w:tcPr>
          <w:p>
            <w:pPr>
              <w:pStyle w:val="57"/>
              <w:spacing w:before="0" w:beforeLines="0" w:line="240" w:lineRule="auto"/>
              <w:ind w:firstLine="0" w:firstLineChars="0"/>
              <w:rPr>
                <w:rFonts w:hint="default" w:ascii="Times New Roman" w:hAnsi="Times New Roman" w:eastAsia="宋体" w:cs="Times New Roman"/>
                <w:b/>
                <w:bCs/>
                <w:snapToGrid w:val="0"/>
                <w:color w:val="auto"/>
                <w:kern w:val="0"/>
                <w:sz w:val="21"/>
                <w:szCs w:val="21"/>
                <w:u w:val="single"/>
                <w:lang w:val="en-US" w:eastAsia="zh-CN" w:bidi="ar-SA"/>
              </w:rPr>
            </w:pPr>
            <w:r>
              <w:rPr>
                <w:rFonts w:hint="default" w:ascii="Times New Roman" w:hAnsi="Times New Roman" w:cs="Times New Roman"/>
                <w:b/>
                <w:bCs/>
                <w:color w:val="auto"/>
                <w:sz w:val="21"/>
                <w:szCs w:val="21"/>
                <w:u w:val="single"/>
              </w:rPr>
              <w:t>废气处理</w:t>
            </w:r>
          </w:p>
        </w:tc>
        <w:tc>
          <w:tcPr>
            <w:tcW w:w="698" w:type="dxa"/>
            <w:tcBorders>
              <w:tl2br w:val="nil"/>
              <w:tr2bl w:val="nil"/>
            </w:tcBorders>
            <w:vAlign w:val="center"/>
          </w:tcPr>
          <w:p>
            <w:pPr>
              <w:pStyle w:val="57"/>
              <w:spacing w:before="0" w:beforeLines="0" w:line="240" w:lineRule="auto"/>
              <w:ind w:firstLine="0" w:firstLineChars="0"/>
              <w:rPr>
                <w:rFonts w:hint="default" w:ascii="Times New Roman" w:hAnsi="Times New Roman" w:eastAsia="宋体" w:cs="Times New Roman"/>
                <w:b/>
                <w:bCs/>
                <w:snapToGrid w:val="0"/>
                <w:color w:val="auto"/>
                <w:kern w:val="0"/>
                <w:sz w:val="21"/>
                <w:szCs w:val="21"/>
                <w:u w:val="single"/>
                <w:lang w:val="en-US" w:eastAsia="zh-CN" w:bidi="ar-SA"/>
              </w:rPr>
            </w:pPr>
            <w:r>
              <w:rPr>
                <w:rFonts w:hint="default" w:ascii="Times New Roman" w:hAnsi="Times New Roman" w:cs="Times New Roman"/>
                <w:b/>
                <w:bCs/>
                <w:color w:val="auto"/>
                <w:sz w:val="21"/>
                <w:szCs w:val="21"/>
                <w:u w:val="single"/>
              </w:rPr>
              <w:t>固态</w:t>
            </w:r>
          </w:p>
        </w:tc>
        <w:tc>
          <w:tcPr>
            <w:tcW w:w="734" w:type="dxa"/>
            <w:tcBorders>
              <w:tl2br w:val="nil"/>
              <w:tr2bl w:val="nil"/>
            </w:tcBorders>
            <w:vAlign w:val="center"/>
          </w:tcPr>
          <w:p>
            <w:pPr>
              <w:pStyle w:val="57"/>
              <w:spacing w:before="0" w:beforeLines="0" w:line="240" w:lineRule="auto"/>
              <w:ind w:firstLine="0" w:firstLineChars="0"/>
              <w:rPr>
                <w:rFonts w:hint="default" w:ascii="Times New Roman" w:hAnsi="Times New Roman" w:eastAsia="宋体" w:cs="Times New Roman"/>
                <w:b/>
                <w:bCs/>
                <w:snapToGrid w:val="0"/>
                <w:color w:val="auto"/>
                <w:kern w:val="0"/>
                <w:sz w:val="21"/>
                <w:szCs w:val="21"/>
                <w:u w:val="single"/>
                <w:lang w:val="en-US" w:eastAsia="zh-CN" w:bidi="ar-SA"/>
              </w:rPr>
            </w:pPr>
            <w:r>
              <w:rPr>
                <w:rFonts w:hint="default" w:ascii="Times New Roman" w:hAnsi="Times New Roman" w:cs="Times New Roman"/>
                <w:b/>
                <w:bCs/>
                <w:color w:val="auto"/>
                <w:sz w:val="21"/>
                <w:szCs w:val="21"/>
                <w:u w:val="single"/>
              </w:rPr>
              <w:t>玻璃</w:t>
            </w:r>
          </w:p>
        </w:tc>
        <w:tc>
          <w:tcPr>
            <w:tcW w:w="704" w:type="dxa"/>
            <w:tcBorders>
              <w:tl2br w:val="nil"/>
              <w:tr2bl w:val="nil"/>
            </w:tcBorders>
            <w:vAlign w:val="center"/>
          </w:tcPr>
          <w:p>
            <w:pPr>
              <w:pStyle w:val="57"/>
              <w:spacing w:before="0" w:beforeLines="0" w:line="240" w:lineRule="auto"/>
              <w:ind w:firstLine="0" w:firstLineChars="0"/>
              <w:rPr>
                <w:rFonts w:hint="default" w:ascii="Times New Roman" w:hAnsi="Times New Roman" w:eastAsia="宋体" w:cs="Times New Roman"/>
                <w:b/>
                <w:bCs/>
                <w:snapToGrid w:val="0"/>
                <w:color w:val="auto"/>
                <w:kern w:val="0"/>
                <w:sz w:val="21"/>
                <w:szCs w:val="21"/>
                <w:u w:val="single"/>
                <w:lang w:val="en-US" w:eastAsia="zh-CN" w:bidi="ar-SA"/>
              </w:rPr>
            </w:pPr>
            <w:r>
              <w:rPr>
                <w:rFonts w:hint="default" w:ascii="Times New Roman" w:hAnsi="Times New Roman" w:cs="Times New Roman"/>
                <w:b/>
                <w:bCs/>
                <w:color w:val="auto"/>
                <w:sz w:val="21"/>
                <w:szCs w:val="21"/>
                <w:u w:val="single"/>
              </w:rPr>
              <w:t>汞</w:t>
            </w:r>
          </w:p>
        </w:tc>
        <w:tc>
          <w:tcPr>
            <w:tcW w:w="510" w:type="dxa"/>
            <w:tcBorders>
              <w:tl2br w:val="nil"/>
              <w:tr2bl w:val="nil"/>
            </w:tcBorders>
            <w:vAlign w:val="center"/>
          </w:tcPr>
          <w:p>
            <w:pPr>
              <w:pStyle w:val="57"/>
              <w:spacing w:before="0" w:beforeLines="0" w:line="240" w:lineRule="auto"/>
              <w:ind w:firstLine="0" w:firstLineChars="0"/>
              <w:rPr>
                <w:rFonts w:hint="default" w:ascii="Times New Roman" w:hAnsi="Times New Roman" w:eastAsia="宋体" w:cs="Times New Roman"/>
                <w:b/>
                <w:bCs/>
                <w:snapToGrid w:val="0"/>
                <w:color w:val="auto"/>
                <w:kern w:val="0"/>
                <w:sz w:val="21"/>
                <w:szCs w:val="21"/>
                <w:u w:val="single"/>
                <w:lang w:val="en-US" w:eastAsia="zh-CN" w:bidi="ar-SA"/>
              </w:rPr>
            </w:pPr>
            <w:r>
              <w:rPr>
                <w:rFonts w:hint="default" w:ascii="Times New Roman" w:hAnsi="Times New Roman" w:cs="Times New Roman"/>
                <w:b/>
                <w:bCs/>
                <w:color w:val="auto"/>
                <w:sz w:val="21"/>
                <w:szCs w:val="21"/>
                <w:u w:val="single"/>
              </w:rPr>
              <w:t>1年</w:t>
            </w:r>
          </w:p>
        </w:tc>
        <w:tc>
          <w:tcPr>
            <w:tcW w:w="698" w:type="dxa"/>
            <w:tcBorders>
              <w:tl2br w:val="nil"/>
              <w:tr2bl w:val="nil"/>
            </w:tcBorders>
            <w:vAlign w:val="center"/>
          </w:tcPr>
          <w:p>
            <w:pPr>
              <w:pStyle w:val="57"/>
              <w:spacing w:before="0" w:beforeLines="0" w:line="240" w:lineRule="auto"/>
              <w:ind w:firstLine="0" w:firstLineChars="0"/>
              <w:rPr>
                <w:rFonts w:hint="default" w:ascii="Times New Roman" w:hAnsi="Times New Roman" w:eastAsia="宋体" w:cs="Times New Roman"/>
                <w:b/>
                <w:bCs/>
                <w:snapToGrid w:val="0"/>
                <w:color w:val="auto"/>
                <w:kern w:val="0"/>
                <w:sz w:val="21"/>
                <w:szCs w:val="21"/>
                <w:u w:val="single"/>
                <w:lang w:val="en-US" w:eastAsia="zh-CN" w:bidi="ar-SA"/>
              </w:rPr>
            </w:pPr>
            <w:r>
              <w:rPr>
                <w:rFonts w:hint="default" w:ascii="Times New Roman" w:hAnsi="Times New Roman" w:cs="Times New Roman"/>
                <w:b/>
                <w:bCs/>
                <w:color w:val="auto"/>
                <w:sz w:val="21"/>
                <w:szCs w:val="21"/>
                <w:u w:val="single"/>
              </w:rPr>
              <w:t>T</w:t>
            </w:r>
          </w:p>
        </w:tc>
        <w:tc>
          <w:tcPr>
            <w:tcW w:w="1032" w:type="dxa"/>
            <w:tcBorders>
              <w:tl2br w:val="nil"/>
              <w:tr2bl w:val="nil"/>
            </w:tcBorders>
            <w:vAlign w:val="center"/>
          </w:tcPr>
          <w:p>
            <w:pPr>
              <w:pStyle w:val="57"/>
              <w:spacing w:before="0" w:beforeLines="0" w:line="240" w:lineRule="auto"/>
              <w:ind w:firstLine="0" w:firstLineChars="0"/>
              <w:rPr>
                <w:rFonts w:hint="default" w:ascii="Times New Roman" w:hAnsi="Times New Roman" w:eastAsia="宋体" w:cs="Times New Roman"/>
                <w:b/>
                <w:bCs/>
                <w:snapToGrid w:val="0"/>
                <w:color w:val="auto"/>
                <w:kern w:val="0"/>
                <w:sz w:val="21"/>
                <w:szCs w:val="21"/>
                <w:u w:val="single"/>
                <w:lang w:val="en-US" w:eastAsia="zh-CN" w:bidi="ar-SA"/>
              </w:rPr>
            </w:pPr>
            <w:r>
              <w:rPr>
                <w:rFonts w:hint="default" w:ascii="Times New Roman" w:hAnsi="Times New Roman" w:cs="Times New Roman"/>
                <w:b/>
                <w:bCs/>
                <w:color w:val="auto"/>
                <w:sz w:val="21"/>
                <w:szCs w:val="21"/>
                <w:u w:val="single"/>
              </w:rPr>
              <w:t>定期委托有资质的单位安全处置</w:t>
            </w:r>
          </w:p>
        </w:tc>
      </w:tr>
    </w:tbl>
    <w:p>
      <w:pPr>
        <w:tabs>
          <w:tab w:val="left" w:pos="2737"/>
        </w:tabs>
        <w:spacing w:before="85"/>
        <w:ind w:left="548" w:right="212" w:firstLine="422"/>
        <w:jc w:val="left"/>
        <w:rPr>
          <w:rFonts w:hint="default" w:ascii="Times New Roman" w:hAnsi="Times New Roman" w:cs="Times New Roman"/>
          <w:b/>
          <w:bCs/>
          <w:color w:val="auto"/>
          <w:sz w:val="10"/>
          <w:szCs w:val="10"/>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pacing w:val="-53"/>
          <w:sz w:val="21"/>
          <w:szCs w:val="21"/>
        </w:rPr>
        <w:t xml:space="preserve"> </w:t>
      </w:r>
      <w:r>
        <w:rPr>
          <w:rFonts w:hint="default" w:ascii="Times New Roman" w:hAnsi="Times New Roman" w:eastAsia="Times New Roman" w:cs="Times New Roman"/>
          <w:b/>
          <w:bCs/>
          <w:color w:val="auto"/>
          <w:sz w:val="21"/>
          <w:szCs w:val="21"/>
        </w:rPr>
        <w:t>6.2-8</w:t>
      </w:r>
      <w:r>
        <w:rPr>
          <w:rFonts w:hint="default" w:ascii="Times New Roman" w:hAnsi="Times New Roman" w:eastAsia="Times New Roman" w:cs="Times New Roman"/>
          <w:b/>
          <w:bCs/>
          <w:color w:val="auto"/>
          <w:sz w:val="21"/>
          <w:szCs w:val="21"/>
        </w:rPr>
        <w:tab/>
      </w:r>
      <w:r>
        <w:rPr>
          <w:rFonts w:hint="default" w:ascii="Times New Roman" w:hAnsi="Times New Roman" w:cs="Times New Roman"/>
          <w:b/>
          <w:bCs/>
          <w:color w:val="auto"/>
          <w:sz w:val="21"/>
          <w:szCs w:val="21"/>
        </w:rPr>
        <w:t>建设项目危险废物贮存场所（设施）基本情况一览表</w:t>
      </w:r>
    </w:p>
    <w:tbl>
      <w:tblPr>
        <w:tblStyle w:val="25"/>
        <w:tblW w:w="8953" w:type="dxa"/>
        <w:tblInd w:w="0" w:type="dxa"/>
        <w:tblLayout w:type="fixed"/>
        <w:tblCellMar>
          <w:top w:w="0" w:type="dxa"/>
          <w:left w:w="0" w:type="dxa"/>
          <w:bottom w:w="0" w:type="dxa"/>
          <w:right w:w="0" w:type="dxa"/>
        </w:tblCellMar>
      </w:tblPr>
      <w:tblGrid>
        <w:gridCol w:w="1242"/>
        <w:gridCol w:w="1138"/>
        <w:gridCol w:w="995"/>
        <w:gridCol w:w="1427"/>
        <w:gridCol w:w="771"/>
        <w:gridCol w:w="790"/>
        <w:gridCol w:w="1043"/>
        <w:gridCol w:w="744"/>
        <w:gridCol w:w="803"/>
      </w:tblGrid>
      <w:tr>
        <w:tblPrEx>
          <w:tblCellMar>
            <w:top w:w="0" w:type="dxa"/>
            <w:left w:w="0" w:type="dxa"/>
            <w:bottom w:w="0" w:type="dxa"/>
            <w:right w:w="0" w:type="dxa"/>
          </w:tblCellMar>
        </w:tblPrEx>
        <w:trPr>
          <w:trHeight w:val="761" w:hRule="exact"/>
        </w:trPr>
        <w:tc>
          <w:tcPr>
            <w:tcW w:w="1242" w:type="dxa"/>
            <w:tcBorders>
              <w:top w:val="single" w:color="000000" w:sz="2" w:space="0"/>
              <w:left w:val="nil"/>
              <w:bottom w:val="single" w:color="000000" w:sz="2" w:space="0"/>
              <w:right w:val="single" w:color="000000" w:sz="2"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贮存场所名称</w:t>
            </w:r>
          </w:p>
        </w:tc>
        <w:tc>
          <w:tcPr>
            <w:tcW w:w="1138" w:type="dxa"/>
            <w:tcBorders>
              <w:top w:val="single" w:color="000000" w:sz="2" w:space="0"/>
              <w:left w:val="single" w:color="000000" w:sz="2" w:space="0"/>
              <w:bottom w:val="single" w:color="000000" w:sz="2" w:space="0"/>
              <w:right w:val="single" w:color="000000" w:sz="2"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危险废物名称</w:t>
            </w:r>
          </w:p>
        </w:tc>
        <w:tc>
          <w:tcPr>
            <w:tcW w:w="995" w:type="dxa"/>
            <w:tcBorders>
              <w:top w:val="single" w:color="000000" w:sz="2" w:space="0"/>
              <w:left w:val="single" w:color="000000" w:sz="2" w:space="0"/>
              <w:bottom w:val="single" w:color="000000" w:sz="2" w:space="0"/>
              <w:right w:val="single" w:color="000000" w:sz="2"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危险废物类别</w:t>
            </w:r>
          </w:p>
        </w:tc>
        <w:tc>
          <w:tcPr>
            <w:tcW w:w="1427" w:type="dxa"/>
            <w:tcBorders>
              <w:top w:val="single" w:color="000000" w:sz="2" w:space="0"/>
              <w:left w:val="single" w:color="000000" w:sz="2" w:space="0"/>
              <w:bottom w:val="single" w:color="000000" w:sz="2" w:space="0"/>
              <w:right w:val="single" w:color="000000" w:sz="2"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危险废物代</w:t>
            </w:r>
            <w:r>
              <w:rPr>
                <w:rFonts w:hint="default" w:ascii="Times New Roman" w:hAnsi="Times New Roman" w:cs="Times New Roman"/>
                <w:b/>
                <w:bCs/>
                <w:color w:val="auto"/>
                <w:w w:val="99"/>
                <w:sz w:val="21"/>
                <w:szCs w:val="21"/>
              </w:rPr>
              <w:t xml:space="preserve"> </w:t>
            </w:r>
            <w:r>
              <w:rPr>
                <w:rFonts w:hint="default" w:ascii="Times New Roman" w:hAnsi="Times New Roman" w:cs="Times New Roman"/>
                <w:b/>
                <w:bCs/>
                <w:color w:val="auto"/>
                <w:sz w:val="21"/>
                <w:szCs w:val="21"/>
              </w:rPr>
              <w:t>码</w:t>
            </w:r>
          </w:p>
        </w:tc>
        <w:tc>
          <w:tcPr>
            <w:tcW w:w="771" w:type="dxa"/>
            <w:tcBorders>
              <w:top w:val="single" w:color="000000" w:sz="2" w:space="0"/>
              <w:left w:val="single" w:color="000000" w:sz="2" w:space="0"/>
              <w:bottom w:val="single" w:color="000000" w:sz="2" w:space="0"/>
              <w:right w:val="single" w:color="000000" w:sz="2"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位置</w:t>
            </w:r>
          </w:p>
        </w:tc>
        <w:tc>
          <w:tcPr>
            <w:tcW w:w="790" w:type="dxa"/>
            <w:tcBorders>
              <w:top w:val="single" w:color="000000" w:sz="2" w:space="0"/>
              <w:left w:val="single" w:color="000000" w:sz="2" w:space="0"/>
              <w:bottom w:val="single" w:color="000000" w:sz="2" w:space="0"/>
              <w:right w:val="single" w:color="000000" w:sz="2"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占地面积</w:t>
            </w:r>
          </w:p>
        </w:tc>
        <w:tc>
          <w:tcPr>
            <w:tcW w:w="1043" w:type="dxa"/>
            <w:tcBorders>
              <w:top w:val="single" w:color="000000" w:sz="2" w:space="0"/>
              <w:left w:val="single" w:color="000000" w:sz="2" w:space="0"/>
              <w:bottom w:val="single" w:color="000000" w:sz="2" w:space="0"/>
              <w:right w:val="single" w:color="000000" w:sz="2"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贮存</w:t>
            </w:r>
            <w:r>
              <w:rPr>
                <w:rFonts w:hint="default" w:ascii="Times New Roman" w:hAnsi="Times New Roman" w:cs="Times New Roman"/>
                <w:b/>
                <w:bCs/>
                <w:color w:val="auto"/>
                <w:w w:val="99"/>
                <w:sz w:val="21"/>
                <w:szCs w:val="21"/>
              </w:rPr>
              <w:t xml:space="preserve"> </w:t>
            </w:r>
            <w:r>
              <w:rPr>
                <w:rFonts w:hint="default" w:ascii="Times New Roman" w:hAnsi="Times New Roman" w:cs="Times New Roman"/>
                <w:b/>
                <w:bCs/>
                <w:color w:val="auto"/>
                <w:sz w:val="21"/>
                <w:szCs w:val="21"/>
              </w:rPr>
              <w:t>方式</w:t>
            </w:r>
          </w:p>
        </w:tc>
        <w:tc>
          <w:tcPr>
            <w:tcW w:w="744" w:type="dxa"/>
            <w:tcBorders>
              <w:top w:val="single" w:color="000000" w:sz="2" w:space="0"/>
              <w:left w:val="single" w:color="000000" w:sz="2" w:space="0"/>
              <w:bottom w:val="single" w:color="000000" w:sz="2" w:space="0"/>
              <w:right w:val="single" w:color="000000" w:sz="2"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贮存</w:t>
            </w:r>
            <w:r>
              <w:rPr>
                <w:rFonts w:hint="default" w:ascii="Times New Roman" w:hAnsi="Times New Roman" w:cs="Times New Roman"/>
                <w:b/>
                <w:bCs/>
                <w:color w:val="auto"/>
                <w:w w:val="99"/>
                <w:sz w:val="21"/>
                <w:szCs w:val="21"/>
              </w:rPr>
              <w:t xml:space="preserve"> </w:t>
            </w:r>
            <w:r>
              <w:rPr>
                <w:rFonts w:hint="default" w:ascii="Times New Roman" w:hAnsi="Times New Roman" w:cs="Times New Roman"/>
                <w:b/>
                <w:bCs/>
                <w:color w:val="auto"/>
                <w:sz w:val="21"/>
                <w:szCs w:val="21"/>
              </w:rPr>
              <w:t>能力</w:t>
            </w:r>
          </w:p>
        </w:tc>
        <w:tc>
          <w:tcPr>
            <w:tcW w:w="803" w:type="dxa"/>
            <w:tcBorders>
              <w:top w:val="single" w:color="000000" w:sz="2" w:space="0"/>
              <w:left w:val="single" w:color="000000" w:sz="2" w:space="0"/>
              <w:bottom w:val="single" w:color="000000" w:sz="2" w:space="0"/>
              <w:right w:val="nil"/>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贮存周期</w:t>
            </w:r>
          </w:p>
        </w:tc>
      </w:tr>
      <w:tr>
        <w:tblPrEx>
          <w:tblCellMar>
            <w:top w:w="0" w:type="dxa"/>
            <w:left w:w="0" w:type="dxa"/>
            <w:bottom w:w="0" w:type="dxa"/>
            <w:right w:w="0" w:type="dxa"/>
          </w:tblCellMar>
        </w:tblPrEx>
        <w:trPr>
          <w:trHeight w:val="420" w:hRule="exact"/>
        </w:trPr>
        <w:tc>
          <w:tcPr>
            <w:tcW w:w="1242" w:type="dxa"/>
            <w:vMerge w:val="restart"/>
            <w:tcBorders>
              <w:top w:val="single" w:color="000000" w:sz="2" w:space="0"/>
              <w:left w:val="nil"/>
              <w:right w:val="single" w:color="000000" w:sz="2"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危险废物</w:t>
            </w:r>
            <w:r>
              <w:rPr>
                <w:rFonts w:hint="default" w:ascii="Times New Roman" w:hAnsi="Times New Roman" w:cs="Times New Roman"/>
                <w:color w:val="auto"/>
                <w:sz w:val="21"/>
                <w:szCs w:val="21"/>
              </w:rPr>
              <w:t>暂存间</w:t>
            </w:r>
          </w:p>
        </w:tc>
        <w:tc>
          <w:tcPr>
            <w:tcW w:w="1138" w:type="dxa"/>
            <w:tcBorders>
              <w:top w:val="single" w:color="000000" w:sz="2" w:space="0"/>
              <w:left w:val="single" w:color="000000" w:sz="2" w:space="0"/>
              <w:bottom w:val="single" w:color="000000" w:sz="4" w:space="0"/>
              <w:right w:val="single" w:color="000000" w:sz="2"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医疗废物</w:t>
            </w:r>
          </w:p>
        </w:tc>
        <w:tc>
          <w:tcPr>
            <w:tcW w:w="995" w:type="dxa"/>
            <w:tcBorders>
              <w:top w:val="single" w:color="000000" w:sz="2" w:space="0"/>
              <w:left w:val="single" w:color="000000" w:sz="2" w:space="0"/>
              <w:bottom w:val="single" w:color="000000" w:sz="4" w:space="0"/>
              <w:right w:val="single" w:color="000000" w:sz="2" w:space="0"/>
            </w:tcBorders>
            <w:vAlign w:val="center"/>
          </w:tcPr>
          <w:p>
            <w:pPr>
              <w:pStyle w:val="40"/>
              <w:adjustRightInd/>
              <w:snapToGrid/>
              <w:spacing w:line="240" w:lineRule="auto"/>
              <w:ind w:firstLine="0" w:firstLineChars="0"/>
              <w:jc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rPr>
              <w:t>HW01</w:t>
            </w:r>
          </w:p>
        </w:tc>
        <w:tc>
          <w:tcPr>
            <w:tcW w:w="1427" w:type="dxa"/>
            <w:tcBorders>
              <w:top w:val="single" w:color="000000" w:sz="2" w:space="0"/>
              <w:left w:val="single" w:color="000000" w:sz="2" w:space="0"/>
              <w:bottom w:val="single" w:color="000000" w:sz="4" w:space="0"/>
              <w:right w:val="single" w:color="000000" w:sz="2" w:space="0"/>
            </w:tcBorders>
            <w:vAlign w:val="center"/>
          </w:tcPr>
          <w:p>
            <w:pPr>
              <w:pStyle w:val="40"/>
              <w:adjustRightInd/>
              <w:snapToGrid/>
              <w:spacing w:line="240" w:lineRule="auto"/>
              <w:ind w:firstLine="0" w:firstLineChars="0"/>
              <w:jc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rPr>
              <w:t>831-002-01</w:t>
            </w:r>
          </w:p>
        </w:tc>
        <w:tc>
          <w:tcPr>
            <w:tcW w:w="771" w:type="dxa"/>
            <w:vMerge w:val="restart"/>
            <w:tcBorders>
              <w:top w:val="single" w:color="000000" w:sz="2" w:space="0"/>
              <w:left w:val="single" w:color="000000" w:sz="2" w:space="0"/>
              <w:right w:val="single" w:color="000000" w:sz="2"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场区</w:t>
            </w:r>
            <w:r>
              <w:rPr>
                <w:rFonts w:hint="default" w:ascii="Times New Roman" w:hAnsi="Times New Roman" w:cs="Times New Roman"/>
                <w:color w:val="auto"/>
                <w:w w:val="99"/>
                <w:sz w:val="21"/>
                <w:szCs w:val="21"/>
              </w:rPr>
              <w:t>东</w:t>
            </w:r>
            <w:r>
              <w:rPr>
                <w:rFonts w:hint="default" w:ascii="Times New Roman" w:hAnsi="Times New Roman" w:cs="Times New Roman"/>
                <w:color w:val="auto"/>
                <w:sz w:val="21"/>
                <w:szCs w:val="21"/>
              </w:rPr>
              <w:t>侧</w:t>
            </w:r>
          </w:p>
        </w:tc>
        <w:tc>
          <w:tcPr>
            <w:tcW w:w="790" w:type="dxa"/>
            <w:vMerge w:val="restart"/>
            <w:tcBorders>
              <w:top w:val="single" w:color="000000" w:sz="2" w:space="0"/>
              <w:left w:val="single" w:color="000000" w:sz="2" w:space="0"/>
              <w:right w:val="single" w:color="000000" w:sz="2" w:space="0"/>
            </w:tcBorders>
            <w:vAlign w:val="center"/>
          </w:tcPr>
          <w:p>
            <w:pPr>
              <w:pStyle w:val="40"/>
              <w:adjustRightInd/>
              <w:snapToGrid/>
              <w:spacing w:line="240" w:lineRule="auto"/>
              <w:ind w:firstLine="0" w:firstLineChars="0"/>
              <w:jc w:val="center"/>
              <w:rPr>
                <w:rFonts w:hint="default" w:ascii="Times New Roman" w:hAnsi="Times New Roman" w:eastAsia="Times New Roman" w:cs="Times New Roman"/>
                <w:color w:val="auto"/>
                <w:sz w:val="13"/>
                <w:szCs w:val="13"/>
              </w:rPr>
            </w:pPr>
            <w:r>
              <w:rPr>
                <w:rFonts w:hint="default" w:ascii="Times New Roman" w:hAnsi="Times New Roman" w:cs="Times New Roman"/>
                <w:color w:val="auto"/>
                <w:sz w:val="21"/>
              </w:rPr>
              <w:t>20m</w:t>
            </w:r>
            <w:r>
              <w:rPr>
                <w:rFonts w:hint="default" w:ascii="Times New Roman" w:hAnsi="Times New Roman" w:cs="Times New Roman"/>
                <w:color w:val="auto"/>
                <w:position w:val="7"/>
                <w:sz w:val="13"/>
              </w:rPr>
              <w:t>2</w:t>
            </w:r>
          </w:p>
        </w:tc>
        <w:tc>
          <w:tcPr>
            <w:tcW w:w="1043" w:type="dxa"/>
            <w:vMerge w:val="restart"/>
            <w:tcBorders>
              <w:top w:val="single" w:color="000000" w:sz="2" w:space="0"/>
              <w:left w:val="single" w:color="000000" w:sz="2" w:space="0"/>
              <w:right w:val="single" w:color="000000" w:sz="2"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分类收</w:t>
            </w:r>
          </w:p>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集后存放</w:t>
            </w:r>
          </w:p>
        </w:tc>
        <w:tc>
          <w:tcPr>
            <w:tcW w:w="744" w:type="dxa"/>
            <w:vMerge w:val="restart"/>
            <w:tcBorders>
              <w:top w:val="single" w:color="000000" w:sz="2" w:space="0"/>
              <w:left w:val="single" w:color="000000" w:sz="2" w:space="0"/>
              <w:right w:val="single" w:color="000000" w:sz="2" w:space="0"/>
            </w:tcBorders>
            <w:vAlign w:val="center"/>
          </w:tcPr>
          <w:p>
            <w:pPr>
              <w:pStyle w:val="40"/>
              <w:adjustRightInd/>
              <w:snapToGrid/>
              <w:spacing w:line="240" w:lineRule="auto"/>
              <w:ind w:firstLine="0" w:firstLineChars="0"/>
              <w:jc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rPr>
              <w:t>0.5t</w:t>
            </w:r>
          </w:p>
        </w:tc>
        <w:tc>
          <w:tcPr>
            <w:tcW w:w="803" w:type="dxa"/>
            <w:vMerge w:val="restart"/>
            <w:tcBorders>
              <w:top w:val="single" w:color="000000" w:sz="2" w:space="0"/>
              <w:left w:val="single" w:color="000000" w:sz="2" w:space="0"/>
              <w:right w:val="nil"/>
            </w:tcBorders>
            <w:vAlign w:val="center"/>
          </w:tcPr>
          <w:p>
            <w:pPr>
              <w:pStyle w:val="40"/>
              <w:adjustRightInd/>
              <w:snapToGrid/>
              <w:spacing w:line="240" w:lineRule="auto"/>
              <w:ind w:firstLine="0" w:firstLineChars="0"/>
              <w:jc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rPr>
              <w:t>0.5a</w:t>
            </w:r>
          </w:p>
        </w:tc>
      </w:tr>
      <w:tr>
        <w:tblPrEx>
          <w:tblCellMar>
            <w:top w:w="0" w:type="dxa"/>
            <w:left w:w="0" w:type="dxa"/>
            <w:bottom w:w="0" w:type="dxa"/>
            <w:right w:w="0" w:type="dxa"/>
          </w:tblCellMar>
        </w:tblPrEx>
        <w:trPr>
          <w:trHeight w:val="432" w:hRule="exact"/>
        </w:trPr>
        <w:tc>
          <w:tcPr>
            <w:tcW w:w="1242" w:type="dxa"/>
            <w:vMerge w:val="continue"/>
            <w:tcBorders>
              <w:left w:val="nil"/>
              <w:bottom w:val="single" w:color="000000" w:sz="2" w:space="0"/>
              <w:right w:val="single" w:color="000000" w:sz="2"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lang w:eastAsia="zh-CN"/>
              </w:rPr>
            </w:pPr>
          </w:p>
        </w:tc>
        <w:tc>
          <w:tcPr>
            <w:tcW w:w="1138" w:type="dxa"/>
            <w:tcBorders>
              <w:top w:val="single" w:color="000000" w:sz="4" w:space="0"/>
              <w:left w:val="single" w:color="000000" w:sz="2" w:space="0"/>
              <w:bottom w:val="single" w:color="000000" w:sz="2" w:space="0"/>
              <w:right w:val="single" w:color="000000" w:sz="2" w:space="0"/>
            </w:tcBorders>
            <w:vAlign w:val="center"/>
          </w:tcPr>
          <w:p>
            <w:pPr>
              <w:ind w:left="0" w:leftChars="0" w:firstLine="0" w:firstLineChars="0"/>
              <w:jc w:val="both"/>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废UV灯管</w:t>
            </w:r>
          </w:p>
        </w:tc>
        <w:tc>
          <w:tcPr>
            <w:tcW w:w="995" w:type="dxa"/>
            <w:tcBorders>
              <w:top w:val="single" w:color="000000" w:sz="4" w:space="0"/>
              <w:left w:val="single" w:color="000000" w:sz="2" w:space="0"/>
              <w:bottom w:val="single" w:color="000000" w:sz="2" w:space="0"/>
              <w:right w:val="single" w:color="000000" w:sz="2" w:space="0"/>
            </w:tcBorders>
            <w:vAlign w:val="center"/>
          </w:tcPr>
          <w:p>
            <w:pPr>
              <w:pStyle w:val="57"/>
              <w:spacing w:before="0" w:beforeLines="0" w:line="240" w:lineRule="auto"/>
              <w:ind w:firstLine="0" w:firstLineChars="0"/>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HW29</w:t>
            </w:r>
          </w:p>
        </w:tc>
        <w:tc>
          <w:tcPr>
            <w:tcW w:w="1427" w:type="dxa"/>
            <w:tcBorders>
              <w:top w:val="single" w:color="000000" w:sz="4" w:space="0"/>
              <w:left w:val="single" w:color="000000" w:sz="2" w:space="0"/>
              <w:bottom w:val="single" w:color="000000" w:sz="2" w:space="0"/>
              <w:right w:val="single" w:color="000000" w:sz="2" w:space="0"/>
            </w:tcBorders>
            <w:vAlign w:val="center"/>
          </w:tcPr>
          <w:p>
            <w:pPr>
              <w:pStyle w:val="57"/>
              <w:spacing w:before="0" w:beforeLines="0" w:line="240" w:lineRule="auto"/>
              <w:ind w:firstLine="0" w:firstLineChars="0"/>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900-023-29</w:t>
            </w:r>
          </w:p>
        </w:tc>
        <w:tc>
          <w:tcPr>
            <w:tcW w:w="771" w:type="dxa"/>
            <w:vMerge w:val="continue"/>
            <w:tcBorders>
              <w:left w:val="single" w:color="000000" w:sz="2" w:space="0"/>
              <w:bottom w:val="single" w:color="000000" w:sz="2" w:space="0"/>
              <w:right w:val="single" w:color="000000" w:sz="2"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p>
        </w:tc>
        <w:tc>
          <w:tcPr>
            <w:tcW w:w="790" w:type="dxa"/>
            <w:vMerge w:val="continue"/>
            <w:tcBorders>
              <w:left w:val="single" w:color="000000" w:sz="2" w:space="0"/>
              <w:bottom w:val="single" w:color="000000" w:sz="2" w:space="0"/>
              <w:right w:val="single" w:color="000000" w:sz="2"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rPr>
            </w:pPr>
          </w:p>
        </w:tc>
        <w:tc>
          <w:tcPr>
            <w:tcW w:w="1043" w:type="dxa"/>
            <w:vMerge w:val="continue"/>
            <w:tcBorders>
              <w:left w:val="single" w:color="000000" w:sz="2" w:space="0"/>
              <w:bottom w:val="single" w:color="000000" w:sz="2" w:space="0"/>
              <w:right w:val="single" w:color="000000" w:sz="2"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p>
        </w:tc>
        <w:tc>
          <w:tcPr>
            <w:tcW w:w="744" w:type="dxa"/>
            <w:vMerge w:val="continue"/>
            <w:tcBorders>
              <w:left w:val="single" w:color="000000" w:sz="2" w:space="0"/>
              <w:bottom w:val="single" w:color="000000" w:sz="2" w:space="0"/>
              <w:right w:val="single" w:color="000000" w:sz="2"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rPr>
            </w:pPr>
          </w:p>
        </w:tc>
        <w:tc>
          <w:tcPr>
            <w:tcW w:w="803" w:type="dxa"/>
            <w:vMerge w:val="continue"/>
            <w:tcBorders>
              <w:left w:val="single" w:color="000000" w:sz="2" w:space="0"/>
              <w:bottom w:val="single" w:color="000000" w:sz="2" w:space="0"/>
              <w:right w:val="nil"/>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rPr>
            </w:pPr>
          </w:p>
        </w:tc>
      </w:tr>
      <w:tr>
        <w:tblPrEx>
          <w:tblCellMar>
            <w:top w:w="0" w:type="dxa"/>
            <w:left w:w="0" w:type="dxa"/>
            <w:bottom w:w="0" w:type="dxa"/>
            <w:right w:w="0" w:type="dxa"/>
          </w:tblCellMar>
        </w:tblPrEx>
        <w:trPr>
          <w:trHeight w:val="682" w:hRule="exact"/>
        </w:trPr>
        <w:tc>
          <w:tcPr>
            <w:tcW w:w="1242" w:type="dxa"/>
            <w:tcBorders>
              <w:top w:val="single" w:color="000000" w:sz="2" w:space="0"/>
              <w:left w:val="nil"/>
              <w:bottom w:val="single" w:color="000000" w:sz="2" w:space="0"/>
              <w:right w:val="single" w:color="000000" w:sz="2"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病死猪</w:t>
            </w:r>
          </w:p>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暂存间</w:t>
            </w:r>
          </w:p>
        </w:tc>
        <w:tc>
          <w:tcPr>
            <w:tcW w:w="1138" w:type="dxa"/>
            <w:tcBorders>
              <w:top w:val="single" w:color="000000" w:sz="2" w:space="0"/>
              <w:left w:val="single" w:color="000000" w:sz="2" w:space="0"/>
              <w:bottom w:val="single" w:color="000000" w:sz="2" w:space="0"/>
              <w:right w:val="single" w:color="000000" w:sz="2"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病死猪</w:t>
            </w:r>
          </w:p>
        </w:tc>
        <w:tc>
          <w:tcPr>
            <w:tcW w:w="995" w:type="dxa"/>
            <w:tcBorders>
              <w:top w:val="single" w:color="000000" w:sz="2" w:space="0"/>
              <w:left w:val="single" w:color="000000" w:sz="2" w:space="0"/>
              <w:bottom w:val="single" w:color="000000" w:sz="2" w:space="0"/>
              <w:right w:val="single" w:color="000000" w:sz="2" w:space="0"/>
            </w:tcBorders>
            <w:vAlign w:val="center"/>
          </w:tcPr>
          <w:p>
            <w:pPr>
              <w:pStyle w:val="40"/>
              <w:adjustRightInd/>
              <w:snapToGrid/>
              <w:spacing w:line="240" w:lineRule="auto"/>
              <w:ind w:firstLine="0" w:firstLineChars="0"/>
              <w:jc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rPr>
              <w:t>HW01</w:t>
            </w:r>
          </w:p>
        </w:tc>
        <w:tc>
          <w:tcPr>
            <w:tcW w:w="1427" w:type="dxa"/>
            <w:tcBorders>
              <w:top w:val="single" w:color="000000" w:sz="2" w:space="0"/>
              <w:left w:val="single" w:color="000000" w:sz="2" w:space="0"/>
              <w:bottom w:val="single" w:color="000000" w:sz="2" w:space="0"/>
              <w:right w:val="single" w:color="000000" w:sz="2" w:space="0"/>
            </w:tcBorders>
            <w:vAlign w:val="center"/>
          </w:tcPr>
          <w:p>
            <w:pPr>
              <w:pStyle w:val="40"/>
              <w:adjustRightInd/>
              <w:snapToGrid/>
              <w:spacing w:line="240" w:lineRule="auto"/>
              <w:ind w:firstLine="0" w:firstLineChars="0"/>
              <w:jc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rPr>
              <w:t>831-003-01</w:t>
            </w:r>
          </w:p>
        </w:tc>
        <w:tc>
          <w:tcPr>
            <w:tcW w:w="771" w:type="dxa"/>
            <w:tcBorders>
              <w:top w:val="single" w:color="000000" w:sz="2" w:space="0"/>
              <w:left w:val="single" w:color="000000" w:sz="2" w:space="0"/>
              <w:bottom w:val="single" w:color="000000" w:sz="2" w:space="0"/>
              <w:right w:val="single" w:color="000000" w:sz="2"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场区</w:t>
            </w:r>
          </w:p>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790" w:type="dxa"/>
            <w:tcBorders>
              <w:top w:val="single" w:color="000000" w:sz="2" w:space="0"/>
              <w:left w:val="single" w:color="000000" w:sz="2" w:space="0"/>
              <w:bottom w:val="single" w:color="000000" w:sz="2" w:space="0"/>
              <w:right w:val="single" w:color="000000" w:sz="2" w:space="0"/>
            </w:tcBorders>
            <w:vAlign w:val="center"/>
          </w:tcPr>
          <w:p>
            <w:pPr>
              <w:pStyle w:val="40"/>
              <w:adjustRightInd/>
              <w:snapToGrid/>
              <w:spacing w:line="240" w:lineRule="auto"/>
              <w:ind w:firstLine="0" w:firstLineChars="0"/>
              <w:jc w:val="center"/>
              <w:rPr>
                <w:rFonts w:hint="default" w:ascii="Times New Roman" w:hAnsi="Times New Roman" w:eastAsia="Times New Roman" w:cs="Times New Roman"/>
                <w:color w:val="auto"/>
                <w:sz w:val="13"/>
                <w:szCs w:val="13"/>
              </w:rPr>
            </w:pPr>
            <w:r>
              <w:rPr>
                <w:rFonts w:hint="default" w:ascii="Times New Roman" w:hAnsi="Times New Roman" w:cs="Times New Roman"/>
                <w:color w:val="auto"/>
                <w:sz w:val="21"/>
              </w:rPr>
              <w:t>30m</w:t>
            </w:r>
            <w:r>
              <w:rPr>
                <w:rFonts w:hint="default" w:ascii="Times New Roman" w:hAnsi="Times New Roman" w:cs="Times New Roman"/>
                <w:color w:val="auto"/>
                <w:position w:val="7"/>
                <w:sz w:val="13"/>
              </w:rPr>
              <w:t>2</w:t>
            </w:r>
          </w:p>
        </w:tc>
        <w:tc>
          <w:tcPr>
            <w:tcW w:w="1043" w:type="dxa"/>
            <w:tcBorders>
              <w:top w:val="single" w:color="000000" w:sz="2" w:space="0"/>
              <w:left w:val="single" w:color="000000" w:sz="2" w:space="0"/>
              <w:bottom w:val="single" w:color="000000" w:sz="2" w:space="0"/>
              <w:right w:val="single" w:color="000000" w:sz="2"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直接存</w:t>
            </w:r>
          </w:p>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w w:val="99"/>
                <w:sz w:val="21"/>
                <w:szCs w:val="21"/>
              </w:rPr>
              <w:t>放</w:t>
            </w:r>
          </w:p>
        </w:tc>
        <w:tc>
          <w:tcPr>
            <w:tcW w:w="744" w:type="dxa"/>
            <w:tcBorders>
              <w:top w:val="single" w:color="000000" w:sz="2" w:space="0"/>
              <w:left w:val="single" w:color="000000" w:sz="2" w:space="0"/>
              <w:bottom w:val="single" w:color="000000" w:sz="2" w:space="0"/>
              <w:right w:val="single" w:color="000000" w:sz="2" w:space="0"/>
            </w:tcBorders>
            <w:vAlign w:val="center"/>
          </w:tcPr>
          <w:p>
            <w:pPr>
              <w:pStyle w:val="40"/>
              <w:adjustRightInd/>
              <w:snapToGrid/>
              <w:spacing w:line="240" w:lineRule="auto"/>
              <w:ind w:firstLine="0" w:firstLineChars="0"/>
              <w:jc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rPr>
              <w:t>1t</w:t>
            </w:r>
          </w:p>
        </w:tc>
        <w:tc>
          <w:tcPr>
            <w:tcW w:w="803" w:type="dxa"/>
            <w:tcBorders>
              <w:top w:val="single" w:color="000000" w:sz="2" w:space="0"/>
              <w:left w:val="single" w:color="000000" w:sz="2" w:space="0"/>
              <w:bottom w:val="single" w:color="000000" w:sz="2" w:space="0"/>
              <w:right w:val="nil"/>
            </w:tcBorders>
            <w:vAlign w:val="center"/>
          </w:tcPr>
          <w:p>
            <w:pPr>
              <w:pStyle w:val="40"/>
              <w:adjustRightInd/>
              <w:snapToGrid/>
              <w:spacing w:line="240" w:lineRule="auto"/>
              <w:ind w:firstLine="0" w:firstLineChars="0"/>
              <w:jc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rPr>
              <w:t>1d</w:t>
            </w:r>
          </w:p>
        </w:tc>
      </w:tr>
    </w:tbl>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在日常管理中，应设置专人加强对危废暂存间的管理，出现问题及时解决，避免形成二次污染，对工作人员应进行专业培训，熟知各项固废知识。</w:t>
      </w:r>
    </w:p>
    <w:p>
      <w:pPr>
        <w:spacing w:line="520" w:lineRule="exact"/>
        <w:ind w:firstLine="482" w:firstLineChars="200"/>
        <w:rPr>
          <w:rFonts w:hint="default" w:ascii="Times New Roman" w:hAnsi="Times New Roman" w:cs="Times New Roman"/>
          <w:b/>
          <w:bCs/>
          <w:color w:val="auto"/>
          <w:sz w:val="24"/>
          <w:u w:val="single"/>
        </w:rPr>
      </w:pPr>
      <w:r>
        <w:rPr>
          <w:rFonts w:hint="default" w:ascii="Times New Roman" w:hAnsi="Times New Roman" w:cs="Times New Roman"/>
          <w:b/>
          <w:bCs/>
          <w:color w:val="auto"/>
          <w:sz w:val="24"/>
          <w:u w:val="single"/>
        </w:rPr>
        <w:t>危险废物暂存间具体要求如下：</w:t>
      </w:r>
    </w:p>
    <w:p>
      <w:pPr>
        <w:spacing w:line="520" w:lineRule="exact"/>
        <w:ind w:firstLine="482" w:firstLineChars="200"/>
        <w:rPr>
          <w:rFonts w:hint="default" w:ascii="Times New Roman" w:hAnsi="Times New Roman" w:cs="Times New Roman"/>
          <w:b/>
          <w:bCs/>
          <w:color w:val="auto"/>
          <w:sz w:val="24"/>
          <w:u w:val="single"/>
        </w:rPr>
      </w:pPr>
      <w:r>
        <w:rPr>
          <w:rFonts w:hint="default" w:ascii="Times New Roman" w:hAnsi="Times New Roman" w:cs="Times New Roman"/>
          <w:b/>
          <w:bCs/>
          <w:color w:val="auto"/>
          <w:sz w:val="24"/>
          <w:u w:val="single"/>
        </w:rPr>
        <w:t>A</w:t>
      </w:r>
      <w:r>
        <w:rPr>
          <w:rFonts w:hint="default" w:ascii="Times New Roman" w:hAnsi="Times New Roman" w:cs="Times New Roman"/>
          <w:b/>
          <w:bCs/>
          <w:color w:val="auto"/>
          <w:sz w:val="24"/>
          <w:u w:val="single"/>
          <w:lang w:eastAsia="zh-CN"/>
        </w:rPr>
        <w:t>危废暂存间应为密闭间，</w:t>
      </w:r>
      <w:r>
        <w:rPr>
          <w:rFonts w:hint="default" w:ascii="Times New Roman" w:hAnsi="Times New Roman" w:cs="Times New Roman"/>
          <w:b/>
          <w:bCs/>
          <w:color w:val="auto"/>
          <w:sz w:val="24"/>
          <w:u w:val="single"/>
        </w:rPr>
        <w:t>应按GB15562.6规定设置明显的警示标志，即暂存间门口要设置警示牌；盛装危险废物的容器上必须粘贴符合规定的危险废物标签。</w:t>
      </w:r>
    </w:p>
    <w:p>
      <w:pPr>
        <w:spacing w:line="520" w:lineRule="exact"/>
        <w:ind w:firstLine="482" w:firstLineChars="200"/>
        <w:rPr>
          <w:rFonts w:hint="default" w:ascii="Times New Roman" w:hAnsi="Times New Roman" w:cs="Times New Roman"/>
          <w:b/>
          <w:bCs/>
          <w:color w:val="auto"/>
          <w:sz w:val="24"/>
          <w:u w:val="single"/>
        </w:rPr>
      </w:pPr>
      <w:r>
        <w:rPr>
          <w:rFonts w:hint="default" w:ascii="Times New Roman" w:hAnsi="Times New Roman" w:cs="Times New Roman"/>
          <w:b/>
          <w:bCs/>
          <w:color w:val="auto"/>
          <w:sz w:val="24"/>
          <w:u w:val="single"/>
        </w:rPr>
        <w:t>B危险废物贮存前应进行检验，确保同预定接收的危险废物一致，并登记注册。</w:t>
      </w:r>
    </w:p>
    <w:p>
      <w:pPr>
        <w:spacing w:line="520" w:lineRule="exact"/>
        <w:ind w:firstLine="482" w:firstLineChars="200"/>
        <w:rPr>
          <w:rFonts w:hint="default" w:ascii="Times New Roman" w:hAnsi="Times New Roman" w:cs="Times New Roman"/>
          <w:b/>
          <w:bCs/>
          <w:color w:val="auto"/>
          <w:sz w:val="24"/>
          <w:u w:val="single"/>
        </w:rPr>
      </w:pPr>
      <w:r>
        <w:rPr>
          <w:rFonts w:hint="default" w:ascii="Times New Roman" w:hAnsi="Times New Roman" w:cs="Times New Roman"/>
          <w:b/>
          <w:bCs/>
          <w:color w:val="auto"/>
          <w:sz w:val="24"/>
          <w:u w:val="single"/>
        </w:rPr>
        <w:t>C作好危险废物情况的记录，记录上须注明危险废物的名称、来源、数量、特性和包装容器的类别、入库日期、存放库位、废物出库日期及接收单位名称。</w:t>
      </w:r>
    </w:p>
    <w:p>
      <w:pPr>
        <w:spacing w:line="520" w:lineRule="exact"/>
        <w:ind w:firstLine="482" w:firstLineChars="200"/>
        <w:rPr>
          <w:rFonts w:hint="default" w:ascii="Times New Roman" w:hAnsi="Times New Roman" w:cs="Times New Roman"/>
          <w:b/>
          <w:bCs/>
          <w:color w:val="auto"/>
          <w:sz w:val="24"/>
          <w:u w:val="single"/>
        </w:rPr>
      </w:pPr>
      <w:r>
        <w:rPr>
          <w:rFonts w:hint="default" w:ascii="Times New Roman" w:hAnsi="Times New Roman" w:cs="Times New Roman"/>
          <w:b/>
          <w:bCs/>
          <w:color w:val="auto"/>
          <w:sz w:val="24"/>
          <w:u w:val="single"/>
        </w:rPr>
        <w:t>D危险废物的记录和货单在危险废物回取后应继续保留3年。</w:t>
      </w:r>
    </w:p>
    <w:p>
      <w:pPr>
        <w:spacing w:line="520" w:lineRule="exact"/>
        <w:ind w:firstLine="482" w:firstLineChars="200"/>
        <w:rPr>
          <w:rFonts w:hint="default" w:ascii="Times New Roman" w:hAnsi="Times New Roman" w:cs="Times New Roman"/>
          <w:b/>
          <w:bCs/>
          <w:color w:val="auto"/>
          <w:sz w:val="24"/>
          <w:u w:val="single"/>
        </w:rPr>
      </w:pPr>
      <w:r>
        <w:rPr>
          <w:rFonts w:hint="default" w:ascii="Times New Roman" w:hAnsi="Times New Roman" w:cs="Times New Roman"/>
          <w:b/>
          <w:bCs/>
          <w:color w:val="auto"/>
          <w:sz w:val="24"/>
          <w:u w:val="single"/>
        </w:rPr>
        <w:t>E必须定期对所贮存的危险废物包装窗口及贮存设施进行检查，发现破损，应及时采取措施清理更换。</w:t>
      </w:r>
    </w:p>
    <w:p>
      <w:pPr>
        <w:spacing w:line="520" w:lineRule="exact"/>
        <w:ind w:firstLine="482" w:firstLineChars="200"/>
        <w:rPr>
          <w:rFonts w:hint="default" w:ascii="Times New Roman" w:hAnsi="Times New Roman" w:cs="Times New Roman"/>
          <w:b/>
          <w:bCs/>
          <w:color w:val="auto"/>
          <w:sz w:val="24"/>
          <w:u w:val="single"/>
        </w:rPr>
      </w:pPr>
      <w:r>
        <w:rPr>
          <w:rFonts w:hint="default" w:ascii="Times New Roman" w:hAnsi="Times New Roman" w:cs="Times New Roman"/>
          <w:b/>
          <w:bCs/>
          <w:color w:val="auto"/>
          <w:sz w:val="24"/>
          <w:u w:val="single"/>
        </w:rPr>
        <w:t>F危险废物贮存设施周围应设置围墙或其他防护栅栏；危险废物贮存设施应配备通讯电器、照明设施、安全防护服装及工具，并设有应急防护设施。</w:t>
      </w:r>
    </w:p>
    <w:p>
      <w:pPr>
        <w:spacing w:line="520" w:lineRule="exact"/>
        <w:ind w:firstLine="482" w:firstLineChars="200"/>
        <w:rPr>
          <w:rFonts w:hint="default" w:ascii="Times New Roman" w:hAnsi="Times New Roman" w:cs="Times New Roman"/>
          <w:b/>
          <w:bCs/>
          <w:color w:val="auto"/>
          <w:sz w:val="24"/>
          <w:u w:val="single"/>
        </w:rPr>
      </w:pPr>
      <w:r>
        <w:rPr>
          <w:rFonts w:hint="default" w:ascii="Times New Roman" w:hAnsi="Times New Roman" w:cs="Times New Roman"/>
          <w:b/>
          <w:bCs/>
          <w:color w:val="auto"/>
          <w:sz w:val="24"/>
          <w:u w:val="single"/>
        </w:rPr>
        <w:t>G危险废物暂存间地面要做耐腐蚀、防渗处理</w:t>
      </w:r>
      <w:r>
        <w:rPr>
          <w:rFonts w:hint="default" w:ascii="Times New Roman" w:hAnsi="Times New Roman" w:cs="Times New Roman"/>
          <w:b/>
          <w:bCs/>
          <w:color w:val="auto"/>
          <w:sz w:val="24"/>
          <w:u w:val="single"/>
          <w:lang w:eastAsia="zh-CN"/>
        </w:rPr>
        <w:t>，并设置围堰</w:t>
      </w:r>
      <w:r>
        <w:rPr>
          <w:rFonts w:hint="default" w:ascii="Times New Roman" w:hAnsi="Times New Roman" w:cs="Times New Roman"/>
          <w:b/>
          <w:bCs/>
          <w:color w:val="auto"/>
          <w:sz w:val="24"/>
          <w:u w:val="single"/>
        </w:rPr>
        <w:t>。</w:t>
      </w:r>
    </w:p>
    <w:p>
      <w:pPr>
        <w:spacing w:line="600" w:lineRule="exact"/>
        <w:ind w:firstLine="482" w:firstLineChars="200"/>
        <w:rPr>
          <w:rFonts w:hint="default" w:ascii="Times New Roman" w:hAnsi="Times New Roman" w:cs="Times New Roman"/>
          <w:b/>
          <w:bCs/>
          <w:color w:val="auto"/>
          <w:sz w:val="24"/>
          <w:u w:val="single"/>
        </w:rPr>
      </w:pPr>
      <w:r>
        <w:rPr>
          <w:rFonts w:hint="default" w:ascii="Times New Roman" w:hAnsi="Times New Roman" w:cs="Times New Roman"/>
          <w:b/>
          <w:bCs/>
          <w:color w:val="auto"/>
          <w:sz w:val="24"/>
          <w:u w:val="single"/>
        </w:rPr>
        <w:t>H根据危险废物管理相关法规，为防止公司危险固废危害环境，将危险废物管理责任到人。</w:t>
      </w:r>
    </w:p>
    <w:p>
      <w:pPr>
        <w:spacing w:line="600" w:lineRule="exact"/>
        <w:ind w:firstLine="482" w:firstLineChars="200"/>
        <w:rPr>
          <w:rFonts w:hint="default" w:ascii="Times New Roman" w:hAnsi="Times New Roman" w:cs="Times New Roman"/>
          <w:b/>
          <w:bCs/>
          <w:color w:val="auto"/>
          <w:u w:val="single"/>
        </w:rPr>
      </w:pPr>
      <w:r>
        <w:rPr>
          <w:rFonts w:hint="default" w:ascii="Times New Roman" w:hAnsi="Times New Roman" w:cs="Times New Roman"/>
          <w:b/>
          <w:bCs/>
          <w:color w:val="auto"/>
          <w:u w:val="single"/>
        </w:rPr>
        <w:t>I</w:t>
      </w:r>
      <w:r>
        <w:rPr>
          <w:rFonts w:hint="default" w:ascii="Times New Roman" w:hAnsi="Times New Roman" w:cs="Times New Roman"/>
          <w:b/>
          <w:bCs/>
          <w:color w:val="auto"/>
          <w:sz w:val="24"/>
          <w:u w:val="single"/>
        </w:rPr>
        <w:t>根据危险废物管理相关法规，危险废物应分类</w:t>
      </w:r>
      <w:r>
        <w:rPr>
          <w:rFonts w:hint="default" w:ascii="Times New Roman" w:hAnsi="Times New Roman" w:cs="Times New Roman"/>
          <w:b/>
          <w:bCs/>
          <w:color w:val="auto"/>
          <w:sz w:val="24"/>
          <w:u w:val="single"/>
          <w:lang w:eastAsia="zh-CN"/>
        </w:rPr>
        <w:t>、分区</w:t>
      </w:r>
      <w:r>
        <w:rPr>
          <w:rFonts w:hint="default" w:ascii="Times New Roman" w:hAnsi="Times New Roman" w:cs="Times New Roman"/>
          <w:b/>
          <w:bCs/>
          <w:color w:val="auto"/>
          <w:sz w:val="24"/>
          <w:u w:val="single"/>
        </w:rPr>
        <w:t>存放。</w:t>
      </w:r>
    </w:p>
    <w:p>
      <w:pPr>
        <w:ind w:firstLine="480"/>
        <w:rPr>
          <w:rFonts w:hint="default" w:ascii="Times New Roman" w:hAnsi="Times New Roman" w:cs="Times New Roman"/>
          <w:b/>
          <w:bCs/>
          <w:color w:val="auto"/>
          <w:u w:val="single"/>
        </w:rPr>
      </w:pPr>
      <w:r>
        <w:rPr>
          <w:rFonts w:hint="default" w:ascii="Times New Roman" w:hAnsi="Times New Roman" w:cs="Times New Roman"/>
          <w:b/>
          <w:bCs/>
          <w:color w:val="auto"/>
          <w:u w:val="single"/>
        </w:rPr>
        <w:t>经采取上述措施，固体废物均得到合理处置，不会对环境造成二次污染，措施可行。</w:t>
      </w:r>
    </w:p>
    <w:p>
      <w:pPr>
        <w:pStyle w:val="5"/>
        <w:rPr>
          <w:rFonts w:hint="default" w:ascii="Times New Roman" w:hAnsi="Times New Roman" w:cs="Times New Roman"/>
          <w:color w:val="auto"/>
          <w:lang w:val="en-US"/>
        </w:rPr>
      </w:pPr>
      <w:r>
        <w:rPr>
          <w:rFonts w:hint="default" w:ascii="Times New Roman" w:hAnsi="Times New Roman" w:cs="Times New Roman"/>
          <w:color w:val="auto"/>
          <w:lang w:val="en-US"/>
        </w:rPr>
        <w:t>6.2.7 养殖场防疫及病死猪尸处理与处置</w:t>
      </w:r>
    </w:p>
    <w:p>
      <w:pPr>
        <w:tabs>
          <w:tab w:val="left" w:pos="5625"/>
        </w:tabs>
        <w:ind w:firstLine="480"/>
        <w:outlineLvl w:val="3"/>
        <w:rPr>
          <w:rFonts w:hint="default" w:ascii="Times New Roman" w:hAnsi="Times New Roman" w:cs="Times New Roman"/>
          <w:color w:val="auto"/>
        </w:rPr>
      </w:pPr>
      <w:r>
        <w:rPr>
          <w:rFonts w:hint="default" w:ascii="Times New Roman" w:hAnsi="Times New Roman" w:cs="Times New Roman"/>
          <w:color w:val="auto"/>
        </w:rPr>
        <w:t>6.2.7.1防疫管理及要求</w:t>
      </w:r>
    </w:p>
    <w:p>
      <w:pPr>
        <w:ind w:firstLine="480"/>
        <w:rPr>
          <w:rFonts w:hint="default" w:ascii="Times New Roman" w:hAnsi="Times New Roman" w:cs="Times New Roman"/>
          <w:color w:val="auto"/>
        </w:rPr>
      </w:pPr>
      <w:r>
        <w:rPr>
          <w:rFonts w:hint="default" w:ascii="Times New Roman" w:hAnsi="Times New Roman" w:cs="Times New Roman"/>
          <w:color w:val="auto"/>
        </w:rPr>
        <w:t>畜禽传染病是畜牧业的大敌，它制约了畜牧业的发展，还有一些人畜共患病和寄生虫病（如狂犬病、炭疽、结核、布氏杆菌病、猪囊尾蚴病、旋毛虫病）还会给人们健康带来威胁，因此控制疫病对于畜牧业生产和保护人民健康都具有重要的意义。国家颁布了《动物防疫法》、《家畜家禽防疫条例》等法律法规，规定了“预防为主”的畜禽防疫方针。</w:t>
      </w:r>
    </w:p>
    <w:p>
      <w:pPr>
        <w:ind w:firstLine="480"/>
        <w:rPr>
          <w:rFonts w:hint="default" w:ascii="Times New Roman" w:hAnsi="Times New Roman" w:cs="Times New Roman"/>
          <w:color w:val="auto"/>
        </w:rPr>
      </w:pPr>
      <w:r>
        <w:rPr>
          <w:rFonts w:hint="default" w:ascii="Times New Roman" w:hAnsi="Times New Roman" w:cs="Times New Roman"/>
          <w:color w:val="auto"/>
        </w:rPr>
        <w:t>（1）畜禽传染病及其传播途径</w:t>
      </w:r>
    </w:p>
    <w:p>
      <w:pPr>
        <w:ind w:firstLine="480"/>
        <w:rPr>
          <w:rFonts w:hint="default" w:ascii="Times New Roman" w:hAnsi="Times New Roman" w:cs="Times New Roman"/>
          <w:color w:val="auto"/>
        </w:rPr>
      </w:pPr>
      <w:r>
        <w:rPr>
          <w:rFonts w:hint="default" w:ascii="Times New Roman" w:hAnsi="Times New Roman" w:cs="Times New Roman"/>
          <w:color w:val="auto"/>
        </w:rPr>
        <w:t>引起动物传染病的病原体主要是细菌、病毒和寄生虫。病原体在患病动物体内生长繁殖，并不断向体外排除病原体，通过多种途径传给更多的易感动物，使疾病流行起来。传染源、传播途径和易感动物是传染病发生的三个基本条件，三者缺一传染病都不会发生。</w:t>
      </w:r>
    </w:p>
    <w:p>
      <w:pPr>
        <w:ind w:firstLine="480"/>
        <w:rPr>
          <w:rFonts w:hint="default" w:ascii="Times New Roman" w:hAnsi="Times New Roman" w:cs="Times New Roman"/>
          <w:color w:val="auto"/>
        </w:rPr>
      </w:pPr>
      <w:r>
        <w:rPr>
          <w:rFonts w:hint="default" w:ascii="Times New Roman" w:hAnsi="Times New Roman" w:cs="Times New Roman"/>
          <w:color w:val="auto"/>
        </w:rPr>
        <w:t>传播途径分为直接接触传染和间接传染。直接接触传染包括交配和啃咬等方式，最为典型的例子就是狂犬病。间接传染通过饲料、饮水、空气、土壤、中间宿主、饲养管理用具、昆虫、鼠类、畜禽及其他野生动物粪便等方式。</w:t>
      </w:r>
    </w:p>
    <w:p>
      <w:pPr>
        <w:ind w:firstLine="480"/>
        <w:rPr>
          <w:rFonts w:hint="default" w:ascii="Times New Roman" w:hAnsi="Times New Roman" w:cs="Times New Roman"/>
          <w:color w:val="auto"/>
        </w:rPr>
      </w:pPr>
      <w:r>
        <w:rPr>
          <w:rFonts w:hint="default" w:ascii="Times New Roman" w:hAnsi="Times New Roman" w:cs="Times New Roman"/>
          <w:color w:val="auto"/>
        </w:rPr>
        <w:t>病畜病禽排出的粪尿和尸体中含有病原菌会造成水污染引起传染病的传播和流行，不仅危害畜禽本身也危及人类。猪丹毒、副伤寒、马鼻疽、布鲁氏菌病、炭疽病、钩端螺旋体病和土拉菌病都是水传疾病，口蹄疫、鸡新城病也可以经胃肠道传播。</w:t>
      </w:r>
    </w:p>
    <w:p>
      <w:pPr>
        <w:ind w:firstLine="480"/>
        <w:rPr>
          <w:rFonts w:hint="default" w:ascii="Times New Roman" w:hAnsi="Times New Roman" w:cs="Times New Roman"/>
          <w:color w:val="auto"/>
        </w:rPr>
      </w:pPr>
      <w:r>
        <w:rPr>
          <w:rFonts w:hint="default" w:ascii="Times New Roman" w:hAnsi="Times New Roman" w:cs="Times New Roman"/>
          <w:color w:val="auto"/>
        </w:rPr>
        <w:t>（2）防疫卫生措施</w:t>
      </w:r>
    </w:p>
    <w:p>
      <w:pPr>
        <w:ind w:firstLine="480"/>
        <w:rPr>
          <w:rFonts w:hint="default" w:ascii="Times New Roman" w:hAnsi="Times New Roman" w:cs="Times New Roman"/>
          <w:color w:val="auto"/>
        </w:rPr>
      </w:pPr>
      <w:r>
        <w:rPr>
          <w:rFonts w:hint="default" w:ascii="Times New Roman" w:hAnsi="Times New Roman" w:cs="Times New Roman"/>
          <w:color w:val="auto"/>
        </w:rPr>
        <w:t>结合项目特点，评价要求采取如下措施以加强养殖区的环境管理和疾病传播的预防措施：</w:t>
      </w:r>
    </w:p>
    <w:p>
      <w:pPr>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①</w:t>
      </w:r>
      <w:r>
        <w:rPr>
          <w:rFonts w:hint="default" w:ascii="Times New Roman" w:hAnsi="Times New Roman" w:cs="Times New Roman"/>
          <w:color w:val="auto"/>
        </w:rPr>
        <w:fldChar w:fldCharType="end"/>
      </w:r>
      <w:r>
        <w:rPr>
          <w:rFonts w:hint="default" w:ascii="Times New Roman" w:hAnsi="Times New Roman" w:cs="Times New Roman"/>
          <w:color w:val="auto"/>
        </w:rPr>
        <w:t>严格“三区分离”制度，将办公区、养殖区和粪污处理处置区分离开来，防止交叉污染。</w:t>
      </w:r>
    </w:p>
    <w:p>
      <w:pPr>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②</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母猪</w:t>
      </w:r>
      <w:r>
        <w:rPr>
          <w:rFonts w:hint="default" w:ascii="Times New Roman" w:hAnsi="Times New Roman" w:cs="Times New Roman"/>
          <w:color w:val="auto"/>
        </w:rPr>
        <w:t>猪出场设置专门出猪台，避免购猪人员和车辆进入养殖区。养殖区设置净道和脏道，并能够保证物流畅通，净道主要运输饲料和由饲养员和兽医等通行；脏道主要作为粪污运输通道，为避免交叉污染，粪污通过必须避开养殖区进入粪污区，即在养殖区外设置专门通道用于粪污输送。</w:t>
      </w:r>
    </w:p>
    <w:p>
      <w:pPr>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③</w:t>
      </w:r>
      <w:r>
        <w:rPr>
          <w:rFonts w:hint="default" w:ascii="Times New Roman" w:hAnsi="Times New Roman" w:cs="Times New Roman"/>
          <w:color w:val="auto"/>
        </w:rPr>
        <w:fldChar w:fldCharType="end"/>
      </w:r>
      <w:r>
        <w:rPr>
          <w:rFonts w:hint="default" w:ascii="Times New Roman" w:hAnsi="Times New Roman" w:cs="Times New Roman"/>
          <w:color w:val="auto"/>
        </w:rPr>
        <w:t>进入养殖区各出入口必须设置消毒池，出入车辆必须经消毒池进行消毒处理，消毒池应设置门楼和防水堰，防止雨水大量进入导致消毒液外溢污染；主场区门口设置喷雾消毒室，饲养员、兽医、管理员必须经消毒室进行消毒处理，消毒时间2-5分钟。入场外来人员（其他养殖场或非本区生产人员）若要去养殖区，则需要隔离一周才能进去。项目在养殖区设置饲养员休息室，尽量避免饲养员经常出入养殖区，减降病菌交叉污染的几率。</w:t>
      </w:r>
    </w:p>
    <w:p>
      <w:pPr>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4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④</w:t>
      </w:r>
      <w:r>
        <w:rPr>
          <w:rFonts w:hint="default" w:ascii="Times New Roman" w:hAnsi="Times New Roman" w:cs="Times New Roman"/>
          <w:color w:val="auto"/>
        </w:rPr>
        <w:fldChar w:fldCharType="end"/>
      </w:r>
      <w:r>
        <w:rPr>
          <w:rFonts w:hint="default" w:ascii="Times New Roman" w:hAnsi="Times New Roman" w:cs="Times New Roman"/>
          <w:color w:val="auto"/>
        </w:rPr>
        <w:t>设置专门兽医和外事专干，外事专干员应能够保证与农、畜、环保等部门的经常沟通与交流；兽医室应配备专门防疫设备和通信装置，以保证兽医能够及时掌握养殖行业疾病防治和传播最新信息，做到防患于未然。</w:t>
      </w:r>
    </w:p>
    <w:p>
      <w:pPr>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5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⑤</w:t>
      </w:r>
      <w:r>
        <w:rPr>
          <w:rFonts w:hint="default" w:ascii="Times New Roman" w:hAnsi="Times New Roman" w:cs="Times New Roman"/>
          <w:color w:val="auto"/>
        </w:rPr>
        <w:fldChar w:fldCharType="end"/>
      </w:r>
      <w:r>
        <w:rPr>
          <w:rFonts w:hint="default" w:ascii="Times New Roman" w:hAnsi="Times New Roman" w:cs="Times New Roman"/>
          <w:color w:val="auto"/>
        </w:rPr>
        <w:t>《畜禽养殖业污染防治技术规范》（HJ/T81-2001）规定，养殖场场区、畜禽舍、器械等消毒应采用环境友好的消毒剂和消毒措施（包括紫外线、臭氧、双氧水等方法），防止产生氯代有机物及其它的二次污染物。</w:t>
      </w:r>
    </w:p>
    <w:p>
      <w:pPr>
        <w:ind w:firstLine="480"/>
        <w:rPr>
          <w:rFonts w:hint="default" w:ascii="Times New Roman" w:hAnsi="Times New Roman" w:cs="Times New Roman"/>
          <w:color w:val="auto"/>
        </w:rPr>
      </w:pPr>
      <w:r>
        <w:rPr>
          <w:rFonts w:hint="default" w:ascii="Times New Roman" w:hAnsi="Times New Roman" w:cs="Times New Roman"/>
          <w:color w:val="auto"/>
        </w:rPr>
        <w:t>企业经严格的畜禽规范化管理措施后，其疾病控制能力将大大提高，因此，评价认为，其出现重大疾病传播的可能性很小。</w:t>
      </w:r>
    </w:p>
    <w:p>
      <w:pPr>
        <w:tabs>
          <w:tab w:val="left" w:pos="5625"/>
        </w:tabs>
        <w:ind w:firstLine="480"/>
        <w:outlineLvl w:val="3"/>
        <w:rPr>
          <w:rFonts w:hint="default" w:ascii="Times New Roman" w:hAnsi="Times New Roman" w:cs="Times New Roman"/>
          <w:color w:val="auto"/>
        </w:rPr>
      </w:pPr>
      <w:r>
        <w:rPr>
          <w:rFonts w:hint="default" w:ascii="Times New Roman" w:hAnsi="Times New Roman" w:cs="Times New Roman"/>
          <w:color w:val="auto"/>
        </w:rPr>
        <w:t>6.2.7.2病死畜禽尸体的处理与处置</w:t>
      </w:r>
    </w:p>
    <w:p>
      <w:pPr>
        <w:ind w:firstLine="480"/>
        <w:rPr>
          <w:rFonts w:hint="default" w:ascii="Times New Roman" w:hAnsi="Times New Roman" w:cs="Times New Roman"/>
          <w:color w:val="auto"/>
        </w:rPr>
      </w:pPr>
      <w:r>
        <w:rPr>
          <w:rFonts w:hint="default" w:ascii="Times New Roman" w:hAnsi="Times New Roman" w:cs="Times New Roman"/>
          <w:color w:val="auto"/>
        </w:rPr>
        <w:t>《畜禽养殖业污染防治技术规范》（HJ/T81－2001）第9条规定：</w:t>
      </w:r>
    </w:p>
    <w:p>
      <w:pPr>
        <w:ind w:firstLine="480"/>
        <w:rPr>
          <w:rFonts w:hint="default" w:ascii="Times New Roman" w:hAnsi="Times New Roman" w:cs="Times New Roman"/>
          <w:color w:val="auto"/>
        </w:rPr>
      </w:pPr>
      <w:r>
        <w:rPr>
          <w:rFonts w:hint="default" w:ascii="Times New Roman" w:hAnsi="Times New Roman" w:cs="Times New Roman"/>
          <w:color w:val="auto"/>
        </w:rPr>
        <w:t>（1）病死畜禽尸体要及时处理，严禁随意丢弃，严禁出售或作为饲料再利用。</w:t>
      </w:r>
    </w:p>
    <w:p>
      <w:pPr>
        <w:ind w:firstLine="480"/>
        <w:rPr>
          <w:rFonts w:hint="default" w:ascii="Times New Roman" w:hAnsi="Times New Roman" w:cs="Times New Roman"/>
          <w:color w:val="auto"/>
        </w:rPr>
      </w:pPr>
      <w:r>
        <w:rPr>
          <w:rFonts w:hint="default" w:ascii="Times New Roman" w:hAnsi="Times New Roman" w:cs="Times New Roman"/>
          <w:color w:val="auto"/>
        </w:rPr>
        <w:t>（2）病死禽畜尸体处理应采用焚烧炉焚烧的方法，在养殖场比较集中的地区；应集中设置焚烧设施；同时焚烧产生的烟气应采取有效的净化措施，防止烟尘、一氧化碳、恶臭等对周围大气环境的污染。</w:t>
      </w:r>
    </w:p>
    <w:p>
      <w:pPr>
        <w:ind w:firstLine="480"/>
        <w:rPr>
          <w:rFonts w:hint="default" w:ascii="Times New Roman" w:hAnsi="Times New Roman" w:cs="Times New Roman"/>
          <w:color w:val="auto"/>
        </w:rPr>
      </w:pPr>
      <w:r>
        <w:rPr>
          <w:rFonts w:hint="default" w:ascii="Times New Roman" w:hAnsi="Times New Roman" w:cs="Times New Roman"/>
          <w:color w:val="auto"/>
        </w:rPr>
        <w:t>（3）不具备焚烧条件的养殖场应设置两个以上安全填埋井，填埋井应为混凝土结构，深度大于2m，直径1m，井口加盖密封。进行填埋时，在每次投入畜禽尸体后，应覆盖一层厚度大于10cm的熟石灰，井填满后，须用粘土填埋压实并封口。</w:t>
      </w:r>
    </w:p>
    <w:p>
      <w:pPr>
        <w:ind w:firstLine="480"/>
        <w:rPr>
          <w:rFonts w:hint="default" w:ascii="Times New Roman" w:hAnsi="Times New Roman" w:cs="Times New Roman"/>
          <w:color w:val="auto"/>
        </w:rPr>
      </w:pPr>
      <w:r>
        <w:rPr>
          <w:rFonts w:hint="default" w:ascii="Times New Roman" w:hAnsi="Times New Roman" w:cs="Times New Roman"/>
          <w:color w:val="auto"/>
        </w:rPr>
        <w:t>《畜禽规模养殖污染防治条例》第二十一条规定：染疫畜禽以及染疫畜禽排泄物、染疫畜禽产品、病死或者死因不明的畜禽尸体等病害畜禽养殖废弃物，应当按照有关法律、法规和国务院农牧主管部门的规 定，进行深埋、化制、焚烧等无害化处理，不得随意处置。</w:t>
      </w:r>
    </w:p>
    <w:p>
      <w:pPr>
        <w:ind w:firstLine="480"/>
        <w:rPr>
          <w:rFonts w:hint="default" w:ascii="Times New Roman" w:hAnsi="Times New Roman" w:cs="Times New Roman"/>
          <w:color w:val="auto"/>
        </w:rPr>
      </w:pPr>
      <w:r>
        <w:rPr>
          <w:rFonts w:hint="default" w:ascii="Times New Roman" w:hAnsi="Times New Roman" w:cs="Times New Roman"/>
          <w:color w:val="auto"/>
        </w:rPr>
        <w:t>本项目病死猪产生量较小，综合考虑不宜设置焚烧炉，为了使病死猪达到灭害</w:t>
      </w:r>
      <w:r>
        <w:rPr>
          <w:rFonts w:hint="default" w:ascii="Times New Roman" w:hAnsi="Times New Roman" w:cs="Times New Roman"/>
          <w:color w:val="auto"/>
          <w:spacing w:val="-3"/>
        </w:rPr>
        <w:t>的处理，采用高温处理机进行无害化处理，处理后的废物作为有机肥料原</w:t>
      </w:r>
      <w:r>
        <w:rPr>
          <w:rFonts w:hint="default" w:ascii="Times New Roman" w:hAnsi="Times New Roman" w:cs="Times New Roman"/>
          <w:color w:val="auto"/>
          <w:spacing w:val="-105"/>
        </w:rPr>
        <w:t xml:space="preserve"> </w:t>
      </w:r>
      <w:r>
        <w:rPr>
          <w:rFonts w:hint="default" w:ascii="Times New Roman" w:hAnsi="Times New Roman" w:cs="Times New Roman"/>
          <w:color w:val="auto"/>
        </w:rPr>
        <w:t>料进行外售，符合以上要求。</w:t>
      </w:r>
    </w:p>
    <w:p>
      <w:pPr>
        <w:pStyle w:val="11"/>
        <w:spacing w:before="38" w:line="367" w:lineRule="auto"/>
        <w:ind w:right="235" w:firstLine="468"/>
        <w:rPr>
          <w:rFonts w:hint="default" w:ascii="Times New Roman" w:hAnsi="Times New Roman" w:cs="Times New Roman"/>
          <w:color w:val="auto"/>
        </w:rPr>
      </w:pPr>
      <w:r>
        <w:rPr>
          <w:rFonts w:hint="default" w:ascii="Times New Roman" w:hAnsi="Times New Roman" w:cs="Times New Roman"/>
          <w:color w:val="auto"/>
          <w:spacing w:val="-3"/>
        </w:rPr>
        <w:t>评价要求企业在营运期，应积极落实病死猪的处置措施，以防止疾病和疫菌</w:t>
      </w:r>
      <w:r>
        <w:rPr>
          <w:rFonts w:hint="default" w:ascii="Times New Roman" w:hAnsi="Times New Roman" w:cs="Times New Roman"/>
          <w:color w:val="auto"/>
        </w:rPr>
        <w:t>传播。</w:t>
      </w:r>
    </w:p>
    <w:p>
      <w:pPr>
        <w:tabs>
          <w:tab w:val="left" w:pos="5625"/>
        </w:tabs>
        <w:ind w:firstLine="480"/>
        <w:outlineLvl w:val="3"/>
        <w:rPr>
          <w:rFonts w:hint="default" w:ascii="Times New Roman" w:hAnsi="Times New Roman" w:cs="Times New Roman"/>
          <w:color w:val="auto"/>
        </w:rPr>
      </w:pPr>
      <w:r>
        <w:rPr>
          <w:rFonts w:hint="default" w:ascii="Times New Roman" w:hAnsi="Times New Roman" w:cs="Times New Roman"/>
          <w:color w:val="auto"/>
        </w:rPr>
        <w:t>6.2.7.3医疗废物的处理与处置</w:t>
      </w:r>
    </w:p>
    <w:p>
      <w:pPr>
        <w:ind w:firstLine="480"/>
        <w:rPr>
          <w:rFonts w:hint="default" w:ascii="Times New Roman" w:hAnsi="Times New Roman" w:cs="Times New Roman"/>
          <w:color w:val="auto"/>
        </w:rPr>
      </w:pPr>
      <w:r>
        <w:rPr>
          <w:rFonts w:hint="default" w:ascii="Times New Roman" w:hAnsi="Times New Roman" w:cs="Times New Roman"/>
          <w:color w:val="auto"/>
        </w:rPr>
        <w:t>生猪在生长过程接种免疫或发病期接受治疗产生的少量医疗废物，定期交由有处理资质的单位进行处置。</w:t>
      </w:r>
    </w:p>
    <w:p>
      <w:pPr>
        <w:pStyle w:val="5"/>
        <w:rPr>
          <w:rFonts w:hint="default" w:ascii="Times New Roman" w:hAnsi="Times New Roman" w:cs="Times New Roman"/>
          <w:color w:val="auto"/>
          <w:lang w:val="en-US"/>
        </w:rPr>
      </w:pPr>
      <w:r>
        <w:rPr>
          <w:rFonts w:hint="default" w:ascii="Times New Roman" w:hAnsi="Times New Roman" w:cs="Times New Roman"/>
          <w:color w:val="auto"/>
          <w:lang w:val="en-US"/>
        </w:rPr>
        <w:t>6.2.8雨污分流、粪便及废水处置设施“三防”措施</w:t>
      </w:r>
    </w:p>
    <w:p>
      <w:pPr>
        <w:ind w:firstLine="480"/>
        <w:rPr>
          <w:rFonts w:hint="default" w:ascii="Times New Roman" w:hAnsi="Times New Roman" w:cs="Times New Roman"/>
          <w:color w:val="auto"/>
        </w:rPr>
      </w:pPr>
      <w:r>
        <w:rPr>
          <w:rFonts w:hint="default" w:ascii="Times New Roman" w:hAnsi="Times New Roman" w:cs="Times New Roman"/>
          <w:color w:val="auto"/>
        </w:rPr>
        <w:t>根据《畜禽养殖业污染防治技术规范》（HJ/T81－2001）规定：</w:t>
      </w:r>
    </w:p>
    <w:p>
      <w:pPr>
        <w:ind w:firstLine="480"/>
        <w:rPr>
          <w:rFonts w:hint="default" w:ascii="Times New Roman" w:hAnsi="Times New Roman" w:cs="Times New Roman"/>
          <w:color w:val="auto"/>
        </w:rPr>
      </w:pPr>
      <w:r>
        <w:rPr>
          <w:rFonts w:hint="default" w:ascii="Times New Roman" w:hAnsi="Times New Roman" w:cs="Times New Roman"/>
          <w:color w:val="auto"/>
        </w:rPr>
        <w:t>1、养殖场的排水系统应实行雨水和污水收集输送系统分离，在场区内外设置的污水收集输送系统，不得采取明沟布设。</w:t>
      </w:r>
    </w:p>
    <w:p>
      <w:pPr>
        <w:ind w:firstLine="480"/>
        <w:rPr>
          <w:rFonts w:hint="default" w:ascii="Times New Roman" w:hAnsi="Times New Roman" w:cs="Times New Roman"/>
          <w:color w:val="auto"/>
        </w:rPr>
      </w:pPr>
      <w:r>
        <w:rPr>
          <w:rFonts w:hint="default" w:ascii="Times New Roman" w:hAnsi="Times New Roman" w:cs="Times New Roman"/>
          <w:color w:val="auto"/>
        </w:rPr>
        <w:t>2、贮存设施应采取有效的防渗处理工艺，防止畜禽粪便污染地下水。</w:t>
      </w:r>
    </w:p>
    <w:p>
      <w:pPr>
        <w:ind w:firstLine="480"/>
        <w:rPr>
          <w:rFonts w:hint="default" w:ascii="Times New Roman" w:hAnsi="Times New Roman" w:cs="Times New Roman"/>
          <w:color w:val="auto"/>
        </w:rPr>
      </w:pPr>
      <w:r>
        <w:rPr>
          <w:rFonts w:hint="default" w:ascii="Times New Roman" w:hAnsi="Times New Roman" w:cs="Times New Roman"/>
          <w:color w:val="auto"/>
        </w:rPr>
        <w:t>3、贮存设施应采取设置顶盖或围堰等防止降雨(水)进入的措施。</w:t>
      </w:r>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因此，企业必须建设雨、污分流管网，雨水管网建设时，沟深约20～30cm即可。排污沟应采取暗沟形式，同时应具备防止淤集以利于定期清理的条件，排污沟应采取硬化措施和围堰。下雨天，全场雨水经雨水管收集后，</w:t>
      </w:r>
      <w:r>
        <w:rPr>
          <w:rFonts w:hint="default" w:ascii="Times New Roman" w:hAnsi="Times New Roman" w:cs="Times New Roman"/>
          <w:color w:val="auto"/>
          <w:lang w:eastAsia="zh-CN"/>
        </w:rPr>
        <w:t>排至场外</w:t>
      </w:r>
      <w:r>
        <w:rPr>
          <w:rFonts w:hint="default" w:ascii="Times New Roman" w:hAnsi="Times New Roman" w:cs="Times New Roman"/>
          <w:color w:val="auto"/>
        </w:rPr>
        <w:t>。</w:t>
      </w:r>
    </w:p>
    <w:p>
      <w:pPr>
        <w:ind w:firstLine="480"/>
        <w:rPr>
          <w:rFonts w:hint="default" w:ascii="Times New Roman" w:hAnsi="Times New Roman" w:cs="Times New Roman"/>
          <w:color w:val="auto"/>
        </w:rPr>
      </w:pPr>
      <w:r>
        <w:rPr>
          <w:rFonts w:hint="default" w:ascii="Times New Roman" w:hAnsi="Times New Roman" w:cs="Times New Roman"/>
          <w:color w:val="auto"/>
        </w:rPr>
        <w:t>根据本项目特点，评价要求以下设施应具备“三防”措施：</w:t>
      </w:r>
    </w:p>
    <w:p>
      <w:pPr>
        <w:spacing w:afterLines="30" w:line="500" w:lineRule="exact"/>
        <w:ind w:firstLine="422"/>
        <w:jc w:val="left"/>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表6.2-7     项目雨污分流、粪便及废水处置设施“三防”措施一览表</w:t>
      </w:r>
    </w:p>
    <w:tbl>
      <w:tblPr>
        <w:tblStyle w:val="25"/>
        <w:tblW w:w="8900" w:type="dxa"/>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43"/>
        <w:gridCol w:w="1025"/>
        <w:gridCol w:w="4877"/>
        <w:gridCol w:w="2455"/>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543"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025"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4877"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保护措施</w:t>
            </w:r>
          </w:p>
        </w:tc>
        <w:tc>
          <w:tcPr>
            <w:tcW w:w="2455"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达到效果</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3"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25"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配套消纳地施肥</w:t>
            </w:r>
          </w:p>
        </w:tc>
        <w:tc>
          <w:tcPr>
            <w:tcW w:w="4877"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沼液存储池</w:t>
            </w:r>
            <w:r>
              <w:rPr>
                <w:rFonts w:hint="default" w:ascii="Times New Roman" w:hAnsi="Times New Roman" w:cs="Times New Roman"/>
                <w:color w:val="auto"/>
                <w:sz w:val="21"/>
                <w:szCs w:val="21"/>
              </w:rPr>
              <w:t>设计容积满足农闲期沼液产生量并采取防渗处理措施，合理控制施肥频次和施肥量</w:t>
            </w:r>
          </w:p>
        </w:tc>
        <w:tc>
          <w:tcPr>
            <w:tcW w:w="2455" w:type="dxa"/>
            <w:vMerge w:val="restart"/>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各反应池符合《规模化畜禽养殖场沼气工程设计规范》（NY/T1222）和《混凝土结构设计规范》（GB50010）的要求，具备“防渗、防雨、防溢”的三防措施；畜禽粪便的贮存相关要求，应具备防渗、防风、防雨的“三防”措施，雨污分流，满足《畜禽养殖业污染防治技术规范》（HJ/T81－2001）要求</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3"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025"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污水处理系统</w:t>
            </w:r>
          </w:p>
        </w:tc>
        <w:tc>
          <w:tcPr>
            <w:tcW w:w="4877"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评价要求污水处理设施严格做好防渗措施</w:t>
            </w:r>
          </w:p>
        </w:tc>
        <w:tc>
          <w:tcPr>
            <w:tcW w:w="2455" w:type="dxa"/>
            <w:vMerge w:val="continue"/>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3"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025"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固粪处理区</w:t>
            </w:r>
          </w:p>
        </w:tc>
        <w:tc>
          <w:tcPr>
            <w:tcW w:w="4877"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地面进行硬化，半封闭装置。</w:t>
            </w:r>
          </w:p>
        </w:tc>
        <w:tc>
          <w:tcPr>
            <w:tcW w:w="2455" w:type="dxa"/>
            <w:vMerge w:val="continue"/>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1" w:hRule="atLeast"/>
          <w:jc w:val="center"/>
        </w:trPr>
        <w:tc>
          <w:tcPr>
            <w:tcW w:w="543"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025"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场区雨、污管网</w:t>
            </w:r>
          </w:p>
        </w:tc>
        <w:tc>
          <w:tcPr>
            <w:tcW w:w="4877"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雨污分流，雨水明渠，宽30cm、深20cm，尿道、粪道采用混凝土防渗，严格按照畜禽养殖业污染防治技术规范要求进行建设</w:t>
            </w:r>
          </w:p>
        </w:tc>
        <w:tc>
          <w:tcPr>
            <w:tcW w:w="2455" w:type="dxa"/>
            <w:vMerge w:val="continue"/>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p>
        </w:tc>
      </w:tr>
    </w:tbl>
    <w:p>
      <w:pPr>
        <w:pStyle w:val="5"/>
        <w:rPr>
          <w:rFonts w:hint="default" w:ascii="Times New Roman" w:hAnsi="Times New Roman" w:cs="Times New Roman"/>
          <w:color w:val="auto"/>
          <w:lang w:val="en-US"/>
        </w:rPr>
      </w:pPr>
      <w:r>
        <w:rPr>
          <w:rFonts w:hint="default" w:ascii="Times New Roman" w:hAnsi="Times New Roman" w:cs="Times New Roman"/>
          <w:color w:val="auto"/>
          <w:lang w:val="en-US"/>
        </w:rPr>
        <w:t>6.2.9净道、污道建设环保措施</w:t>
      </w:r>
      <w:r>
        <w:rPr>
          <w:rFonts w:hint="default" w:ascii="Times New Roman" w:hAnsi="Times New Roman" w:cs="Times New Roman"/>
          <w:color w:val="auto"/>
          <w:lang w:val="en-US"/>
        </w:rPr>
        <w:tab/>
      </w:r>
    </w:p>
    <w:p>
      <w:pPr>
        <w:pStyle w:val="7"/>
        <w:ind w:firstLine="480" w:firstLineChars="200"/>
        <w:rPr>
          <w:rFonts w:hint="default" w:ascii="Times New Roman" w:hAnsi="Times New Roman" w:cs="Times New Roman"/>
          <w:color w:val="auto"/>
          <w:sz w:val="24"/>
          <w:szCs w:val="18"/>
        </w:rPr>
      </w:pPr>
      <w:r>
        <w:rPr>
          <w:rFonts w:hint="default" w:ascii="Times New Roman" w:hAnsi="Times New Roman" w:cs="Times New Roman"/>
          <w:color w:val="auto"/>
          <w:sz w:val="24"/>
          <w:szCs w:val="18"/>
        </w:rPr>
        <w:t>猪场净道是指专门用于运送饲料、健康生猪和其他安全生产物资，以及从事正常生产管理活动等所使用的专用通道，属于猪场的生物安全区或者相对洁净区。猪场污道是指专门用于运送粪污、病猪、死猪、其他不安全污染物物质及处置疫情等所使用的专用通道，属于猪场的生物非安全区或相对污染区。</w:t>
      </w:r>
    </w:p>
    <w:p>
      <w:pPr>
        <w:pStyle w:val="7"/>
        <w:ind w:firstLine="480" w:firstLineChars="200"/>
        <w:rPr>
          <w:rFonts w:hint="default" w:ascii="Times New Roman" w:hAnsi="Times New Roman" w:cs="Times New Roman"/>
          <w:color w:val="auto"/>
          <w:sz w:val="24"/>
          <w:szCs w:val="18"/>
        </w:rPr>
      </w:pPr>
      <w:r>
        <w:rPr>
          <w:rFonts w:hint="default" w:ascii="Times New Roman" w:hAnsi="Times New Roman" w:cs="Times New Roman"/>
          <w:color w:val="auto"/>
          <w:sz w:val="24"/>
          <w:szCs w:val="18"/>
        </w:rPr>
        <w:t>本项目净污道分别设置，相互独立，互不相通，尽量避免交叉；净道分级，将净道细分为两级，生产区内为一级，生产区外为二级，与一级净道相连的所有进出口及净道区主要建筑物的进出口均设置能满足需要的不同级别的消毒通道；净污道分别设置容易区分且反差明显的标识；生猪及物资的转运采用特制专用的运输工具，不再另设赶猪道。</w:t>
      </w:r>
    </w:p>
    <w:p>
      <w:pPr>
        <w:pStyle w:val="7"/>
        <w:ind w:firstLine="480" w:firstLineChars="200"/>
        <w:rPr>
          <w:rFonts w:hint="default" w:ascii="Times New Roman" w:hAnsi="Times New Roman" w:cs="Times New Roman"/>
          <w:color w:val="auto"/>
          <w:sz w:val="24"/>
          <w:szCs w:val="18"/>
        </w:rPr>
      </w:pPr>
      <w:r>
        <w:rPr>
          <w:rFonts w:hint="default" w:ascii="Times New Roman" w:hAnsi="Times New Roman" w:cs="Times New Roman"/>
          <w:color w:val="auto"/>
          <w:sz w:val="24"/>
          <w:szCs w:val="18"/>
        </w:rPr>
        <w:t>猪场净污道分设有利于猪场的生物安全，最大限度避免了猪场内部交叉污染；有利于猪场的管理，分区在管理上主次清楚，便于猪场资源的合理配置。</w:t>
      </w:r>
    </w:p>
    <w:p>
      <w:pPr>
        <w:pStyle w:val="5"/>
        <w:rPr>
          <w:rFonts w:hint="default" w:ascii="Times New Roman" w:hAnsi="Times New Roman" w:cs="Times New Roman"/>
          <w:color w:val="auto"/>
          <w:lang w:val="en-US"/>
        </w:rPr>
      </w:pPr>
      <w:r>
        <w:rPr>
          <w:rFonts w:hint="default" w:ascii="Times New Roman" w:hAnsi="Times New Roman" w:cs="Times New Roman"/>
          <w:color w:val="auto"/>
          <w:lang w:val="en-US"/>
        </w:rPr>
        <w:t>6.2.10绿化</w:t>
      </w:r>
    </w:p>
    <w:p>
      <w:pPr>
        <w:tabs>
          <w:tab w:val="left" w:pos="5625"/>
        </w:tabs>
        <w:ind w:firstLine="480"/>
        <w:outlineLvl w:val="3"/>
        <w:rPr>
          <w:rFonts w:hint="default" w:ascii="Times New Roman" w:hAnsi="Times New Roman" w:cs="Times New Roman"/>
          <w:color w:val="auto"/>
        </w:rPr>
      </w:pPr>
      <w:r>
        <w:rPr>
          <w:rFonts w:hint="default" w:ascii="Times New Roman" w:hAnsi="Times New Roman" w:cs="Times New Roman"/>
          <w:color w:val="auto"/>
        </w:rPr>
        <w:t>6.2.10.1原则要求</w:t>
      </w:r>
    </w:p>
    <w:p>
      <w:pPr>
        <w:ind w:firstLine="480"/>
        <w:rPr>
          <w:rFonts w:hint="default" w:ascii="Times New Roman" w:hAnsi="Times New Roman" w:cs="Times New Roman"/>
          <w:color w:val="auto"/>
        </w:rPr>
      </w:pPr>
      <w:r>
        <w:rPr>
          <w:rFonts w:hint="default" w:ascii="Times New Roman" w:hAnsi="Times New Roman" w:cs="Times New Roman"/>
          <w:color w:val="auto"/>
        </w:rPr>
        <w:t>（1）在规划设计前要对猪场的自然条件、生产性质、规模、污染状况等进行充分的调查。要从保护环境的观点出发，合理规划。合理地设置猪场饲养猪的类型、头数，从而优化猪场本身的生态条件。</w:t>
      </w:r>
    </w:p>
    <w:p>
      <w:pPr>
        <w:ind w:firstLine="480"/>
        <w:rPr>
          <w:rFonts w:hint="default" w:ascii="Times New Roman" w:hAnsi="Times New Roman" w:cs="Times New Roman"/>
          <w:color w:val="auto"/>
        </w:rPr>
      </w:pPr>
      <w:r>
        <w:rPr>
          <w:rFonts w:hint="default" w:ascii="Times New Roman" w:hAnsi="Times New Roman" w:cs="Times New Roman"/>
          <w:color w:val="auto"/>
        </w:rPr>
        <w:t>（2）猪场的绿化规划是总体规划的有机组成部分，要在猪场建设总规划的同时进行绿化规划。要本着统一安排、统一布局的原则进行，规划时既要有长远考虑，又要有近期安排，要与全场的建设协调一致。</w:t>
      </w:r>
    </w:p>
    <w:p>
      <w:pPr>
        <w:ind w:firstLine="480"/>
        <w:rPr>
          <w:rFonts w:hint="default" w:ascii="Times New Roman" w:hAnsi="Times New Roman" w:cs="Times New Roman"/>
          <w:color w:val="auto"/>
        </w:rPr>
      </w:pPr>
      <w:r>
        <w:rPr>
          <w:rFonts w:hint="default" w:ascii="Times New Roman" w:hAnsi="Times New Roman" w:cs="Times New Roman"/>
          <w:color w:val="auto"/>
        </w:rPr>
        <w:t>（3）绿化规划设计布局要合理，以保证安全生产。绿化时不能影响地下、地上管线和车间生产的采光。</w:t>
      </w:r>
    </w:p>
    <w:p>
      <w:pPr>
        <w:ind w:firstLine="480"/>
        <w:rPr>
          <w:rFonts w:hint="default" w:ascii="Times New Roman" w:hAnsi="Times New Roman" w:cs="Times New Roman"/>
          <w:color w:val="auto"/>
        </w:rPr>
      </w:pPr>
      <w:r>
        <w:rPr>
          <w:rFonts w:hint="default" w:ascii="Times New Roman" w:hAnsi="Times New Roman" w:cs="Times New Roman"/>
          <w:color w:val="auto"/>
        </w:rPr>
        <w:t>（4）在进行绿化苗木选择时要考虑各功能区特点、地形、土质特点、环境污染等情况。为了达到良好的绿化美化效果，树种的选择，除考虑其满足绿化设计功能、易生长、抗病害等因素外，还要考虑其具有较强的抗污染和净化空气的功能。在满足各项功能要求的前提下，还可适当结合猪场生产，种植一些经济植物，以充分合理地利用土地，提高整场的经济效益。</w:t>
      </w:r>
    </w:p>
    <w:p>
      <w:pPr>
        <w:tabs>
          <w:tab w:val="left" w:pos="5625"/>
        </w:tabs>
        <w:ind w:firstLine="480"/>
        <w:outlineLvl w:val="3"/>
        <w:rPr>
          <w:rFonts w:hint="default" w:ascii="Times New Roman" w:hAnsi="Times New Roman" w:cs="Times New Roman"/>
          <w:color w:val="auto"/>
        </w:rPr>
      </w:pPr>
      <w:r>
        <w:rPr>
          <w:rFonts w:hint="default" w:ascii="Times New Roman" w:hAnsi="Times New Roman" w:cs="Times New Roman"/>
          <w:color w:val="auto"/>
        </w:rPr>
        <w:t>6.2.10.2绿化措施</w:t>
      </w:r>
    </w:p>
    <w:p>
      <w:pPr>
        <w:ind w:firstLine="480"/>
        <w:rPr>
          <w:rFonts w:hint="default" w:ascii="Times New Roman" w:hAnsi="Times New Roman" w:cs="Times New Roman"/>
          <w:color w:val="auto"/>
        </w:rPr>
      </w:pPr>
      <w:r>
        <w:rPr>
          <w:rFonts w:hint="default" w:ascii="Times New Roman" w:hAnsi="Times New Roman" w:cs="Times New Roman"/>
          <w:color w:val="auto"/>
        </w:rPr>
        <w:t>（1）场区隔离带的设计：场内各区，如养殖区、生活区及行政管理区的四周，都应设置隔离林带，采用绿篱植物小叶杨树、松树、榆树、丁香、榆叶等，或以栽种刺笆为主。刺笆可选陈刺、黄刺梅、红玫瑰、野蔷薇、花椒等，以起到防疫、隔离、安全等作用。</w:t>
      </w:r>
    </w:p>
    <w:p>
      <w:pPr>
        <w:ind w:firstLine="480"/>
        <w:rPr>
          <w:rFonts w:hint="default" w:ascii="Times New Roman" w:hAnsi="Times New Roman" w:cs="Times New Roman"/>
          <w:color w:val="auto"/>
        </w:rPr>
      </w:pPr>
      <w:r>
        <w:rPr>
          <w:rFonts w:hint="default" w:ascii="Times New Roman" w:hAnsi="Times New Roman" w:cs="Times New Roman"/>
          <w:color w:val="auto"/>
        </w:rPr>
        <w:t>（2）场区道路绿化：宜采用乔木为主，乔、灌木搭配种植。如选种塔柏、冬青、侧柏等四季常青树种，并配置小叶女贞组成绿化带。</w:t>
      </w:r>
    </w:p>
    <w:p>
      <w:pPr>
        <w:ind w:firstLine="480"/>
        <w:rPr>
          <w:rFonts w:hint="default" w:ascii="Times New Roman" w:hAnsi="Times New Roman" w:cs="Times New Roman"/>
          <w:color w:val="auto"/>
        </w:rPr>
      </w:pPr>
      <w:r>
        <w:rPr>
          <w:rFonts w:hint="default" w:ascii="Times New Roman" w:hAnsi="Times New Roman" w:cs="Times New Roman"/>
          <w:color w:val="auto"/>
        </w:rPr>
        <w:t>（3）对于养殖区内的猪舍，不宜在其四周密植成片的树林，而应多种植低矮的花卉或草坪，以利于通风，便于有害气体扩散。</w:t>
      </w:r>
    </w:p>
    <w:p>
      <w:pPr>
        <w:ind w:firstLine="480"/>
        <w:rPr>
          <w:rFonts w:hint="default" w:ascii="Times New Roman" w:hAnsi="Times New Roman" w:cs="Times New Roman"/>
          <w:color w:val="auto"/>
        </w:rPr>
      </w:pPr>
      <w:r>
        <w:rPr>
          <w:rFonts w:hint="default" w:ascii="Times New Roman" w:hAnsi="Times New Roman" w:cs="Times New Roman"/>
          <w:color w:val="auto"/>
        </w:rPr>
        <w:t>（4）行政管理区和生活区：该区是与外界社会接触和员工生活休息的主要区域。该区的环境绿化可以适当进行园林式的规划，提升企业的形象和优美员工的生活环境。为了丰富色彩，宜种植容易繁殖、栽培和管理的花卉灌木为主。</w:t>
      </w:r>
    </w:p>
    <w:p>
      <w:pPr>
        <w:pStyle w:val="4"/>
        <w:spacing w:before="0" w:after="0"/>
        <w:ind w:firstLine="0" w:firstLineChars="0"/>
        <w:rPr>
          <w:rFonts w:hint="default" w:ascii="Times New Roman" w:hAnsi="Times New Roman" w:cs="Times New Roman"/>
          <w:color w:val="auto"/>
          <w:sz w:val="28"/>
          <w:szCs w:val="20"/>
        </w:rPr>
      </w:pPr>
      <w:bookmarkStart w:id="599" w:name="_Toc413833480"/>
      <w:bookmarkStart w:id="600" w:name="_Toc409787338"/>
      <w:bookmarkStart w:id="601" w:name="_Toc441509139"/>
      <w:bookmarkStart w:id="602" w:name="_Toc18398"/>
      <w:bookmarkStart w:id="603" w:name="_Toc485580431"/>
      <w:bookmarkStart w:id="604" w:name="_Toc27872"/>
      <w:r>
        <w:rPr>
          <w:rFonts w:hint="default" w:ascii="Times New Roman" w:hAnsi="Times New Roman" w:cs="Times New Roman"/>
          <w:color w:val="auto"/>
          <w:sz w:val="28"/>
          <w:szCs w:val="20"/>
        </w:rPr>
        <w:t>6.3 污染防治环保投资估算</w:t>
      </w:r>
      <w:bookmarkEnd w:id="599"/>
      <w:bookmarkEnd w:id="600"/>
      <w:bookmarkEnd w:id="601"/>
      <w:bookmarkEnd w:id="602"/>
      <w:bookmarkEnd w:id="603"/>
      <w:bookmarkEnd w:id="604"/>
    </w:p>
    <w:p>
      <w:pPr>
        <w:ind w:firstLine="480"/>
        <w:rPr>
          <w:rFonts w:hint="default" w:ascii="Times New Roman" w:hAnsi="Times New Roman" w:cs="Times New Roman"/>
          <w:color w:val="auto"/>
          <w:kern w:val="0"/>
        </w:rPr>
      </w:pPr>
      <w:r>
        <w:rPr>
          <w:rFonts w:hint="default" w:ascii="Times New Roman" w:hAnsi="Times New Roman" w:cs="Times New Roman"/>
          <w:color w:val="auto"/>
          <w:kern w:val="0"/>
        </w:rPr>
        <w:t>项目污染防治措施投资包括运行期的污染防治措施的总投资，预计该项费用总投资为377.5万元，本项目总投资</w:t>
      </w:r>
      <w:r>
        <w:rPr>
          <w:rFonts w:hint="default" w:ascii="Times New Roman" w:hAnsi="Times New Roman" w:cs="Times New Roman"/>
          <w:iCs/>
          <w:color w:val="auto"/>
          <w:kern w:val="0"/>
        </w:rPr>
        <w:t>9012.19</w:t>
      </w:r>
      <w:r>
        <w:rPr>
          <w:rFonts w:hint="default" w:ascii="Times New Roman" w:hAnsi="Times New Roman" w:cs="Times New Roman"/>
          <w:color w:val="auto"/>
          <w:kern w:val="0"/>
        </w:rPr>
        <w:t>万元，环保投资占总投资的比例为4.19%。具体见表6.3-1。</w:t>
      </w:r>
    </w:p>
    <w:p>
      <w:pPr>
        <w:ind w:firstLine="482"/>
        <w:jc w:val="center"/>
        <w:rPr>
          <w:rFonts w:hint="default" w:ascii="Times New Roman" w:hAnsi="Times New Roman" w:cs="Times New Roman"/>
          <w:b/>
          <w:color w:val="auto"/>
        </w:rPr>
      </w:pPr>
      <w:r>
        <w:rPr>
          <w:rFonts w:hint="default" w:ascii="Times New Roman" w:hAnsi="Times New Roman" w:cs="Times New Roman"/>
          <w:b/>
          <w:color w:val="auto"/>
        </w:rPr>
        <w:t>表6.3-1                  项目污染防治投资估算表</w:t>
      </w:r>
    </w:p>
    <w:tbl>
      <w:tblPr>
        <w:tblStyle w:val="25"/>
        <w:tblW w:w="9126" w:type="dxa"/>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90"/>
        <w:gridCol w:w="1707"/>
        <w:gridCol w:w="5774"/>
        <w:gridCol w:w="1055"/>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exact"/>
          <w:tblHeader/>
          <w:jc w:val="center"/>
        </w:trPr>
        <w:tc>
          <w:tcPr>
            <w:tcW w:w="590"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项目</w:t>
            </w:r>
          </w:p>
        </w:tc>
        <w:tc>
          <w:tcPr>
            <w:tcW w:w="1707"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类别</w:t>
            </w:r>
          </w:p>
        </w:tc>
        <w:tc>
          <w:tcPr>
            <w:tcW w:w="5774"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措施内容</w:t>
            </w:r>
          </w:p>
        </w:tc>
        <w:tc>
          <w:tcPr>
            <w:tcW w:w="1055"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投资（万元）</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590" w:type="dxa"/>
            <w:vMerge w:val="restart"/>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废水</w:t>
            </w:r>
          </w:p>
        </w:tc>
        <w:tc>
          <w:tcPr>
            <w:tcW w:w="1707"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生活污水</w:t>
            </w:r>
          </w:p>
        </w:tc>
        <w:tc>
          <w:tcPr>
            <w:tcW w:w="5774" w:type="dxa"/>
            <w:vMerge w:val="restart"/>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 xml:space="preserve">污水处理设施，工艺为“预处理+黑膜厌氧发酵”工艺；1套沼气干法脱硫装置 </w:t>
            </w:r>
          </w:p>
        </w:tc>
        <w:tc>
          <w:tcPr>
            <w:tcW w:w="1055" w:type="dxa"/>
            <w:vMerge w:val="restart"/>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bCs w:val="0"/>
                <w:color w:val="auto"/>
                <w:sz w:val="21"/>
                <w:szCs w:val="21"/>
                <w:u w:val="single"/>
                <w:lang w:val="en-US" w:eastAsia="zh-CN"/>
              </w:rPr>
            </w:pPr>
            <w:r>
              <w:rPr>
                <w:rFonts w:hint="default" w:ascii="Times New Roman" w:hAnsi="Times New Roman" w:eastAsia="宋体" w:cs="Times New Roman"/>
                <w:b/>
                <w:bCs w:val="0"/>
                <w:color w:val="auto"/>
                <w:sz w:val="21"/>
                <w:szCs w:val="21"/>
                <w:u w:val="single"/>
                <w:lang w:val="en-US" w:eastAsia="zh-CN"/>
              </w:rPr>
              <w:t>235</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590" w:type="dxa"/>
            <w:vMerge w:val="continue"/>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p>
        </w:tc>
        <w:tc>
          <w:tcPr>
            <w:tcW w:w="1707"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养殖废水</w:t>
            </w:r>
          </w:p>
        </w:tc>
        <w:tc>
          <w:tcPr>
            <w:tcW w:w="5774" w:type="dxa"/>
            <w:vMerge w:val="continue"/>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p>
        </w:tc>
        <w:tc>
          <w:tcPr>
            <w:tcW w:w="1055" w:type="dxa"/>
            <w:vMerge w:val="continue"/>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2" w:hRule="exact"/>
          <w:jc w:val="center"/>
        </w:trPr>
        <w:tc>
          <w:tcPr>
            <w:tcW w:w="590" w:type="dxa"/>
            <w:vMerge w:val="restart"/>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废气</w:t>
            </w:r>
          </w:p>
        </w:tc>
        <w:tc>
          <w:tcPr>
            <w:tcW w:w="1707"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猪舍臭气</w:t>
            </w:r>
          </w:p>
        </w:tc>
        <w:tc>
          <w:tcPr>
            <w:tcW w:w="5774"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bCs w:val="0"/>
                <w:color w:val="auto"/>
                <w:sz w:val="21"/>
                <w:szCs w:val="21"/>
                <w:u w:val="single"/>
                <w:lang w:eastAsia="zh-CN"/>
              </w:rPr>
            </w:pPr>
            <w:r>
              <w:rPr>
                <w:rFonts w:hint="default" w:ascii="Times New Roman" w:hAnsi="Times New Roman" w:cs="Times New Roman"/>
                <w:b/>
                <w:bCs w:val="0"/>
                <w:color w:val="auto"/>
                <w:sz w:val="21"/>
                <w:szCs w:val="21"/>
                <w:u w:val="single"/>
              </w:rPr>
              <w:t>控制饲养密度，</w:t>
            </w:r>
            <w:r>
              <w:rPr>
                <w:rFonts w:hint="default" w:ascii="Times New Roman" w:hAnsi="Times New Roman" w:eastAsia="宋体" w:cs="Times New Roman"/>
                <w:b/>
                <w:bCs w:val="0"/>
                <w:color w:val="auto"/>
                <w:sz w:val="21"/>
                <w:szCs w:val="21"/>
                <w:u w:val="single"/>
                <w:lang w:eastAsia="zh-CN"/>
              </w:rPr>
              <w:t>调整饲料配方</w:t>
            </w:r>
            <w:r>
              <w:rPr>
                <w:rFonts w:hint="default" w:ascii="Times New Roman" w:hAnsi="Times New Roman" w:cs="Times New Roman"/>
                <w:b/>
                <w:bCs w:val="0"/>
                <w:color w:val="auto"/>
                <w:sz w:val="21"/>
                <w:szCs w:val="21"/>
                <w:u w:val="single"/>
              </w:rPr>
              <w:t>、采用节水型饮水器、全漏缝地板并及时清粪</w:t>
            </w:r>
            <w:r>
              <w:rPr>
                <w:rFonts w:hint="default" w:ascii="Times New Roman" w:hAnsi="Times New Roman" w:cs="Times New Roman"/>
                <w:b/>
                <w:bCs w:val="0"/>
                <w:color w:val="auto"/>
                <w:sz w:val="21"/>
                <w:szCs w:val="21"/>
                <w:u w:val="single"/>
                <w:lang w:eastAsia="zh-CN"/>
              </w:rPr>
              <w:t>、喷洒除臭剂、猪舍出风口处安装过滤吸附除臭装置</w:t>
            </w:r>
          </w:p>
        </w:tc>
        <w:tc>
          <w:tcPr>
            <w:tcW w:w="1055"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2</w:t>
            </w:r>
            <w:r>
              <w:rPr>
                <w:rFonts w:hint="default" w:ascii="Times New Roman" w:hAnsi="Times New Roman" w:cs="Times New Roman"/>
                <w:b/>
                <w:bCs w:val="0"/>
                <w:color w:val="auto"/>
                <w:sz w:val="21"/>
                <w:szCs w:val="21"/>
                <w:u w:val="single"/>
                <w:lang w:val="en-US" w:eastAsia="zh-CN"/>
              </w:rPr>
              <w:t>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23" w:hRule="exact"/>
          <w:jc w:val="center"/>
        </w:trPr>
        <w:tc>
          <w:tcPr>
            <w:tcW w:w="590" w:type="dxa"/>
            <w:vMerge w:val="continue"/>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p>
        </w:tc>
        <w:tc>
          <w:tcPr>
            <w:tcW w:w="1707"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污水处理站</w:t>
            </w:r>
          </w:p>
        </w:tc>
        <w:tc>
          <w:tcPr>
            <w:tcW w:w="5774"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bCs w:val="0"/>
                <w:color w:val="auto"/>
                <w:sz w:val="21"/>
                <w:szCs w:val="21"/>
                <w:u w:val="single"/>
                <w:lang w:eastAsia="zh-CN"/>
              </w:rPr>
            </w:pPr>
            <w:r>
              <w:rPr>
                <w:rFonts w:hint="default" w:ascii="Times New Roman" w:hAnsi="Times New Roman" w:cs="Times New Roman"/>
                <w:b/>
                <w:bCs w:val="0"/>
                <w:color w:val="auto"/>
                <w:sz w:val="21"/>
                <w:szCs w:val="21"/>
                <w:u w:val="single"/>
              </w:rPr>
              <w:t>收集池</w:t>
            </w:r>
            <w:r>
              <w:rPr>
                <w:rFonts w:hint="default" w:ascii="Times New Roman" w:hAnsi="Times New Roman" w:eastAsia="宋体" w:cs="Times New Roman"/>
                <w:b/>
                <w:bCs w:val="0"/>
                <w:color w:val="auto"/>
                <w:sz w:val="21"/>
                <w:szCs w:val="21"/>
                <w:u w:val="single"/>
                <w:lang w:eastAsia="zh-CN"/>
              </w:rPr>
              <w:t>、</w:t>
            </w:r>
            <w:r>
              <w:rPr>
                <w:rFonts w:hint="default" w:ascii="Times New Roman" w:hAnsi="Times New Roman" w:eastAsia="宋体" w:cs="Times New Roman"/>
                <w:b/>
                <w:bCs w:val="0"/>
                <w:color w:val="auto"/>
                <w:sz w:val="21"/>
                <w:szCs w:val="21"/>
                <w:u w:val="single"/>
              </w:rPr>
              <w:t>黑膜沼气池密闭</w:t>
            </w:r>
            <w:r>
              <w:rPr>
                <w:rFonts w:hint="default" w:ascii="Times New Roman" w:hAnsi="Times New Roman" w:eastAsia="宋体" w:cs="Times New Roman"/>
                <w:b/>
                <w:bCs w:val="0"/>
                <w:color w:val="auto"/>
                <w:sz w:val="21"/>
                <w:szCs w:val="21"/>
                <w:u w:val="single"/>
                <w:lang w:eastAsia="zh-CN"/>
              </w:rPr>
              <w:t>，同</w:t>
            </w:r>
            <w:r>
              <w:rPr>
                <w:rFonts w:hint="default" w:ascii="Times New Roman" w:hAnsi="Times New Roman" w:cs="Times New Roman"/>
                <w:b/>
                <w:bCs w:val="0"/>
                <w:color w:val="auto"/>
                <w:sz w:val="21"/>
                <w:szCs w:val="21"/>
                <w:u w:val="single"/>
                <w:lang w:eastAsia="zh-CN"/>
              </w:rPr>
              <w:t>时</w:t>
            </w:r>
            <w:r>
              <w:rPr>
                <w:rFonts w:hint="default" w:ascii="Times New Roman" w:hAnsi="Times New Roman" w:cs="Times New Roman"/>
                <w:b/>
                <w:bCs w:val="0"/>
                <w:color w:val="auto"/>
                <w:sz w:val="21"/>
                <w:szCs w:val="21"/>
                <w:u w:val="single"/>
              </w:rPr>
              <w:t>喷洒除臭剂（除臭剂的喷扫操作方式为人工喷洒，对操作人员强化培训，喷洒频率为：污水处理站运行前期连续喷洒3天每天喷洒一次，之后每隔5天喷洒一次），周边绿化</w:t>
            </w:r>
            <w:r>
              <w:rPr>
                <w:rFonts w:hint="default" w:ascii="Times New Roman" w:hAnsi="Times New Roman" w:cs="Times New Roman"/>
                <w:b/>
                <w:bCs w:val="0"/>
                <w:color w:val="auto"/>
                <w:sz w:val="21"/>
                <w:szCs w:val="21"/>
                <w:u w:val="single"/>
                <w:lang w:eastAsia="zh-CN"/>
              </w:rPr>
              <w:t>、处理措施加盖或加罩</w:t>
            </w:r>
          </w:p>
        </w:tc>
        <w:tc>
          <w:tcPr>
            <w:tcW w:w="1055"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bCs w:val="0"/>
                <w:color w:val="auto"/>
                <w:sz w:val="21"/>
                <w:szCs w:val="21"/>
                <w:u w:val="single"/>
                <w:lang w:eastAsia="zh-CN"/>
              </w:rPr>
            </w:pPr>
            <w:r>
              <w:rPr>
                <w:rFonts w:hint="default" w:ascii="Times New Roman" w:hAnsi="Times New Roman" w:eastAsia="宋体" w:cs="Times New Roman"/>
                <w:b/>
                <w:bCs w:val="0"/>
                <w:color w:val="auto"/>
                <w:sz w:val="21"/>
                <w:szCs w:val="21"/>
                <w:u w:val="single"/>
                <w:lang w:val="en-US" w:eastAsia="zh-CN"/>
              </w:rPr>
              <w:t>5</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05" w:hRule="exact"/>
          <w:jc w:val="center"/>
        </w:trPr>
        <w:tc>
          <w:tcPr>
            <w:tcW w:w="590" w:type="dxa"/>
            <w:vMerge w:val="continue"/>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p>
        </w:tc>
        <w:tc>
          <w:tcPr>
            <w:tcW w:w="1707"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bCs w:val="0"/>
                <w:color w:val="auto"/>
                <w:sz w:val="21"/>
                <w:szCs w:val="21"/>
                <w:u w:val="single"/>
                <w:lang w:eastAsia="zh-CN"/>
              </w:rPr>
            </w:pPr>
            <w:r>
              <w:rPr>
                <w:rFonts w:hint="default" w:ascii="Times New Roman" w:hAnsi="Times New Roman" w:cs="Times New Roman"/>
                <w:b/>
                <w:bCs w:val="0"/>
                <w:color w:val="auto"/>
                <w:sz w:val="21"/>
                <w:szCs w:val="21"/>
                <w:u w:val="single"/>
                <w:lang w:eastAsia="zh-CN"/>
              </w:rPr>
              <w:t>固粪处理区</w:t>
            </w:r>
          </w:p>
        </w:tc>
        <w:tc>
          <w:tcPr>
            <w:tcW w:w="5774"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bCs w:val="0"/>
                <w:color w:val="auto"/>
                <w:sz w:val="21"/>
                <w:szCs w:val="21"/>
                <w:u w:val="single"/>
                <w:lang w:eastAsia="zh-CN"/>
              </w:rPr>
            </w:pPr>
            <w:r>
              <w:rPr>
                <w:rFonts w:hint="default" w:ascii="Times New Roman" w:hAnsi="Times New Roman" w:eastAsia="宋体" w:cs="Times New Roman"/>
                <w:b/>
                <w:bCs w:val="0"/>
                <w:color w:val="auto"/>
                <w:sz w:val="21"/>
                <w:szCs w:val="21"/>
                <w:u w:val="single"/>
                <w:lang w:eastAsia="zh-CN"/>
              </w:rPr>
              <w:t>采取</w:t>
            </w:r>
            <w:r>
              <w:rPr>
                <w:rFonts w:hint="default" w:ascii="Times New Roman" w:hAnsi="Times New Roman" w:cs="Times New Roman"/>
                <w:b/>
                <w:bCs w:val="0"/>
                <w:color w:val="auto"/>
                <w:sz w:val="21"/>
                <w:szCs w:val="21"/>
                <w:u w:val="single"/>
                <w:lang w:val="en-US" w:eastAsia="zh-CN"/>
              </w:rPr>
              <w:t>UV光氧+</w:t>
            </w:r>
            <w:r>
              <w:rPr>
                <w:rFonts w:hint="default" w:ascii="Times New Roman" w:hAnsi="Times New Roman" w:eastAsia="宋体" w:cs="Times New Roman"/>
                <w:b/>
                <w:bCs w:val="0"/>
                <w:color w:val="auto"/>
                <w:sz w:val="21"/>
                <w:szCs w:val="21"/>
                <w:u w:val="single"/>
                <w:lang w:eastAsia="zh-CN"/>
              </w:rPr>
              <w:t>水帘除臭装置，定期喷洒除臭剂</w:t>
            </w:r>
          </w:p>
        </w:tc>
        <w:tc>
          <w:tcPr>
            <w:tcW w:w="1055"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bCs w:val="0"/>
                <w:color w:val="auto"/>
                <w:sz w:val="21"/>
                <w:szCs w:val="21"/>
                <w:u w:val="single"/>
                <w:lang w:eastAsia="zh-CN"/>
              </w:rPr>
            </w:pPr>
            <w:r>
              <w:rPr>
                <w:rFonts w:hint="default" w:ascii="Times New Roman" w:hAnsi="Times New Roman" w:cs="Times New Roman"/>
                <w:b/>
                <w:bCs w:val="0"/>
                <w:color w:val="auto"/>
                <w:sz w:val="21"/>
                <w:szCs w:val="21"/>
                <w:u w:val="single"/>
                <w:lang w:val="en-US" w:eastAsia="zh-CN"/>
              </w:rPr>
              <w:t>10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590" w:type="dxa"/>
            <w:vMerge w:val="continue"/>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p>
        </w:tc>
        <w:tc>
          <w:tcPr>
            <w:tcW w:w="1707"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bCs w:val="0"/>
                <w:color w:val="auto"/>
                <w:sz w:val="21"/>
                <w:szCs w:val="21"/>
                <w:u w:val="single"/>
                <w:lang w:eastAsia="zh-CN"/>
              </w:rPr>
            </w:pPr>
            <w:r>
              <w:rPr>
                <w:rFonts w:hint="default" w:ascii="Times New Roman" w:hAnsi="Times New Roman" w:cs="Times New Roman"/>
                <w:b/>
                <w:bCs w:val="0"/>
                <w:color w:val="auto"/>
                <w:sz w:val="21"/>
                <w:szCs w:val="21"/>
                <w:u w:val="single"/>
                <w:lang w:eastAsia="zh-CN"/>
              </w:rPr>
              <w:t>沼液存储池</w:t>
            </w:r>
          </w:p>
        </w:tc>
        <w:tc>
          <w:tcPr>
            <w:tcW w:w="5774"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bCs w:val="0"/>
                <w:color w:val="auto"/>
                <w:sz w:val="21"/>
                <w:szCs w:val="21"/>
                <w:u w:val="single"/>
                <w:lang w:eastAsia="zh-CN"/>
              </w:rPr>
            </w:pPr>
            <w:r>
              <w:rPr>
                <w:rFonts w:hint="default" w:ascii="Times New Roman" w:hAnsi="Times New Roman" w:cs="Times New Roman"/>
                <w:b/>
                <w:bCs w:val="0"/>
                <w:color w:val="auto"/>
                <w:sz w:val="21"/>
                <w:szCs w:val="21"/>
                <w:u w:val="single"/>
              </w:rPr>
              <w:t>四周设置绿化</w:t>
            </w:r>
            <w:r>
              <w:rPr>
                <w:rFonts w:hint="default" w:ascii="Times New Roman" w:hAnsi="Times New Roman" w:cs="Times New Roman"/>
                <w:b/>
                <w:bCs w:val="0"/>
                <w:color w:val="auto"/>
                <w:sz w:val="21"/>
                <w:szCs w:val="21"/>
                <w:u w:val="single"/>
                <w:lang w:eastAsia="zh-CN"/>
              </w:rPr>
              <w:t>、喷洒除臭剂</w:t>
            </w:r>
          </w:p>
        </w:tc>
        <w:tc>
          <w:tcPr>
            <w:tcW w:w="1055"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2</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590" w:type="dxa"/>
            <w:vMerge w:val="continue"/>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p>
        </w:tc>
        <w:tc>
          <w:tcPr>
            <w:tcW w:w="1707" w:type="dxa"/>
            <w:noWrap w:val="0"/>
            <w:tcMar>
              <w:top w:w="57" w:type="dxa"/>
              <w:left w:w="85" w:type="dxa"/>
              <w:bottom w:w="57" w:type="dxa"/>
              <w:right w:w="85" w:type="dxa"/>
            </w:tcMar>
            <w:vAlign w:val="top"/>
          </w:tcPr>
          <w:p>
            <w:pPr>
              <w:pStyle w:val="40"/>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val="0"/>
                <w:color w:val="auto"/>
                <w:sz w:val="21"/>
                <w:szCs w:val="21"/>
                <w:u w:val="single"/>
              </w:rPr>
            </w:pPr>
            <w:r>
              <w:rPr>
                <w:rFonts w:hint="default" w:ascii="Times New Roman" w:hAnsi="Times New Roman" w:eastAsia="宋体" w:cs="Times New Roman"/>
                <w:b/>
                <w:bCs w:val="0"/>
                <w:color w:val="auto"/>
                <w:sz w:val="21"/>
                <w:szCs w:val="21"/>
                <w:u w:val="single"/>
              </w:rPr>
              <w:t>动物高温处理机</w:t>
            </w:r>
          </w:p>
        </w:tc>
        <w:tc>
          <w:tcPr>
            <w:tcW w:w="5774" w:type="dxa"/>
            <w:noWrap w:val="0"/>
            <w:tcMar>
              <w:top w:w="57" w:type="dxa"/>
              <w:left w:w="85" w:type="dxa"/>
              <w:bottom w:w="57" w:type="dxa"/>
              <w:right w:w="85" w:type="dxa"/>
            </w:tcMar>
            <w:vAlign w:val="top"/>
          </w:tcPr>
          <w:p>
            <w:pPr>
              <w:pStyle w:val="40"/>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val="0"/>
                <w:color w:val="auto"/>
                <w:sz w:val="21"/>
                <w:szCs w:val="21"/>
                <w:u w:val="single"/>
              </w:rPr>
            </w:pPr>
            <w:r>
              <w:rPr>
                <w:rFonts w:hint="default" w:ascii="Times New Roman" w:hAnsi="Times New Roman" w:eastAsia="宋体" w:cs="Times New Roman"/>
                <w:b/>
                <w:bCs w:val="0"/>
                <w:color w:val="auto"/>
                <w:sz w:val="21"/>
                <w:szCs w:val="21"/>
                <w:u w:val="single"/>
              </w:rPr>
              <w:t>设置</w:t>
            </w:r>
            <w:r>
              <w:rPr>
                <w:rFonts w:hint="default" w:ascii="Times New Roman" w:hAnsi="Times New Roman" w:eastAsia="Times New Roman" w:cs="Times New Roman"/>
                <w:b/>
                <w:bCs w:val="0"/>
                <w:color w:val="auto"/>
                <w:sz w:val="21"/>
                <w:szCs w:val="21"/>
                <w:u w:val="single"/>
              </w:rPr>
              <w:t>UV</w:t>
            </w:r>
            <w:r>
              <w:rPr>
                <w:rFonts w:hint="default" w:ascii="Times New Roman" w:hAnsi="Times New Roman" w:eastAsia="Times New Roman" w:cs="Times New Roman"/>
                <w:b/>
                <w:bCs w:val="0"/>
                <w:color w:val="auto"/>
                <w:spacing w:val="-8"/>
                <w:sz w:val="21"/>
                <w:szCs w:val="21"/>
                <w:u w:val="single"/>
              </w:rPr>
              <w:t xml:space="preserve"> </w:t>
            </w:r>
            <w:r>
              <w:rPr>
                <w:rFonts w:hint="default" w:ascii="Times New Roman" w:hAnsi="Times New Roman" w:eastAsia="宋体" w:cs="Times New Roman"/>
                <w:b/>
                <w:bCs w:val="0"/>
                <w:color w:val="auto"/>
                <w:sz w:val="21"/>
                <w:szCs w:val="21"/>
                <w:u w:val="single"/>
              </w:rPr>
              <w:t>光解催化氧化处理设备处理后排放</w:t>
            </w:r>
          </w:p>
        </w:tc>
        <w:tc>
          <w:tcPr>
            <w:tcW w:w="1055"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bCs w:val="0"/>
                <w:color w:val="auto"/>
                <w:sz w:val="21"/>
                <w:szCs w:val="21"/>
                <w:u w:val="single"/>
                <w:lang w:val="en-US" w:eastAsia="zh-CN"/>
              </w:rPr>
            </w:pPr>
            <w:r>
              <w:rPr>
                <w:rFonts w:hint="default" w:ascii="Times New Roman" w:hAnsi="Times New Roman" w:eastAsia="宋体" w:cs="Times New Roman"/>
                <w:b/>
                <w:bCs w:val="0"/>
                <w:color w:val="auto"/>
                <w:sz w:val="21"/>
                <w:szCs w:val="21"/>
                <w:u w:val="single"/>
                <w:lang w:val="en-US" w:eastAsia="zh-CN"/>
              </w:rPr>
              <w:t>10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2" w:hRule="exact"/>
          <w:jc w:val="center"/>
        </w:trPr>
        <w:tc>
          <w:tcPr>
            <w:tcW w:w="590" w:type="dxa"/>
            <w:vMerge w:val="continue"/>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p>
        </w:tc>
        <w:tc>
          <w:tcPr>
            <w:tcW w:w="1707"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食堂油烟</w:t>
            </w:r>
          </w:p>
        </w:tc>
        <w:tc>
          <w:tcPr>
            <w:tcW w:w="5774"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kern w:val="0"/>
                <w:sz w:val="21"/>
                <w:szCs w:val="21"/>
                <w:u w:val="single"/>
              </w:rPr>
              <w:t>安装净化效率不低于</w:t>
            </w:r>
            <w:r>
              <w:rPr>
                <w:rFonts w:hint="default" w:ascii="Times New Roman" w:hAnsi="Times New Roman" w:eastAsia="宋体" w:cs="Times New Roman"/>
                <w:b/>
                <w:bCs w:val="0"/>
                <w:color w:val="auto"/>
                <w:kern w:val="0"/>
                <w:sz w:val="21"/>
                <w:szCs w:val="21"/>
                <w:u w:val="single"/>
                <w:lang w:val="en-US" w:eastAsia="zh-CN"/>
              </w:rPr>
              <w:t>9</w:t>
            </w:r>
            <w:r>
              <w:rPr>
                <w:rFonts w:hint="default" w:ascii="Times New Roman" w:hAnsi="Times New Roman" w:cs="Times New Roman"/>
                <w:b/>
                <w:bCs w:val="0"/>
                <w:color w:val="auto"/>
                <w:kern w:val="0"/>
                <w:sz w:val="21"/>
                <w:szCs w:val="21"/>
                <w:u w:val="single"/>
              </w:rPr>
              <w:t>0%的油烟净化装置一套，经高于本体建筑物的排气筒排放</w:t>
            </w:r>
          </w:p>
        </w:tc>
        <w:tc>
          <w:tcPr>
            <w:tcW w:w="1055"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1.5</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8" w:hRule="exact"/>
          <w:jc w:val="center"/>
        </w:trPr>
        <w:tc>
          <w:tcPr>
            <w:tcW w:w="590" w:type="dxa"/>
            <w:vMerge w:val="restart"/>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固废</w:t>
            </w:r>
          </w:p>
        </w:tc>
        <w:tc>
          <w:tcPr>
            <w:tcW w:w="1707" w:type="dxa"/>
            <w:noWrap w:val="0"/>
            <w:tcMar>
              <w:top w:w="57" w:type="dxa"/>
              <w:left w:w="85" w:type="dxa"/>
              <w:bottom w:w="57" w:type="dxa"/>
              <w:right w:w="85" w:type="dxa"/>
            </w:tcMar>
            <w:vAlign w:val="center"/>
          </w:tcPr>
          <w:p>
            <w:pPr>
              <w:keepNext w:val="0"/>
              <w:keepLines w:val="0"/>
              <w:pageBreakBefore w:val="0"/>
              <w:widowControl/>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kern w:val="0"/>
                <w:sz w:val="21"/>
                <w:szCs w:val="21"/>
                <w:u w:val="single"/>
              </w:rPr>
            </w:pPr>
            <w:r>
              <w:rPr>
                <w:rFonts w:hint="default" w:ascii="Times New Roman" w:hAnsi="Times New Roman" w:cs="Times New Roman"/>
                <w:b/>
                <w:bCs w:val="0"/>
                <w:color w:val="auto"/>
                <w:kern w:val="0"/>
                <w:sz w:val="21"/>
                <w:szCs w:val="21"/>
                <w:u w:val="single"/>
              </w:rPr>
              <w:t>病死猪尸体、母猪胎盘</w:t>
            </w:r>
          </w:p>
        </w:tc>
        <w:tc>
          <w:tcPr>
            <w:tcW w:w="5774"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kern w:val="0"/>
                <w:sz w:val="21"/>
                <w:szCs w:val="21"/>
                <w:u w:val="single"/>
              </w:rPr>
            </w:pPr>
            <w:r>
              <w:rPr>
                <w:rFonts w:hint="default" w:ascii="Times New Roman" w:hAnsi="Times New Roman" w:cs="Times New Roman"/>
                <w:b/>
                <w:bCs w:val="0"/>
                <w:color w:val="auto"/>
                <w:kern w:val="0"/>
                <w:sz w:val="21"/>
                <w:szCs w:val="21"/>
                <w:u w:val="single"/>
              </w:rPr>
              <w:t>在厂区内无害化处理后，残渣作为有机肥原料外售</w:t>
            </w:r>
          </w:p>
        </w:tc>
        <w:tc>
          <w:tcPr>
            <w:tcW w:w="1055"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4</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24" w:hRule="exact"/>
          <w:jc w:val="center"/>
        </w:trPr>
        <w:tc>
          <w:tcPr>
            <w:tcW w:w="590" w:type="dxa"/>
            <w:vMerge w:val="continue"/>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p>
        </w:tc>
        <w:tc>
          <w:tcPr>
            <w:tcW w:w="1707" w:type="dxa"/>
            <w:noWrap w:val="0"/>
            <w:tcMar>
              <w:top w:w="57" w:type="dxa"/>
              <w:left w:w="85" w:type="dxa"/>
              <w:bottom w:w="57" w:type="dxa"/>
              <w:right w:w="85" w:type="dxa"/>
            </w:tcMar>
            <w:vAlign w:val="center"/>
          </w:tcPr>
          <w:p>
            <w:pPr>
              <w:keepNext w:val="0"/>
              <w:keepLines w:val="0"/>
              <w:pageBreakBefore w:val="0"/>
              <w:widowControl/>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bCs w:val="0"/>
                <w:color w:val="auto"/>
                <w:kern w:val="0"/>
                <w:sz w:val="21"/>
                <w:szCs w:val="21"/>
                <w:u w:val="single"/>
                <w:lang w:val="en-US" w:eastAsia="zh-CN"/>
              </w:rPr>
            </w:pPr>
            <w:r>
              <w:rPr>
                <w:rFonts w:hint="default" w:ascii="Times New Roman" w:hAnsi="Times New Roman" w:cs="Times New Roman"/>
                <w:b/>
                <w:bCs w:val="0"/>
                <w:color w:val="auto"/>
                <w:kern w:val="0"/>
                <w:sz w:val="21"/>
                <w:szCs w:val="21"/>
                <w:u w:val="single"/>
              </w:rPr>
              <w:t>疾病防疫产生的医疗废物</w:t>
            </w:r>
            <w:r>
              <w:rPr>
                <w:rFonts w:hint="default" w:ascii="Times New Roman" w:hAnsi="Times New Roman" w:cs="Times New Roman"/>
                <w:b/>
                <w:bCs w:val="0"/>
                <w:color w:val="auto"/>
                <w:kern w:val="0"/>
                <w:sz w:val="21"/>
                <w:szCs w:val="21"/>
                <w:u w:val="single"/>
                <w:lang w:eastAsia="zh-CN"/>
              </w:rPr>
              <w:t>、废导热油、废</w:t>
            </w:r>
            <w:r>
              <w:rPr>
                <w:rFonts w:hint="default" w:ascii="Times New Roman" w:hAnsi="Times New Roman" w:cs="Times New Roman"/>
                <w:b/>
                <w:bCs w:val="0"/>
                <w:color w:val="auto"/>
                <w:kern w:val="0"/>
                <w:sz w:val="21"/>
                <w:szCs w:val="21"/>
                <w:u w:val="single"/>
                <w:lang w:val="en-US" w:eastAsia="zh-CN"/>
              </w:rPr>
              <w:t>UV灯管</w:t>
            </w:r>
          </w:p>
        </w:tc>
        <w:tc>
          <w:tcPr>
            <w:tcW w:w="5774"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建设1个20m</w:t>
            </w:r>
            <w:r>
              <w:rPr>
                <w:rFonts w:hint="default" w:ascii="Times New Roman" w:hAnsi="Times New Roman" w:cs="Times New Roman"/>
                <w:b/>
                <w:bCs w:val="0"/>
                <w:color w:val="auto"/>
                <w:sz w:val="21"/>
                <w:szCs w:val="21"/>
                <w:u w:val="single"/>
                <w:vertAlign w:val="superscript"/>
              </w:rPr>
              <w:t>2</w:t>
            </w:r>
            <w:r>
              <w:rPr>
                <w:rFonts w:hint="default" w:ascii="Times New Roman" w:hAnsi="Times New Roman" w:cs="Times New Roman"/>
                <w:b/>
                <w:bCs w:val="0"/>
                <w:color w:val="auto"/>
                <w:sz w:val="21"/>
                <w:szCs w:val="21"/>
                <w:u w:val="single"/>
              </w:rPr>
              <w:t>医疗废物暂存间，设置危废暂存标志，定期交由</w:t>
            </w:r>
            <w:r>
              <w:rPr>
                <w:rFonts w:hint="default" w:ascii="Times New Roman" w:hAnsi="Times New Roman" w:cs="Times New Roman"/>
                <w:b/>
                <w:bCs w:val="0"/>
                <w:color w:val="auto"/>
                <w:kern w:val="0"/>
                <w:sz w:val="21"/>
                <w:szCs w:val="21"/>
                <w:u w:val="single"/>
              </w:rPr>
              <w:t>有资质单位处置</w:t>
            </w:r>
          </w:p>
        </w:tc>
        <w:tc>
          <w:tcPr>
            <w:tcW w:w="1055"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2</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2" w:hRule="exact"/>
          <w:jc w:val="center"/>
        </w:trPr>
        <w:tc>
          <w:tcPr>
            <w:tcW w:w="590" w:type="dxa"/>
            <w:vMerge w:val="continue"/>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p>
        </w:tc>
        <w:tc>
          <w:tcPr>
            <w:tcW w:w="1707" w:type="dxa"/>
            <w:noWrap w:val="0"/>
            <w:tcMar>
              <w:top w:w="57" w:type="dxa"/>
              <w:left w:w="85" w:type="dxa"/>
              <w:bottom w:w="57" w:type="dxa"/>
              <w:right w:w="85" w:type="dxa"/>
            </w:tcMar>
            <w:vAlign w:val="center"/>
          </w:tcPr>
          <w:p>
            <w:pPr>
              <w:keepNext w:val="0"/>
              <w:keepLines w:val="0"/>
              <w:pageBreakBefore w:val="0"/>
              <w:widowControl/>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kern w:val="0"/>
                <w:sz w:val="21"/>
                <w:szCs w:val="21"/>
                <w:u w:val="single"/>
              </w:rPr>
            </w:pPr>
            <w:r>
              <w:rPr>
                <w:rFonts w:hint="default" w:ascii="Times New Roman" w:hAnsi="Times New Roman" w:cs="Times New Roman"/>
                <w:b/>
                <w:bCs w:val="0"/>
                <w:color w:val="auto"/>
                <w:kern w:val="0"/>
                <w:sz w:val="21"/>
                <w:szCs w:val="21"/>
                <w:u w:val="single"/>
              </w:rPr>
              <w:t>废脱硫剂</w:t>
            </w:r>
          </w:p>
        </w:tc>
        <w:tc>
          <w:tcPr>
            <w:tcW w:w="5774"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建设1间40m</w:t>
            </w:r>
            <w:r>
              <w:rPr>
                <w:rFonts w:hint="default" w:ascii="Times New Roman" w:hAnsi="Times New Roman" w:cs="Times New Roman"/>
                <w:b/>
                <w:bCs w:val="0"/>
                <w:color w:val="auto"/>
                <w:sz w:val="21"/>
                <w:szCs w:val="21"/>
                <w:u w:val="single"/>
                <w:vertAlign w:val="superscript"/>
              </w:rPr>
              <w:t>2</w:t>
            </w:r>
            <w:r>
              <w:rPr>
                <w:rFonts w:hint="default" w:ascii="Times New Roman" w:hAnsi="Times New Roman" w:cs="Times New Roman"/>
                <w:b/>
                <w:bCs w:val="0"/>
                <w:color w:val="auto"/>
                <w:sz w:val="21"/>
                <w:szCs w:val="21"/>
                <w:u w:val="single"/>
              </w:rPr>
              <w:t>固废暂存间，暂存于固废暂存间，由生产厂家回收</w:t>
            </w:r>
          </w:p>
        </w:tc>
        <w:tc>
          <w:tcPr>
            <w:tcW w:w="1055"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1</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590"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噪声</w:t>
            </w:r>
          </w:p>
        </w:tc>
        <w:tc>
          <w:tcPr>
            <w:tcW w:w="1707" w:type="dxa"/>
            <w:noWrap w:val="0"/>
            <w:tcMar>
              <w:top w:w="57" w:type="dxa"/>
              <w:left w:w="85" w:type="dxa"/>
              <w:bottom w:w="57" w:type="dxa"/>
              <w:right w:w="85" w:type="dxa"/>
            </w:tcMar>
            <w:vAlign w:val="center"/>
          </w:tcPr>
          <w:p>
            <w:pPr>
              <w:keepNext w:val="0"/>
              <w:keepLines w:val="0"/>
              <w:pageBreakBefore w:val="0"/>
              <w:widowControl/>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kern w:val="0"/>
                <w:sz w:val="21"/>
                <w:szCs w:val="21"/>
                <w:u w:val="single"/>
              </w:rPr>
            </w:pPr>
            <w:r>
              <w:rPr>
                <w:rFonts w:hint="default" w:ascii="Times New Roman" w:hAnsi="Times New Roman" w:cs="Times New Roman"/>
                <w:b/>
                <w:bCs w:val="0"/>
                <w:color w:val="auto"/>
                <w:kern w:val="0"/>
                <w:sz w:val="21"/>
                <w:szCs w:val="21"/>
                <w:u w:val="single"/>
              </w:rPr>
              <w:t>设备噪声</w:t>
            </w:r>
          </w:p>
        </w:tc>
        <w:tc>
          <w:tcPr>
            <w:tcW w:w="5774" w:type="dxa"/>
            <w:noWrap w:val="0"/>
            <w:tcMar>
              <w:top w:w="57" w:type="dxa"/>
              <w:left w:w="85" w:type="dxa"/>
              <w:bottom w:w="57" w:type="dxa"/>
              <w:right w:w="85" w:type="dxa"/>
            </w:tcMar>
            <w:vAlign w:val="center"/>
          </w:tcPr>
          <w:p>
            <w:pPr>
              <w:keepNext w:val="0"/>
              <w:keepLines w:val="0"/>
              <w:pageBreakBefore w:val="0"/>
              <w:widowControl/>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kern w:val="0"/>
                <w:sz w:val="21"/>
                <w:szCs w:val="21"/>
                <w:u w:val="single"/>
              </w:rPr>
            </w:pPr>
            <w:r>
              <w:rPr>
                <w:rFonts w:hint="default" w:ascii="Times New Roman" w:hAnsi="Times New Roman" w:cs="Times New Roman"/>
                <w:b/>
                <w:bCs w:val="0"/>
                <w:color w:val="auto"/>
                <w:kern w:val="0"/>
                <w:sz w:val="21"/>
                <w:szCs w:val="21"/>
                <w:u w:val="single"/>
              </w:rPr>
              <w:t>基础减振、隔声等措施</w:t>
            </w:r>
          </w:p>
        </w:tc>
        <w:tc>
          <w:tcPr>
            <w:tcW w:w="1055"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20</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38" w:hRule="exact"/>
          <w:jc w:val="center"/>
        </w:trPr>
        <w:tc>
          <w:tcPr>
            <w:tcW w:w="590" w:type="dxa"/>
            <w:vMerge w:val="restart"/>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辅助工程</w:t>
            </w:r>
          </w:p>
        </w:tc>
        <w:tc>
          <w:tcPr>
            <w:tcW w:w="1707" w:type="dxa"/>
            <w:noWrap w:val="0"/>
            <w:tcMar>
              <w:top w:w="57" w:type="dxa"/>
              <w:left w:w="85" w:type="dxa"/>
              <w:bottom w:w="57" w:type="dxa"/>
              <w:right w:w="85" w:type="dxa"/>
            </w:tcMar>
            <w:vAlign w:val="center"/>
          </w:tcPr>
          <w:p>
            <w:pPr>
              <w:keepNext w:val="0"/>
              <w:keepLines w:val="0"/>
              <w:pageBreakBefore w:val="0"/>
              <w:widowControl/>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kern w:val="0"/>
                <w:sz w:val="21"/>
                <w:szCs w:val="21"/>
                <w:u w:val="single"/>
              </w:rPr>
            </w:pPr>
            <w:r>
              <w:rPr>
                <w:rFonts w:hint="default" w:ascii="Times New Roman" w:hAnsi="Times New Roman" w:cs="Times New Roman"/>
                <w:b/>
                <w:bCs w:val="0"/>
                <w:color w:val="auto"/>
                <w:kern w:val="0"/>
                <w:sz w:val="21"/>
                <w:szCs w:val="21"/>
                <w:u w:val="single"/>
              </w:rPr>
              <w:t>农田</w:t>
            </w:r>
          </w:p>
          <w:p>
            <w:pPr>
              <w:keepNext w:val="0"/>
              <w:keepLines w:val="0"/>
              <w:pageBreakBefore w:val="0"/>
              <w:widowControl/>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kern w:val="0"/>
                <w:sz w:val="21"/>
                <w:szCs w:val="21"/>
                <w:u w:val="single"/>
              </w:rPr>
            </w:pPr>
            <w:r>
              <w:rPr>
                <w:rFonts w:hint="default" w:ascii="Times New Roman" w:hAnsi="Times New Roman" w:cs="Times New Roman"/>
                <w:b/>
                <w:bCs w:val="0"/>
                <w:color w:val="auto"/>
                <w:kern w:val="0"/>
                <w:sz w:val="21"/>
                <w:szCs w:val="21"/>
                <w:u w:val="single"/>
              </w:rPr>
              <w:t>沼液施肥系统</w:t>
            </w:r>
          </w:p>
        </w:tc>
        <w:tc>
          <w:tcPr>
            <w:tcW w:w="5774" w:type="dxa"/>
            <w:noWrap w:val="0"/>
            <w:tcMar>
              <w:top w:w="57" w:type="dxa"/>
              <w:left w:w="85" w:type="dxa"/>
              <w:bottom w:w="57" w:type="dxa"/>
              <w:right w:w="85" w:type="dxa"/>
            </w:tcMar>
            <w:vAlign w:val="center"/>
          </w:tcPr>
          <w:p>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kern w:val="0"/>
                <w:sz w:val="21"/>
                <w:szCs w:val="21"/>
                <w:u w:val="single"/>
              </w:rPr>
            </w:pPr>
            <w:r>
              <w:rPr>
                <w:rFonts w:hint="default" w:ascii="Times New Roman" w:hAnsi="Times New Roman" w:cs="Times New Roman"/>
                <w:b/>
                <w:bCs w:val="0"/>
                <w:color w:val="auto"/>
                <w:kern w:val="0"/>
                <w:sz w:val="21"/>
                <w:szCs w:val="21"/>
                <w:u w:val="single"/>
              </w:rPr>
              <w:t>建设</w:t>
            </w:r>
            <w:r>
              <w:rPr>
                <w:rFonts w:hint="default" w:ascii="Times New Roman" w:hAnsi="Times New Roman" w:cs="Times New Roman"/>
                <w:b/>
                <w:bCs w:val="0"/>
                <w:color w:val="auto"/>
                <w:kern w:val="0"/>
                <w:sz w:val="21"/>
                <w:szCs w:val="21"/>
                <w:u w:val="single"/>
                <w:lang w:eastAsia="zh-CN"/>
              </w:rPr>
              <w:t>沼液存储池</w:t>
            </w:r>
            <w:r>
              <w:rPr>
                <w:rFonts w:hint="default" w:ascii="Times New Roman" w:hAnsi="Times New Roman" w:cs="Times New Roman"/>
                <w:b/>
                <w:bCs w:val="0"/>
                <w:color w:val="auto"/>
                <w:kern w:val="0"/>
                <w:sz w:val="21"/>
                <w:szCs w:val="21"/>
                <w:u w:val="single"/>
              </w:rPr>
              <w:t>1个，容积</w:t>
            </w:r>
            <w:r>
              <w:rPr>
                <w:rFonts w:hint="default" w:ascii="Times New Roman" w:hAnsi="Times New Roman" w:eastAsia="宋体" w:cs="Times New Roman"/>
                <w:b/>
                <w:bCs w:val="0"/>
                <w:color w:val="auto"/>
                <w:sz w:val="21"/>
                <w:szCs w:val="21"/>
                <w:u w:val="single"/>
                <w:lang w:val="en-US" w:eastAsia="zh-CN"/>
              </w:rPr>
              <w:t>41500</w:t>
            </w:r>
            <w:r>
              <w:rPr>
                <w:rFonts w:hint="default" w:ascii="Times New Roman" w:hAnsi="Times New Roman" w:cs="Times New Roman"/>
                <w:b/>
                <w:bCs w:val="0"/>
                <w:color w:val="auto"/>
                <w:kern w:val="0"/>
                <w:sz w:val="21"/>
                <w:szCs w:val="21"/>
                <w:u w:val="single"/>
              </w:rPr>
              <w:t>m</w:t>
            </w:r>
            <w:r>
              <w:rPr>
                <w:rFonts w:hint="default" w:ascii="Times New Roman" w:hAnsi="Times New Roman" w:cs="Times New Roman"/>
                <w:b/>
                <w:bCs w:val="0"/>
                <w:color w:val="auto"/>
                <w:kern w:val="0"/>
                <w:sz w:val="21"/>
                <w:szCs w:val="21"/>
                <w:u w:val="single"/>
                <w:vertAlign w:val="superscript"/>
              </w:rPr>
              <w:t>3</w:t>
            </w:r>
            <w:r>
              <w:rPr>
                <w:rFonts w:hint="default" w:ascii="Times New Roman" w:hAnsi="Times New Roman" w:cs="Times New Roman"/>
                <w:b/>
                <w:bCs w:val="0"/>
                <w:color w:val="auto"/>
                <w:kern w:val="0"/>
                <w:sz w:val="21"/>
                <w:szCs w:val="21"/>
                <w:u w:val="single"/>
              </w:rPr>
              <w:t>，做好防渗、防溢漏、防雨流入措施、周边设置防护栏等安全措施，避免农闲期无处消纳外排或外溢造成污染；沼液输送系统管网铺设</w:t>
            </w:r>
          </w:p>
        </w:tc>
        <w:tc>
          <w:tcPr>
            <w:tcW w:w="1055"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52</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590" w:type="dxa"/>
            <w:vMerge w:val="continue"/>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sz w:val="21"/>
                <w:szCs w:val="21"/>
                <w:u w:val="single"/>
              </w:rPr>
            </w:pPr>
          </w:p>
        </w:tc>
        <w:tc>
          <w:tcPr>
            <w:tcW w:w="1707" w:type="dxa"/>
            <w:noWrap w:val="0"/>
            <w:tcMar>
              <w:top w:w="57" w:type="dxa"/>
              <w:left w:w="85" w:type="dxa"/>
              <w:bottom w:w="57" w:type="dxa"/>
              <w:right w:w="85" w:type="dxa"/>
            </w:tcMar>
            <w:vAlign w:val="center"/>
          </w:tcPr>
          <w:p>
            <w:pPr>
              <w:keepNext w:val="0"/>
              <w:keepLines w:val="0"/>
              <w:pageBreakBefore w:val="0"/>
              <w:widowControl/>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kern w:val="0"/>
                <w:sz w:val="21"/>
                <w:szCs w:val="21"/>
                <w:u w:val="single"/>
              </w:rPr>
            </w:pPr>
            <w:r>
              <w:rPr>
                <w:rFonts w:hint="default" w:ascii="Times New Roman" w:hAnsi="Times New Roman" w:cs="Times New Roman"/>
                <w:b/>
                <w:bCs w:val="0"/>
                <w:color w:val="auto"/>
                <w:kern w:val="0"/>
                <w:sz w:val="21"/>
                <w:szCs w:val="21"/>
                <w:u w:val="single"/>
              </w:rPr>
              <w:t>生态保护</w:t>
            </w:r>
          </w:p>
        </w:tc>
        <w:tc>
          <w:tcPr>
            <w:tcW w:w="5774" w:type="dxa"/>
            <w:noWrap w:val="0"/>
            <w:tcMar>
              <w:top w:w="57" w:type="dxa"/>
              <w:left w:w="85" w:type="dxa"/>
              <w:bottom w:w="57" w:type="dxa"/>
              <w:right w:w="85" w:type="dxa"/>
            </w:tcMar>
            <w:vAlign w:val="center"/>
          </w:tcPr>
          <w:p>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kern w:val="0"/>
                <w:sz w:val="21"/>
                <w:szCs w:val="21"/>
                <w:u w:val="single"/>
              </w:rPr>
            </w:pPr>
            <w:r>
              <w:rPr>
                <w:rFonts w:hint="default" w:ascii="Times New Roman" w:hAnsi="Times New Roman" w:cs="Times New Roman"/>
                <w:b/>
                <w:bCs w:val="0"/>
                <w:color w:val="auto"/>
                <w:kern w:val="0"/>
                <w:sz w:val="21"/>
                <w:szCs w:val="21"/>
                <w:u w:val="single"/>
              </w:rPr>
              <w:t>加强场区绿化</w:t>
            </w:r>
          </w:p>
        </w:tc>
        <w:tc>
          <w:tcPr>
            <w:tcW w:w="1055"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bCs w:val="0"/>
                <w:color w:val="auto"/>
                <w:sz w:val="21"/>
                <w:szCs w:val="21"/>
                <w:u w:val="single"/>
                <w:lang w:eastAsia="zh-CN"/>
              </w:rPr>
            </w:pPr>
            <w:r>
              <w:rPr>
                <w:rFonts w:hint="default" w:ascii="Times New Roman" w:hAnsi="Times New Roman" w:cs="Times New Roman"/>
                <w:b/>
                <w:bCs w:val="0"/>
                <w:color w:val="auto"/>
                <w:sz w:val="21"/>
                <w:szCs w:val="21"/>
                <w:u w:val="single"/>
              </w:rPr>
              <w:t>1</w:t>
            </w:r>
            <w:r>
              <w:rPr>
                <w:rFonts w:hint="default" w:ascii="Times New Roman" w:hAnsi="Times New Roman" w:cs="Times New Roman"/>
                <w:b/>
                <w:bCs w:val="0"/>
                <w:color w:val="auto"/>
                <w:sz w:val="21"/>
                <w:szCs w:val="21"/>
                <w:u w:val="single"/>
                <w:lang w:val="en-US" w:eastAsia="zh-CN"/>
              </w:rPr>
              <w:t>5</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8071" w:type="dxa"/>
            <w:gridSpan w:val="3"/>
            <w:noWrap w:val="0"/>
            <w:tcMar>
              <w:top w:w="57" w:type="dxa"/>
              <w:left w:w="85" w:type="dxa"/>
              <w:bottom w:w="57" w:type="dxa"/>
              <w:right w:w="85" w:type="dxa"/>
            </w:tcMar>
            <w:vAlign w:val="center"/>
          </w:tcPr>
          <w:p>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hint="default" w:ascii="Times New Roman" w:hAnsi="Times New Roman" w:cs="Times New Roman"/>
                <w:b/>
                <w:bCs w:val="0"/>
                <w:color w:val="auto"/>
                <w:kern w:val="0"/>
                <w:sz w:val="21"/>
                <w:szCs w:val="21"/>
                <w:u w:val="single"/>
              </w:rPr>
            </w:pPr>
            <w:r>
              <w:rPr>
                <w:rFonts w:hint="default" w:ascii="Times New Roman" w:hAnsi="Times New Roman" w:cs="Times New Roman"/>
                <w:b/>
                <w:bCs w:val="0"/>
                <w:color w:val="auto"/>
                <w:kern w:val="0"/>
                <w:sz w:val="21"/>
                <w:szCs w:val="21"/>
                <w:u w:val="single"/>
              </w:rPr>
              <w:t>合  计</w:t>
            </w:r>
          </w:p>
        </w:tc>
        <w:tc>
          <w:tcPr>
            <w:tcW w:w="1055" w:type="dxa"/>
            <w:noWrap w:val="0"/>
            <w:tcMar>
              <w:top w:w="57" w:type="dxa"/>
              <w:left w:w="85" w:type="dxa"/>
              <w:bottom w:w="57" w:type="dxa"/>
              <w:right w:w="85" w:type="dxa"/>
            </w:tcMar>
            <w:vAlign w:val="center"/>
          </w:tcPr>
          <w:p>
            <w:pPr>
              <w:keepNext w:val="0"/>
              <w:keepLines w:val="0"/>
              <w:pageBreakBefore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bCs w:val="0"/>
                <w:color w:val="auto"/>
                <w:sz w:val="21"/>
                <w:szCs w:val="21"/>
                <w:u w:val="single"/>
                <w:lang w:val="en-US" w:eastAsia="zh-CN"/>
              </w:rPr>
            </w:pPr>
            <w:r>
              <w:rPr>
                <w:rFonts w:hint="default" w:ascii="Times New Roman" w:hAnsi="Times New Roman" w:eastAsia="宋体" w:cs="Times New Roman"/>
                <w:b/>
                <w:bCs w:val="0"/>
                <w:color w:val="auto"/>
                <w:sz w:val="21"/>
                <w:szCs w:val="21"/>
                <w:u w:val="single"/>
                <w:lang w:val="en-US" w:eastAsia="zh-CN"/>
              </w:rPr>
              <w:t>377.5</w:t>
            </w:r>
          </w:p>
        </w:tc>
      </w:tr>
    </w:tbl>
    <w:p>
      <w:pPr>
        <w:ind w:firstLine="0" w:firstLineChars="0"/>
        <w:rPr>
          <w:rFonts w:hint="default" w:ascii="Times New Roman" w:hAnsi="Times New Roman" w:cs="Times New Roman"/>
          <w:color w:val="auto"/>
        </w:rPr>
      </w:pPr>
      <w:bookmarkStart w:id="605" w:name="_Toc275796961"/>
      <w:bookmarkStart w:id="606" w:name="_Toc290636876"/>
      <w:bookmarkStart w:id="607" w:name="_Toc275449703"/>
      <w:bookmarkStart w:id="608" w:name="_Toc299654972"/>
      <w:bookmarkStart w:id="609" w:name="_Toc339445797"/>
      <w:bookmarkStart w:id="610" w:name="_Toc342480464"/>
      <w:bookmarkStart w:id="611" w:name="_Toc290643183"/>
      <w:bookmarkStart w:id="612" w:name="_Toc336354265"/>
      <w:bookmarkStart w:id="613" w:name="_Toc275796798"/>
      <w:bookmarkStart w:id="614" w:name="_Toc290637536"/>
      <w:bookmarkStart w:id="615" w:name="_Toc278310264"/>
      <w:bookmarkStart w:id="616" w:name="_Toc275449072"/>
      <w:bookmarkStart w:id="617" w:name="_Toc286745534"/>
      <w:bookmarkStart w:id="618" w:name="_Toc290643403"/>
      <w:bookmarkStart w:id="619" w:name="_Toc290637316"/>
      <w:bookmarkStart w:id="620" w:name="_Toc290642963"/>
      <w:bookmarkStart w:id="621" w:name="_Toc485580479"/>
      <w:bookmarkStart w:id="622" w:name="_Toc413224221"/>
    </w:p>
    <w:p>
      <w:pPr>
        <w:pStyle w:val="3"/>
        <w:ind w:firstLine="0" w:firstLineChars="0"/>
        <w:rPr>
          <w:rFonts w:hint="default" w:ascii="Times New Roman" w:hAnsi="Times New Roman" w:cs="Times New Roman"/>
          <w:color w:val="auto"/>
        </w:rPr>
        <w:sectPr>
          <w:headerReference r:id="rId22" w:type="first"/>
          <w:footerReference r:id="rId25" w:type="first"/>
          <w:headerReference r:id="rId20" w:type="default"/>
          <w:footerReference r:id="rId23" w:type="default"/>
          <w:headerReference r:id="rId21" w:type="even"/>
          <w:footerReference r:id="rId24" w:type="even"/>
          <w:pgSz w:w="11906" w:h="16838"/>
          <w:pgMar w:top="1440" w:right="1474" w:bottom="1440" w:left="1474" w:header="851" w:footer="992" w:gutter="0"/>
          <w:pgBorders>
            <w:top w:val="none" w:sz="0" w:space="0"/>
            <w:left w:val="none" w:sz="0" w:space="0"/>
            <w:bottom w:val="none" w:sz="0" w:space="0"/>
            <w:right w:val="none" w:sz="0" w:space="0"/>
          </w:pgBorders>
          <w:cols w:space="720" w:num="1"/>
          <w:docGrid w:type="lines" w:linePitch="312" w:charSpace="0"/>
        </w:sectPr>
      </w:pPr>
    </w:p>
    <w:p>
      <w:pPr>
        <w:pStyle w:val="3"/>
        <w:ind w:firstLine="0" w:firstLineChars="0"/>
        <w:rPr>
          <w:rFonts w:hint="default" w:ascii="Times New Roman" w:hAnsi="Times New Roman" w:cs="Times New Roman"/>
          <w:color w:val="auto"/>
        </w:rPr>
      </w:pPr>
      <w:bookmarkStart w:id="623" w:name="_Toc29195"/>
      <w:bookmarkStart w:id="624" w:name="_Toc10207"/>
      <w:r>
        <w:rPr>
          <w:rFonts w:hint="default" w:ascii="Times New Roman" w:hAnsi="Times New Roman" w:cs="Times New Roman"/>
          <w:color w:val="auto"/>
        </w:rPr>
        <w:t xml:space="preserve">第七章  </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r>
        <w:rPr>
          <w:rFonts w:hint="default" w:ascii="Times New Roman" w:hAnsi="Times New Roman" w:cs="Times New Roman"/>
          <w:color w:val="auto"/>
        </w:rPr>
        <w:t>场址及总图布置可行性分析</w:t>
      </w:r>
      <w:bookmarkEnd w:id="621"/>
      <w:bookmarkEnd w:id="622"/>
      <w:bookmarkEnd w:id="623"/>
      <w:bookmarkEnd w:id="624"/>
    </w:p>
    <w:p>
      <w:pPr>
        <w:pStyle w:val="4"/>
        <w:spacing w:before="0" w:after="0"/>
        <w:ind w:firstLine="0" w:firstLineChars="0"/>
        <w:rPr>
          <w:rFonts w:hint="default" w:ascii="Times New Roman" w:hAnsi="Times New Roman" w:cs="Times New Roman"/>
          <w:bCs w:val="0"/>
          <w:color w:val="auto"/>
          <w:sz w:val="28"/>
          <w:szCs w:val="28"/>
        </w:rPr>
      </w:pPr>
      <w:bookmarkStart w:id="625" w:name="_Toc413224222"/>
      <w:bookmarkStart w:id="626" w:name="_Toc30950"/>
      <w:bookmarkStart w:id="627" w:name="_Toc26799"/>
      <w:bookmarkStart w:id="628" w:name="_Toc485580480"/>
      <w:r>
        <w:rPr>
          <w:rFonts w:hint="default" w:ascii="Times New Roman" w:hAnsi="Times New Roman" w:cs="Times New Roman"/>
          <w:bCs w:val="0"/>
          <w:color w:val="auto"/>
          <w:sz w:val="28"/>
          <w:szCs w:val="28"/>
        </w:rPr>
        <w:t>7.1 无公害食品基地建设环境保护措施</w:t>
      </w:r>
      <w:bookmarkEnd w:id="625"/>
      <w:bookmarkEnd w:id="626"/>
      <w:bookmarkEnd w:id="627"/>
      <w:bookmarkEnd w:id="628"/>
    </w:p>
    <w:p>
      <w:pPr>
        <w:pStyle w:val="48"/>
        <w:spacing w:line="360" w:lineRule="auto"/>
        <w:ind w:firstLine="480"/>
        <w:rPr>
          <w:rFonts w:hint="default" w:ascii="Times New Roman" w:hAnsi="Times New Roman" w:cs="Times New Roman"/>
          <w:color w:val="auto"/>
          <w:szCs w:val="28"/>
        </w:rPr>
      </w:pPr>
      <w:r>
        <w:rPr>
          <w:rFonts w:hint="default" w:ascii="Times New Roman" w:hAnsi="Times New Roman" w:cs="Times New Roman"/>
          <w:color w:val="auto"/>
          <w:szCs w:val="28"/>
        </w:rPr>
        <w:t>为了加强对项目无公害生产的管理，特制定了如下相应的保护措施：</w:t>
      </w:r>
    </w:p>
    <w:p>
      <w:pPr>
        <w:pStyle w:val="48"/>
        <w:spacing w:line="360" w:lineRule="auto"/>
        <w:ind w:firstLine="480"/>
        <w:rPr>
          <w:rFonts w:hint="default" w:ascii="Times New Roman" w:hAnsi="Times New Roman" w:cs="Times New Roman"/>
          <w:color w:val="auto"/>
          <w:szCs w:val="28"/>
        </w:rPr>
      </w:pPr>
      <w:r>
        <w:rPr>
          <w:rFonts w:hint="default" w:ascii="Times New Roman" w:hAnsi="Times New Roman" w:cs="Times New Roman"/>
          <w:color w:val="auto"/>
          <w:szCs w:val="28"/>
        </w:rPr>
        <w:t>1、保持养殖场生态环境良好，不受工业“三废”及农业、城镇生活、医疗废弃物的污染。</w:t>
      </w:r>
    </w:p>
    <w:p>
      <w:pPr>
        <w:pStyle w:val="48"/>
        <w:spacing w:line="360" w:lineRule="auto"/>
        <w:ind w:firstLine="480"/>
        <w:rPr>
          <w:rFonts w:hint="default" w:ascii="Times New Roman" w:hAnsi="Times New Roman" w:cs="Times New Roman"/>
          <w:color w:val="auto"/>
          <w:szCs w:val="28"/>
        </w:rPr>
      </w:pPr>
      <w:r>
        <w:rPr>
          <w:rFonts w:hint="default" w:ascii="Times New Roman" w:hAnsi="Times New Roman" w:cs="Times New Roman"/>
          <w:color w:val="auto"/>
          <w:szCs w:val="28"/>
        </w:rPr>
        <w:t>2、场区进行合理布置，生活办公区与场区严格分离开来，建立完善的消毒制度，进入场区人员必须接受消毒措施，设立消毒池，避免外界人员和畜禽未经消毒进入养殖区。</w:t>
      </w:r>
    </w:p>
    <w:p>
      <w:pPr>
        <w:pStyle w:val="48"/>
        <w:spacing w:line="360" w:lineRule="auto"/>
        <w:ind w:firstLine="480"/>
        <w:rPr>
          <w:rFonts w:hint="default" w:ascii="Times New Roman" w:hAnsi="Times New Roman" w:cs="Times New Roman"/>
          <w:color w:val="auto"/>
          <w:szCs w:val="28"/>
        </w:rPr>
      </w:pPr>
      <w:r>
        <w:rPr>
          <w:rFonts w:hint="default" w:ascii="Times New Roman" w:hAnsi="Times New Roman" w:cs="Times New Roman"/>
          <w:color w:val="auto"/>
          <w:szCs w:val="28"/>
        </w:rPr>
        <w:t>3、加强场区内及场区周围绿化与美化，场区周围适当建设绿化带，改善场区局部环境空气质量；定期清理、冲洗猪舍，加强对场区进行消毒，防止蝇、蛆滋生及病原体的传播与扩散。</w:t>
      </w:r>
    </w:p>
    <w:p>
      <w:pPr>
        <w:pStyle w:val="48"/>
        <w:spacing w:line="360" w:lineRule="auto"/>
        <w:ind w:firstLine="480"/>
        <w:rPr>
          <w:rFonts w:hint="default" w:ascii="Times New Roman" w:hAnsi="Times New Roman" w:cs="Times New Roman"/>
          <w:color w:val="auto"/>
          <w:szCs w:val="28"/>
        </w:rPr>
      </w:pPr>
      <w:r>
        <w:rPr>
          <w:rFonts w:hint="default" w:ascii="Times New Roman" w:hAnsi="Times New Roman" w:cs="Times New Roman"/>
          <w:color w:val="auto"/>
          <w:szCs w:val="28"/>
        </w:rPr>
        <w:t>4、加强畜禽废弃物管理，畜禽废弃物不能直接倒入环境中，应采取措施进行处理或综合利用，达到生产无害化，产出无害化。</w:t>
      </w:r>
    </w:p>
    <w:p>
      <w:pPr>
        <w:pStyle w:val="48"/>
        <w:spacing w:line="360" w:lineRule="auto"/>
        <w:ind w:firstLine="480"/>
        <w:rPr>
          <w:rFonts w:hint="default" w:ascii="Times New Roman" w:hAnsi="Times New Roman" w:cs="Times New Roman"/>
          <w:color w:val="auto"/>
          <w:szCs w:val="28"/>
        </w:rPr>
      </w:pPr>
      <w:r>
        <w:rPr>
          <w:rFonts w:hint="default" w:ascii="Times New Roman" w:hAnsi="Times New Roman" w:cs="Times New Roman"/>
          <w:color w:val="auto"/>
          <w:szCs w:val="28"/>
        </w:rPr>
        <w:t>5、加强防疫管理，药品管理做到规范、安全；做到不使用被污染、变质、生虫的饲料，不使用未经无害化处理的泔水及其他畜禽副产品。</w:t>
      </w:r>
    </w:p>
    <w:p>
      <w:pPr>
        <w:pStyle w:val="48"/>
        <w:spacing w:line="360" w:lineRule="auto"/>
        <w:ind w:firstLine="480"/>
        <w:rPr>
          <w:rFonts w:hint="default" w:ascii="Times New Roman" w:hAnsi="Times New Roman" w:cs="Times New Roman"/>
          <w:color w:val="auto"/>
          <w:szCs w:val="28"/>
        </w:rPr>
      </w:pPr>
      <w:r>
        <w:rPr>
          <w:rFonts w:hint="default" w:ascii="Times New Roman" w:hAnsi="Times New Roman" w:cs="Times New Roman"/>
          <w:color w:val="auto"/>
          <w:szCs w:val="28"/>
        </w:rPr>
        <w:t>6、养殖基地地下水环境质量、周边环境空气质量符合《农产品安全质量无公害畜禽肉产地环境要求》（GB/T18407.3-2001），达到无害化质量指标要求。</w:t>
      </w:r>
    </w:p>
    <w:p>
      <w:pPr>
        <w:pStyle w:val="48"/>
        <w:spacing w:line="360" w:lineRule="auto"/>
        <w:ind w:firstLine="480"/>
        <w:rPr>
          <w:rFonts w:hint="default" w:ascii="Times New Roman" w:hAnsi="Times New Roman" w:cs="Times New Roman"/>
          <w:color w:val="auto"/>
          <w:szCs w:val="28"/>
        </w:rPr>
      </w:pPr>
      <w:r>
        <w:rPr>
          <w:rFonts w:hint="default" w:ascii="Times New Roman" w:hAnsi="Times New Roman" w:cs="Times New Roman"/>
          <w:color w:val="auto"/>
          <w:szCs w:val="28"/>
        </w:rPr>
        <w:t>项目位于农村地区，周边500m范围内无工业企业，所在区域环境质量较好；在场区布置上，实行养殖区、办公区与粪污处理区的三区分离，入场应采取消毒管理要求；场区空闲土地和场界进行多层次多方位立体绿化，加强养殖管理、制定卫生免疫制度，做到科学施肥，保证施用量不会超过土地承载能力的前提下，不会对地下水以及地表水和土壤造成污染。经落实上述措施后，项目能够建设成为无公害食品基地。</w:t>
      </w:r>
    </w:p>
    <w:p>
      <w:pPr>
        <w:pStyle w:val="4"/>
        <w:spacing w:before="0" w:after="0"/>
        <w:ind w:firstLine="0" w:firstLineChars="0"/>
        <w:rPr>
          <w:rFonts w:hint="default" w:ascii="Times New Roman" w:hAnsi="Times New Roman" w:cs="Times New Roman"/>
          <w:bCs w:val="0"/>
          <w:color w:val="auto"/>
          <w:sz w:val="28"/>
          <w:szCs w:val="28"/>
        </w:rPr>
      </w:pPr>
      <w:bookmarkStart w:id="629" w:name="_Toc413224223"/>
      <w:bookmarkStart w:id="630" w:name="_Toc23902"/>
      <w:bookmarkStart w:id="631" w:name="_Toc485580481"/>
      <w:bookmarkStart w:id="632" w:name="_Toc30025"/>
      <w:r>
        <w:rPr>
          <w:rFonts w:hint="default" w:ascii="Times New Roman" w:hAnsi="Times New Roman" w:cs="Times New Roman"/>
          <w:bCs w:val="0"/>
          <w:color w:val="auto"/>
          <w:sz w:val="28"/>
          <w:szCs w:val="28"/>
        </w:rPr>
        <w:t>7.2 场址选择及场区平面布置合理性分析</w:t>
      </w:r>
      <w:bookmarkEnd w:id="629"/>
      <w:bookmarkEnd w:id="630"/>
      <w:bookmarkEnd w:id="631"/>
      <w:bookmarkEnd w:id="632"/>
    </w:p>
    <w:p>
      <w:pPr>
        <w:pStyle w:val="5"/>
        <w:rPr>
          <w:rFonts w:hint="default" w:ascii="Times New Roman" w:hAnsi="Times New Roman" w:cs="Times New Roman"/>
          <w:color w:val="auto"/>
          <w:lang w:val="en-US"/>
        </w:rPr>
      </w:pPr>
      <w:r>
        <w:rPr>
          <w:rFonts w:hint="default" w:ascii="Times New Roman" w:hAnsi="Times New Roman" w:cs="Times New Roman"/>
          <w:color w:val="auto"/>
          <w:lang w:val="en-US"/>
        </w:rPr>
        <w:t>7.2.1与《关于深化建设项目环境影响评价审批制度改革及优化建设项目“三同时”管理工作的实施细则（试行）》（濮环【2015】34 号）的相符性分析</w:t>
      </w:r>
    </w:p>
    <w:p>
      <w:pPr>
        <w:autoSpaceDE w:val="0"/>
        <w:autoSpaceDN w:val="0"/>
        <w:ind w:firstLine="480"/>
        <w:rPr>
          <w:rFonts w:hint="default" w:ascii="Times New Roman" w:hAnsi="Times New Roman" w:cs="Times New Roman"/>
          <w:color w:val="auto"/>
        </w:rPr>
      </w:pPr>
      <w:r>
        <w:rPr>
          <w:rFonts w:hint="default" w:ascii="Times New Roman" w:hAnsi="Times New Roman" w:cs="Times New Roman"/>
          <w:color w:val="auto"/>
        </w:rPr>
        <w:t>按照《河南省环境保护厅关于深化建设项目环境影响评价审批制度改革的实施细则》（豫环文〔2015〕33号）及《河南省环境环保厅关于进一步优化建设项目“三同时”管理工作的通知》（豫环〔2014〕207号）文件要求，濮阳市制定了《关于深化建设项目环境影响评价审批制度改革及优化建设项目“三同时”管理工作的实施细则（试行）》（以下简称《细则》）。本项目与《实施细则》对比情况详见表7.2-1。</w:t>
      </w:r>
    </w:p>
    <w:p>
      <w:pPr>
        <w:autoSpaceDE w:val="0"/>
        <w:autoSpaceDN w:val="0"/>
        <w:ind w:firstLine="480"/>
        <w:rPr>
          <w:rFonts w:hint="default" w:ascii="Times New Roman" w:hAnsi="Times New Roman" w:cs="Times New Roman"/>
          <w:b/>
          <w:bCs/>
          <w:color w:val="auto"/>
        </w:rPr>
      </w:pPr>
      <w:r>
        <w:rPr>
          <w:rFonts w:hint="default" w:ascii="Times New Roman" w:hAnsi="Times New Roman" w:cs="Times New Roman"/>
          <w:color w:val="auto"/>
        </w:rPr>
        <w:t xml:space="preserve">          </w:t>
      </w:r>
      <w:r>
        <w:rPr>
          <w:rFonts w:hint="default" w:ascii="Times New Roman" w:hAnsi="Times New Roman" w:cs="Times New Roman"/>
          <w:b/>
          <w:bCs/>
          <w:color w:val="auto"/>
        </w:rPr>
        <w:t xml:space="preserve">表7.2.1 </w:t>
      </w:r>
      <w:r>
        <w:rPr>
          <w:rFonts w:hint="default" w:ascii="Times New Roman" w:hAnsi="Times New Roman" w:cs="Times New Roman"/>
          <w:b/>
          <w:bCs/>
          <w:color w:val="auto"/>
          <w:szCs w:val="21"/>
        </w:rPr>
        <w:t>本项目与实施细则对比情况一览表</w:t>
      </w:r>
    </w:p>
    <w:tbl>
      <w:tblPr>
        <w:tblStyle w:val="26"/>
        <w:tblW w:w="917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048"/>
        <w:gridCol w:w="4910"/>
        <w:gridCol w:w="1194"/>
        <w:gridCol w:w="128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35" w:type="dxa"/>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类别</w:t>
            </w:r>
          </w:p>
        </w:tc>
        <w:tc>
          <w:tcPr>
            <w:tcW w:w="5958" w:type="dxa"/>
            <w:gridSpan w:val="2"/>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实施细则中相关规定</w:t>
            </w:r>
          </w:p>
        </w:tc>
        <w:tc>
          <w:tcPr>
            <w:tcW w:w="1194" w:type="dxa"/>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对照情况</w:t>
            </w:r>
          </w:p>
        </w:tc>
        <w:tc>
          <w:tcPr>
            <w:tcW w:w="1283" w:type="dxa"/>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结论/备注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735" w:type="dxa"/>
            <w:vMerge w:val="restart"/>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主体功能区分区</w:t>
            </w:r>
          </w:p>
        </w:tc>
        <w:tc>
          <w:tcPr>
            <w:tcW w:w="1048" w:type="dxa"/>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农产品主产区</w:t>
            </w:r>
          </w:p>
        </w:tc>
        <w:tc>
          <w:tcPr>
            <w:tcW w:w="4910" w:type="dxa"/>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清丰县、南乐县、范县、台前县（除工业准入优先区、城市人居功能区及禁止开发区域以外范围））</w:t>
            </w:r>
          </w:p>
        </w:tc>
        <w:tc>
          <w:tcPr>
            <w:tcW w:w="1194" w:type="dxa"/>
            <w:vMerge w:val="restart"/>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本项目位于清丰县韩村镇杨韩村北</w:t>
            </w:r>
          </w:p>
        </w:tc>
        <w:tc>
          <w:tcPr>
            <w:tcW w:w="1283" w:type="dxa"/>
            <w:tcBorders>
              <w:tl2br w:val="nil"/>
              <w:tr2bl w:val="nil"/>
            </w:tcBorders>
            <w:vAlign w:val="center"/>
          </w:tcPr>
          <w:p>
            <w:pPr>
              <w:pStyle w:val="24"/>
              <w:adjustRightInd/>
              <w:snapToGrid/>
              <w:spacing w:after="0" w:line="240" w:lineRule="exact"/>
              <w:ind w:left="0" w:leftChars="0" w:firstLine="0" w:firstLineChars="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项目选址属于农产品主产区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735" w:type="dxa"/>
            <w:vMerge w:val="continue"/>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p>
        </w:tc>
        <w:tc>
          <w:tcPr>
            <w:tcW w:w="1048" w:type="dxa"/>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重点生态功能区</w:t>
            </w:r>
          </w:p>
        </w:tc>
        <w:tc>
          <w:tcPr>
            <w:tcW w:w="4910" w:type="dxa"/>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开发区：胡村乡、王助乡、华龙区：孟轲乡、岳村乡；濮阳县：城关镇、子岸乡、五星集、渠村乡；清丰县：城关镇；南乐县：城关镇；范县：城关镇、辛庄、濮城镇、王楼乡；台前县：城关镇。</w:t>
            </w:r>
          </w:p>
        </w:tc>
        <w:tc>
          <w:tcPr>
            <w:tcW w:w="1194" w:type="dxa"/>
            <w:vMerge w:val="continue"/>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p>
        </w:tc>
        <w:tc>
          <w:tcPr>
            <w:tcW w:w="1283" w:type="dxa"/>
            <w:tcBorders>
              <w:tl2br w:val="nil"/>
              <w:tr2bl w:val="nil"/>
            </w:tcBorders>
            <w:vAlign w:val="center"/>
          </w:tcPr>
          <w:p>
            <w:pPr>
              <w:pStyle w:val="24"/>
              <w:adjustRightInd/>
              <w:snapToGrid/>
              <w:spacing w:after="0" w:line="240" w:lineRule="exact"/>
              <w:ind w:left="0" w:leftChars="0"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项目选址不属于重点生态功能区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4" w:hRule="atLeast"/>
          <w:jc w:val="center"/>
        </w:trPr>
        <w:tc>
          <w:tcPr>
            <w:tcW w:w="735" w:type="dxa"/>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所属污染防控单元</w:t>
            </w:r>
          </w:p>
        </w:tc>
        <w:tc>
          <w:tcPr>
            <w:tcW w:w="5958" w:type="dxa"/>
            <w:gridSpan w:val="2"/>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水污染防治重点单元（华龙区、开发区、工业园区、市城乡一体化示范区、濮阳县、清丰县、南乐县、范县、台前县））、大气污染防治重点单元（濮阳市城市建成区（包括西部开发区、 市城乡一体化示范区、华龙区、东部工业园区建成区部分）） ，各县县城建成区及其主导风向上方向10 公里以内区域））、重金属污染防控单元（ 全市范围内 ）</w:t>
            </w:r>
          </w:p>
        </w:tc>
        <w:tc>
          <w:tcPr>
            <w:tcW w:w="1194" w:type="dxa"/>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项目选址在清丰县韩村镇杨韩村北</w:t>
            </w:r>
          </w:p>
        </w:tc>
        <w:tc>
          <w:tcPr>
            <w:tcW w:w="1283" w:type="dxa"/>
            <w:tcBorders>
              <w:tl2br w:val="nil"/>
              <w:tr2bl w:val="nil"/>
            </w:tcBorders>
            <w:vAlign w:val="center"/>
          </w:tcPr>
          <w:p>
            <w:pPr>
              <w:pStyle w:val="24"/>
              <w:adjustRightInd/>
              <w:snapToGrid/>
              <w:spacing w:after="0" w:line="240" w:lineRule="exact"/>
              <w:ind w:left="0" w:leftChars="0"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属于</w:t>
            </w:r>
            <w:r>
              <w:rPr>
                <w:rFonts w:hint="default" w:ascii="Times New Roman" w:hAnsi="Times New Roman" w:eastAsia="宋体" w:cs="Times New Roman"/>
                <w:bCs/>
                <w:color w:val="auto"/>
                <w:sz w:val="21"/>
                <w:szCs w:val="21"/>
                <w:lang w:eastAsia="zh-CN"/>
              </w:rPr>
              <w:t>水</w:t>
            </w:r>
            <w:r>
              <w:rPr>
                <w:rFonts w:hint="default" w:ascii="Times New Roman" w:hAnsi="Times New Roman" w:eastAsia="宋体" w:cs="Times New Roman"/>
                <w:bCs/>
                <w:color w:val="auto"/>
                <w:sz w:val="21"/>
                <w:szCs w:val="21"/>
              </w:rPr>
              <w:t>防治重点单元、重金属污染防治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1" w:hRule="atLeast"/>
          <w:jc w:val="center"/>
        </w:trPr>
        <w:tc>
          <w:tcPr>
            <w:tcW w:w="735" w:type="dxa"/>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农产品主产区环境准入政策</w:t>
            </w:r>
          </w:p>
        </w:tc>
        <w:tc>
          <w:tcPr>
            <w:tcW w:w="5958" w:type="dxa"/>
            <w:gridSpan w:val="2"/>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1、不予审批《工业项目分类清单》中三类工业的新建项目和涉及重金属、持久性有机污染物排放等目影响粮食生产安全的二类工业新建项目（ 矿产资源点状开发项目和符合我省重大产业布局的项目除外））。</w:t>
            </w:r>
          </w:p>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2、在属于《水污染防治重点单元》的区域内，不予审批屠宰、酿造、含发酵工艺的粮食加工等废水排放量大项目。</w:t>
            </w:r>
          </w:p>
        </w:tc>
        <w:tc>
          <w:tcPr>
            <w:tcW w:w="1194" w:type="dxa"/>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不属于</w:t>
            </w:r>
          </w:p>
        </w:tc>
        <w:tc>
          <w:tcPr>
            <w:tcW w:w="1283" w:type="dxa"/>
            <w:tcBorders>
              <w:tl2br w:val="nil"/>
              <w:tr2bl w:val="nil"/>
            </w:tcBorders>
            <w:vAlign w:val="center"/>
          </w:tcPr>
          <w:p>
            <w:pPr>
              <w:pStyle w:val="24"/>
              <w:adjustRightInd/>
              <w:snapToGrid/>
              <w:spacing w:after="0" w:line="240" w:lineRule="exact"/>
              <w:ind w:left="0" w:leftChars="0" w:firstLine="0" w:firstLineChars="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项目不属于农产品主产区不予审批项目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735" w:type="dxa"/>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重点生态功能区环境准入政策</w:t>
            </w:r>
          </w:p>
        </w:tc>
        <w:tc>
          <w:tcPr>
            <w:tcW w:w="5958" w:type="dxa"/>
            <w:gridSpan w:val="2"/>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不予审批《工业项目分类清单 》中二类、三类工业项目（矿产资源点状开发项目和符合我省重大产业布局的项目除外））。</w:t>
            </w:r>
          </w:p>
        </w:tc>
        <w:tc>
          <w:tcPr>
            <w:tcW w:w="1194" w:type="dxa"/>
            <w:tcBorders>
              <w:tl2br w:val="nil"/>
              <w:tr2bl w:val="nil"/>
            </w:tcBorders>
            <w:vAlign w:val="center"/>
          </w:tcPr>
          <w:p>
            <w:pPr>
              <w:pStyle w:val="24"/>
              <w:adjustRightInd/>
              <w:snapToGrid/>
              <w:spacing w:after="0" w:line="240" w:lineRule="exact"/>
              <w:ind w:left="0" w:leftChars="0"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不属于</w:t>
            </w:r>
          </w:p>
        </w:tc>
        <w:tc>
          <w:tcPr>
            <w:tcW w:w="1283" w:type="dxa"/>
            <w:tcBorders>
              <w:tl2br w:val="nil"/>
              <w:tr2bl w:val="nil"/>
            </w:tcBorders>
            <w:vAlign w:val="center"/>
          </w:tcPr>
          <w:p>
            <w:pPr>
              <w:pStyle w:val="24"/>
              <w:adjustRightInd/>
              <w:snapToGrid/>
              <w:spacing w:after="0" w:line="240" w:lineRule="exact"/>
              <w:ind w:left="0" w:leftChars="0" w:firstLine="0" w:firstLineChars="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项目不属于重点生态功能区不予审项目</w:t>
            </w:r>
          </w:p>
        </w:tc>
      </w:tr>
    </w:tbl>
    <w:p>
      <w:pPr>
        <w:autoSpaceDE w:val="0"/>
        <w:autoSpaceDN w:val="0"/>
        <w:ind w:firstLine="480"/>
        <w:rPr>
          <w:rFonts w:hint="default" w:ascii="Times New Roman" w:hAnsi="Times New Roman" w:cs="Times New Roman"/>
          <w:color w:val="auto"/>
        </w:rPr>
      </w:pPr>
      <w:r>
        <w:rPr>
          <w:rFonts w:hint="default" w:ascii="Times New Roman" w:hAnsi="Times New Roman" w:cs="Times New Roman"/>
          <w:color w:val="auto"/>
        </w:rPr>
        <w:t>由上表可知，项目选址位于农产品主产区，项目建设符合农产品主产区和重点生态功能区环境准入政策。</w:t>
      </w:r>
    </w:p>
    <w:p>
      <w:pPr>
        <w:pStyle w:val="5"/>
        <w:rPr>
          <w:rFonts w:hint="default" w:ascii="Times New Roman" w:hAnsi="Times New Roman" w:cs="Times New Roman"/>
          <w:color w:val="auto"/>
          <w:lang w:val="en-US"/>
        </w:rPr>
      </w:pPr>
      <w:r>
        <w:rPr>
          <w:rFonts w:hint="default" w:ascii="Times New Roman" w:hAnsi="Times New Roman" w:cs="Times New Roman"/>
          <w:color w:val="auto"/>
          <w:lang w:val="en-US"/>
        </w:rPr>
        <w:t>7.2.2 场址选择的基本要求</w:t>
      </w:r>
    </w:p>
    <w:p>
      <w:pPr>
        <w:spacing w:afterLines="30"/>
        <w:ind w:firstLine="480"/>
        <w:jc w:val="left"/>
        <w:rPr>
          <w:rFonts w:hint="default" w:ascii="Times New Roman" w:hAnsi="Times New Roman" w:cs="Times New Roman"/>
          <w:color w:val="auto"/>
        </w:rPr>
      </w:pPr>
      <w:r>
        <w:rPr>
          <w:rFonts w:hint="default" w:ascii="Times New Roman" w:hAnsi="Times New Roman" w:cs="Times New Roman"/>
          <w:color w:val="auto"/>
        </w:rPr>
        <w:t>场址选择的基本要求及本项目的相符性见表7.2-2。</w:t>
      </w:r>
    </w:p>
    <w:p>
      <w:pPr>
        <w:spacing w:afterLines="30"/>
        <w:ind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表7.2-2              场址选择的基本要求及本项目的相符性分析一览表</w:t>
      </w:r>
    </w:p>
    <w:tbl>
      <w:tblPr>
        <w:tblStyle w:val="26"/>
        <w:tblW w:w="917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56"/>
        <w:gridCol w:w="4093"/>
        <w:gridCol w:w="2720"/>
        <w:gridCol w:w="6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75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类 别  </w:t>
            </w:r>
          </w:p>
        </w:tc>
        <w:tc>
          <w:tcPr>
            <w:tcW w:w="409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相关要求</w:t>
            </w:r>
          </w:p>
        </w:tc>
        <w:tc>
          <w:tcPr>
            <w:tcW w:w="272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本项目基本情况</w:t>
            </w:r>
          </w:p>
        </w:tc>
        <w:tc>
          <w:tcPr>
            <w:tcW w:w="60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4" w:hRule="atLeast"/>
          <w:jc w:val="center"/>
        </w:trPr>
        <w:tc>
          <w:tcPr>
            <w:tcW w:w="1756"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1、《畜禽养殖业污染防治技术规范》（HJ/T81-2001）</w:t>
            </w:r>
          </w:p>
        </w:tc>
        <w:tc>
          <w:tcPr>
            <w:tcW w:w="409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集中饮用水水源保护区。</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1．生活饮用水水源保护区、风景名胜区、自然保护区的核心区及缓冲区500米范围内。</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2.城市和城镇居民区，包括文教科研区、医疗区、商业区、工业区、游览区等人口集中地区500米范围内。</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3．法律、法规规定的其它禁养</w:t>
            </w:r>
          </w:p>
        </w:tc>
        <w:tc>
          <w:tcPr>
            <w:tcW w:w="2720" w:type="dxa"/>
            <w:vMerge w:val="restart"/>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本项目属于新建项目，不在规划的禁养区。本项目最近的敏感点为项目南侧510m处杨韩村，因此场址不在规定的禁建区范围。</w:t>
            </w:r>
          </w:p>
        </w:tc>
        <w:tc>
          <w:tcPr>
            <w:tcW w:w="60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56"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409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畜禽粪便的贮存设施位置必须远离各类功能地表水体（距离不得小400m），并应设在养殖场生产及生活管理区的常年主导风向的下风向或侧风向处。</w:t>
            </w:r>
          </w:p>
        </w:tc>
        <w:tc>
          <w:tcPr>
            <w:tcW w:w="2720" w:type="dxa"/>
            <w:vMerge w:val="continue"/>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p>
        </w:tc>
        <w:tc>
          <w:tcPr>
            <w:tcW w:w="60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5" w:hRule="atLeast"/>
          <w:jc w:val="center"/>
        </w:trPr>
        <w:tc>
          <w:tcPr>
            <w:tcW w:w="175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2、中华人民共和国畜牧法（第四十五号令）</w:t>
            </w:r>
          </w:p>
        </w:tc>
        <w:tc>
          <w:tcPr>
            <w:tcW w:w="409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禁止在下列区域内建设畜禽养殖场、养殖小区：</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1、生活饮用水的水源保护区，风景名胜区，以及自然保护区的核心区和缓冲区；</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2、城镇居民区、文化教育科学研究区等人口集中区域；</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3、法律、法规规定的其他禁养区域。</w:t>
            </w:r>
          </w:p>
        </w:tc>
        <w:tc>
          <w:tcPr>
            <w:tcW w:w="272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1、本项目不在生活饮用水的水源保护区，风景名胜区，以及自然保护区的核心区和缓冲区；2、本项目不在城镇居民区、文化教育科学研究区等人口集中区域。3、本项目不在法律、法规规定的其他禁养区域</w:t>
            </w:r>
          </w:p>
        </w:tc>
        <w:tc>
          <w:tcPr>
            <w:tcW w:w="60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4" w:hRule="atLeast"/>
          <w:jc w:val="center"/>
        </w:trPr>
        <w:tc>
          <w:tcPr>
            <w:tcW w:w="175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3、《河南省人民政府办公厅关于印发河南省县级集中式饮用水水源保护区划的通知》豫政办（2013）107号</w:t>
            </w:r>
          </w:p>
        </w:tc>
        <w:tc>
          <w:tcPr>
            <w:tcW w:w="409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1.清丰县：清丰县八里庄地下水井群(共24眼井)。</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2.南乐县：南乐县自来水公司地下水井群(共13眼井)。</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3.范县：(1)范县新城区地下水井群(共8眼井)(2)范县老城区地下水井群(共2眼井)</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4.台前县：台前县马楼地下水井群(马楼乡黄河左岸，共16眼井)。</w:t>
            </w:r>
          </w:p>
        </w:tc>
        <w:tc>
          <w:tcPr>
            <w:tcW w:w="272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本项目位于韩村镇杨韩村北，不在饮用水源保护区范围内。</w:t>
            </w:r>
          </w:p>
        </w:tc>
        <w:tc>
          <w:tcPr>
            <w:tcW w:w="60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5" w:hRule="atLeast"/>
          <w:jc w:val="center"/>
        </w:trPr>
        <w:tc>
          <w:tcPr>
            <w:tcW w:w="1756"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4、《河南省人民政府办公厅关于印发河南省乡镇集中式饮用水水源保护区划的通知》[豫政办〔2016〕23号]</w:t>
            </w:r>
          </w:p>
        </w:tc>
        <w:tc>
          <w:tcPr>
            <w:tcW w:w="4093"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清丰县韩村乡地下水井(共4眼井)：</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一级保护区范围：水厂厂区及外围30米的区域。</w:t>
            </w:r>
          </w:p>
        </w:tc>
        <w:tc>
          <w:tcPr>
            <w:tcW w:w="2720"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本项目位于韩村镇杨韩村北，其距离清丰县韩村乡地下水井（共4眼井，）保护区1.7km，位于该地下水井的北侧，项目不在饮用水水源保护区范围内。</w:t>
            </w:r>
          </w:p>
        </w:tc>
        <w:tc>
          <w:tcPr>
            <w:tcW w:w="601" w:type="dxa"/>
            <w:tcBorders>
              <w:tl2br w:val="nil"/>
              <w:tr2bl w:val="nil"/>
            </w:tcBorders>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相符</w:t>
            </w:r>
          </w:p>
        </w:tc>
      </w:tr>
    </w:tbl>
    <w:p>
      <w:pPr>
        <w:ind w:firstLine="480"/>
        <w:rPr>
          <w:rFonts w:hint="default" w:ascii="Times New Roman" w:hAnsi="Times New Roman" w:cs="Times New Roman"/>
          <w:color w:val="auto"/>
          <w:kern w:val="0"/>
          <w:szCs w:val="28"/>
        </w:rPr>
      </w:pPr>
      <w:r>
        <w:rPr>
          <w:rFonts w:hint="default" w:ascii="Times New Roman" w:hAnsi="Times New Roman" w:cs="Times New Roman"/>
          <w:color w:val="auto"/>
          <w:kern w:val="0"/>
          <w:szCs w:val="28"/>
        </w:rPr>
        <w:t>建议项目在建设过程严格按照与敏感点500m防护距离进行建设；清丰县韩村镇人民政府应按照不在养殖场四周500m范围内建设居民点、学校、医院等环境敏感点的进行管理，确保测定边界范围内不再建设新的敏感点。</w:t>
      </w:r>
    </w:p>
    <w:p>
      <w:pPr>
        <w:pStyle w:val="5"/>
        <w:rPr>
          <w:rFonts w:hint="default" w:ascii="Times New Roman" w:hAnsi="Times New Roman" w:cs="Times New Roman"/>
          <w:color w:val="auto"/>
          <w:lang w:val="en-US"/>
        </w:rPr>
      </w:pPr>
      <w:r>
        <w:rPr>
          <w:rFonts w:hint="default" w:ascii="Times New Roman" w:hAnsi="Times New Roman" w:cs="Times New Roman"/>
          <w:color w:val="auto"/>
          <w:lang w:val="en-US"/>
        </w:rPr>
        <w:t>7.2.3 场址可行性分析</w:t>
      </w:r>
    </w:p>
    <w:p>
      <w:pPr>
        <w:ind w:firstLine="480"/>
        <w:rPr>
          <w:rFonts w:hint="default" w:ascii="Times New Roman" w:hAnsi="Times New Roman" w:cs="Times New Roman"/>
          <w:color w:val="auto"/>
          <w:kern w:val="0"/>
          <w:szCs w:val="28"/>
        </w:rPr>
      </w:pPr>
      <w:r>
        <w:rPr>
          <w:rFonts w:hint="default" w:ascii="Times New Roman" w:hAnsi="Times New Roman" w:cs="Times New Roman"/>
          <w:color w:val="auto"/>
          <w:kern w:val="0"/>
          <w:szCs w:val="28"/>
        </w:rPr>
        <w:t>根据本工程场址区域环境保护有关要求、工程特点、预测结果等方面内容，对场址可行性进行分析，详细情况见表7.2-3。</w:t>
      </w:r>
    </w:p>
    <w:p>
      <w:pPr>
        <w:spacing w:afterLines="30" w:line="500" w:lineRule="exact"/>
        <w:ind w:firstLine="482"/>
        <w:jc w:val="left"/>
        <w:rPr>
          <w:rFonts w:hint="default" w:ascii="Times New Roman" w:hAnsi="Times New Roman" w:cs="Times New Roman"/>
          <w:b/>
          <w:color w:val="auto"/>
          <w:szCs w:val="21"/>
        </w:rPr>
      </w:pPr>
    </w:p>
    <w:p>
      <w:pPr>
        <w:spacing w:afterLines="30" w:line="500" w:lineRule="exact"/>
        <w:ind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表7.2-3                           场址可行性分析</w:t>
      </w:r>
    </w:p>
    <w:tbl>
      <w:tblPr>
        <w:tblStyle w:val="25"/>
        <w:tblW w:w="924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8"/>
        <w:gridCol w:w="1637"/>
        <w:gridCol w:w="696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38"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lang w:bidi="ar-BH"/>
              </w:rPr>
            </w:pPr>
            <w:r>
              <w:rPr>
                <w:rFonts w:hint="default" w:ascii="Times New Roman" w:hAnsi="Times New Roman" w:cs="Times New Roman"/>
                <w:color w:val="auto"/>
                <w:sz w:val="21"/>
                <w:szCs w:val="21"/>
                <w:lang w:bidi="ar-BH"/>
              </w:rPr>
              <w:t>序号</w:t>
            </w:r>
          </w:p>
        </w:tc>
        <w:tc>
          <w:tcPr>
            <w:tcW w:w="1637"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lang w:bidi="ar-BH"/>
              </w:rPr>
            </w:pPr>
            <w:r>
              <w:rPr>
                <w:rFonts w:hint="default" w:ascii="Times New Roman" w:hAnsi="Times New Roman" w:cs="Times New Roman"/>
                <w:color w:val="auto"/>
                <w:sz w:val="21"/>
                <w:szCs w:val="21"/>
                <w:lang w:bidi="ar-BH"/>
              </w:rPr>
              <w:t>项目</w:t>
            </w:r>
          </w:p>
        </w:tc>
        <w:tc>
          <w:tcPr>
            <w:tcW w:w="6965"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lang w:bidi="ar-BH"/>
              </w:rPr>
            </w:pPr>
            <w:r>
              <w:rPr>
                <w:rFonts w:hint="default" w:ascii="Times New Roman" w:hAnsi="Times New Roman" w:cs="Times New Roman"/>
                <w:color w:val="auto"/>
                <w:sz w:val="21"/>
                <w:szCs w:val="21"/>
                <w:lang w:bidi="ar-BH"/>
              </w:rPr>
              <w:t>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lang w:bidi="ar-BH"/>
              </w:rPr>
            </w:pPr>
            <w:r>
              <w:rPr>
                <w:rFonts w:hint="default" w:ascii="Times New Roman" w:hAnsi="Times New Roman" w:cs="Times New Roman"/>
                <w:color w:val="auto"/>
                <w:sz w:val="21"/>
                <w:szCs w:val="21"/>
                <w:lang w:bidi="ar-BH"/>
              </w:rPr>
              <w:t>1</w:t>
            </w:r>
          </w:p>
        </w:tc>
        <w:tc>
          <w:tcPr>
            <w:tcW w:w="1637"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lang w:bidi="ar-BH"/>
              </w:rPr>
            </w:pPr>
            <w:r>
              <w:rPr>
                <w:rFonts w:hint="default" w:ascii="Times New Roman" w:hAnsi="Times New Roman" w:cs="Times New Roman"/>
                <w:color w:val="auto"/>
                <w:sz w:val="21"/>
                <w:szCs w:val="21"/>
                <w:lang w:bidi="ar-BH"/>
              </w:rPr>
              <w:t>场址</w:t>
            </w:r>
          </w:p>
        </w:tc>
        <w:tc>
          <w:tcPr>
            <w:tcW w:w="6965"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lang w:bidi="ar-BH"/>
              </w:rPr>
            </w:pPr>
            <w:r>
              <w:rPr>
                <w:rFonts w:hint="default" w:ascii="Times New Roman" w:hAnsi="Times New Roman" w:cs="Times New Roman"/>
                <w:color w:val="auto"/>
                <w:sz w:val="21"/>
                <w:szCs w:val="21"/>
              </w:rPr>
              <w:t>位于清丰县韩村镇杨韩村北，场区周围非城市、城镇居民集中区，场址不在</w:t>
            </w:r>
            <w:r>
              <w:rPr>
                <w:rFonts w:hint="default" w:ascii="Times New Roman" w:hAnsi="Times New Roman" w:cs="Times New Roman"/>
                <w:color w:val="auto"/>
                <w:sz w:val="21"/>
                <w:szCs w:val="21"/>
                <w:lang w:eastAsia="zh-CN"/>
              </w:rPr>
              <w:t>清丰县</w:t>
            </w:r>
            <w:r>
              <w:rPr>
                <w:rFonts w:hint="default" w:ascii="Times New Roman" w:hAnsi="Times New Roman" w:cs="Times New Roman"/>
                <w:color w:val="auto"/>
                <w:sz w:val="21"/>
                <w:szCs w:val="21"/>
              </w:rPr>
              <w:t>城市总体规划范围内。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lang w:bidi="ar-BH"/>
              </w:rPr>
            </w:pPr>
            <w:r>
              <w:rPr>
                <w:rFonts w:hint="default" w:ascii="Times New Roman" w:hAnsi="Times New Roman" w:cs="Times New Roman"/>
                <w:color w:val="auto"/>
                <w:sz w:val="21"/>
                <w:szCs w:val="21"/>
                <w:lang w:bidi="ar-BH"/>
              </w:rPr>
              <w:t>2</w:t>
            </w:r>
          </w:p>
        </w:tc>
        <w:tc>
          <w:tcPr>
            <w:tcW w:w="1637"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lang w:bidi="ar-BH"/>
              </w:rPr>
            </w:pPr>
            <w:r>
              <w:rPr>
                <w:rFonts w:hint="default" w:ascii="Times New Roman" w:hAnsi="Times New Roman" w:cs="Times New Roman"/>
                <w:color w:val="auto"/>
                <w:sz w:val="21"/>
                <w:szCs w:val="21"/>
                <w:lang w:bidi="ar-BH"/>
              </w:rPr>
              <w:t>占地类型</w:t>
            </w:r>
          </w:p>
        </w:tc>
        <w:tc>
          <w:tcPr>
            <w:tcW w:w="6965"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lang w:bidi="ar-BH"/>
              </w:rPr>
            </w:pPr>
            <w:r>
              <w:rPr>
                <w:rFonts w:hint="default" w:ascii="Times New Roman" w:hAnsi="Times New Roman" w:cs="Times New Roman"/>
                <w:color w:val="auto"/>
                <w:sz w:val="21"/>
                <w:szCs w:val="21"/>
              </w:rPr>
              <w:t>本项目占地性质为规划养殖用地，项目占地167亩。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637"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BH"/>
              </w:rPr>
              <w:t>周围敏感点及设防距离</w:t>
            </w:r>
          </w:p>
        </w:tc>
        <w:tc>
          <w:tcPr>
            <w:tcW w:w="6965"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snapToGrid w:val="0"/>
                <w:color w:val="auto"/>
                <w:kern w:val="0"/>
                <w:sz w:val="21"/>
                <w:szCs w:val="21"/>
              </w:rPr>
            </w:pPr>
            <w:r>
              <w:rPr>
                <w:rFonts w:hint="default" w:ascii="Times New Roman" w:hAnsi="Times New Roman" w:cs="Times New Roman"/>
                <w:color w:val="auto"/>
                <w:sz w:val="21"/>
                <w:szCs w:val="21"/>
              </w:rPr>
              <w:t>根据预测分析，项目卫生防护距离为500m，评价设置500m防护距离（距养殖区），本项目养殖区距离最近的敏感点为项目南510m处的杨韩村，满足环保要求。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637"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lang w:bidi="ar-BH"/>
              </w:rPr>
            </w:pPr>
            <w:r>
              <w:rPr>
                <w:rFonts w:hint="default" w:ascii="Times New Roman" w:hAnsi="Times New Roman" w:cs="Times New Roman"/>
                <w:color w:val="auto"/>
                <w:sz w:val="21"/>
                <w:szCs w:val="21"/>
                <w:lang w:bidi="ar-BH"/>
              </w:rPr>
              <w:t>沼液消纳能力分析</w:t>
            </w:r>
          </w:p>
        </w:tc>
        <w:tc>
          <w:tcPr>
            <w:tcW w:w="6965"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沼液需农田面积应不少于430亩，牧原公司与周围村庄签订协议，利用周围村庄500亩农田，消纳项目产生的沼液。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lang w:bidi="ar-BH"/>
              </w:rPr>
            </w:pPr>
            <w:r>
              <w:rPr>
                <w:rFonts w:hint="default" w:ascii="Times New Roman" w:hAnsi="Times New Roman" w:cs="Times New Roman"/>
                <w:color w:val="auto"/>
                <w:sz w:val="21"/>
                <w:szCs w:val="21"/>
                <w:lang w:bidi="ar-BH"/>
              </w:rPr>
              <w:t>5</w:t>
            </w:r>
          </w:p>
        </w:tc>
        <w:tc>
          <w:tcPr>
            <w:tcW w:w="1637"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lang w:bidi="ar-BH"/>
              </w:rPr>
            </w:pPr>
            <w:r>
              <w:rPr>
                <w:rFonts w:hint="default" w:ascii="Times New Roman" w:hAnsi="Times New Roman" w:cs="Times New Roman"/>
                <w:color w:val="auto"/>
                <w:sz w:val="21"/>
                <w:szCs w:val="21"/>
                <w:lang w:bidi="ar-BH"/>
              </w:rPr>
              <w:t>区域地表水体</w:t>
            </w:r>
          </w:p>
        </w:tc>
        <w:tc>
          <w:tcPr>
            <w:tcW w:w="6965" w:type="dxa"/>
            <w:tcMar>
              <w:top w:w="45" w:type="dxa"/>
              <w:left w:w="57" w:type="dxa"/>
              <w:bottom w:w="45" w:type="dxa"/>
              <w:right w:w="57" w:type="dxa"/>
            </w:tcMar>
            <w:vAlign w:val="center"/>
          </w:tcPr>
          <w:p>
            <w:pPr>
              <w:pStyle w:val="22"/>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项目养殖场粪便贮存场所（本项目为有机肥发酵区）距区域地表水体约1830m，满足《畜禽养殖业污染防治技术规范》（HJ/T81—2001）规定中畜禽粪便贮存场距离地表水体不得小于400m。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lang w:bidi="ar-BH"/>
              </w:rPr>
            </w:pPr>
            <w:r>
              <w:rPr>
                <w:rFonts w:hint="default" w:ascii="Times New Roman" w:hAnsi="Times New Roman" w:cs="Times New Roman"/>
                <w:color w:val="auto"/>
                <w:sz w:val="21"/>
                <w:szCs w:val="21"/>
                <w:lang w:bidi="ar-BH"/>
              </w:rPr>
              <w:t>6</w:t>
            </w:r>
          </w:p>
        </w:tc>
        <w:tc>
          <w:tcPr>
            <w:tcW w:w="1637"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lang w:bidi="ar-BH"/>
              </w:rPr>
            </w:pPr>
            <w:r>
              <w:rPr>
                <w:rFonts w:hint="default" w:ascii="Times New Roman" w:hAnsi="Times New Roman" w:cs="Times New Roman"/>
                <w:color w:val="auto"/>
                <w:sz w:val="21"/>
                <w:szCs w:val="21"/>
                <w:lang w:bidi="ar-BH"/>
              </w:rPr>
              <w:t>气候、气象</w:t>
            </w:r>
          </w:p>
        </w:tc>
        <w:tc>
          <w:tcPr>
            <w:tcW w:w="6965"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场址所处区域地势平坦，气候温暖，四季分明，且地质条件良好。该区域全年主导风向为南风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lang w:bidi="ar-BH"/>
              </w:rPr>
            </w:pPr>
            <w:r>
              <w:rPr>
                <w:rFonts w:hint="default" w:ascii="Times New Roman" w:hAnsi="Times New Roman" w:cs="Times New Roman"/>
                <w:color w:val="auto"/>
                <w:sz w:val="21"/>
                <w:szCs w:val="21"/>
                <w:lang w:bidi="ar-BH"/>
              </w:rPr>
              <w:t>7</w:t>
            </w:r>
          </w:p>
        </w:tc>
        <w:tc>
          <w:tcPr>
            <w:tcW w:w="1637"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lang w:bidi="ar-BH"/>
              </w:rPr>
            </w:pPr>
            <w:r>
              <w:rPr>
                <w:rFonts w:hint="default" w:ascii="Times New Roman" w:hAnsi="Times New Roman" w:cs="Times New Roman"/>
                <w:color w:val="auto"/>
                <w:sz w:val="21"/>
                <w:szCs w:val="21"/>
                <w:lang w:bidi="ar-BH"/>
              </w:rPr>
              <w:t>环境影响预测</w:t>
            </w:r>
          </w:p>
        </w:tc>
        <w:tc>
          <w:tcPr>
            <w:tcW w:w="6965"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项目运营期场界恶臭排放浓度及场界噪声均实现达标排放；在落实环评建议的前提下，对地下水的影响将降至最低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lang w:bidi="ar-BH"/>
              </w:rPr>
            </w:pPr>
            <w:r>
              <w:rPr>
                <w:rFonts w:hint="default" w:ascii="Times New Roman" w:hAnsi="Times New Roman" w:cs="Times New Roman"/>
                <w:color w:val="auto"/>
                <w:sz w:val="21"/>
                <w:szCs w:val="21"/>
                <w:lang w:bidi="ar-BH"/>
              </w:rPr>
              <w:t>8</w:t>
            </w:r>
          </w:p>
        </w:tc>
        <w:tc>
          <w:tcPr>
            <w:tcW w:w="1637"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lang w:bidi="ar-BH"/>
              </w:rPr>
            </w:pPr>
            <w:r>
              <w:rPr>
                <w:rFonts w:hint="default" w:ascii="Times New Roman" w:hAnsi="Times New Roman" w:cs="Times New Roman"/>
                <w:color w:val="auto"/>
                <w:sz w:val="21"/>
                <w:szCs w:val="21"/>
                <w:lang w:bidi="ar-BH"/>
              </w:rPr>
              <w:t>环境风险防范</w:t>
            </w:r>
          </w:p>
        </w:tc>
        <w:tc>
          <w:tcPr>
            <w:tcW w:w="6965"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企业在认真落实评价提出的各项防范措施后，可将项目风险发生的概率降至最低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lang w:bidi="ar-BH"/>
              </w:rPr>
            </w:pPr>
            <w:r>
              <w:rPr>
                <w:rFonts w:hint="default" w:ascii="Times New Roman" w:hAnsi="Times New Roman" w:cs="Times New Roman"/>
                <w:color w:val="auto"/>
                <w:sz w:val="21"/>
                <w:szCs w:val="21"/>
                <w:lang w:bidi="ar-BH"/>
              </w:rPr>
              <w:t>9</w:t>
            </w:r>
          </w:p>
        </w:tc>
        <w:tc>
          <w:tcPr>
            <w:tcW w:w="1637"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lang w:bidi="ar-BH"/>
              </w:rPr>
            </w:pPr>
            <w:r>
              <w:rPr>
                <w:rFonts w:hint="default" w:ascii="Times New Roman" w:hAnsi="Times New Roman" w:cs="Times New Roman"/>
                <w:color w:val="auto"/>
                <w:sz w:val="21"/>
                <w:szCs w:val="21"/>
                <w:lang w:bidi="ar-BH"/>
              </w:rPr>
              <w:t>公众参与意见</w:t>
            </w:r>
          </w:p>
        </w:tc>
        <w:tc>
          <w:tcPr>
            <w:tcW w:w="6965"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公众参与对象对项目建设无反对意见，并希望建设单位严格按照评价要求做好污染防治工作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lang w:bidi="ar-BH"/>
              </w:rPr>
            </w:pPr>
            <w:r>
              <w:rPr>
                <w:rFonts w:hint="default" w:ascii="Times New Roman" w:hAnsi="Times New Roman" w:cs="Times New Roman"/>
                <w:color w:val="auto"/>
                <w:sz w:val="21"/>
                <w:szCs w:val="21"/>
                <w:lang w:bidi="ar-BH"/>
              </w:rPr>
              <w:t>10</w:t>
            </w:r>
          </w:p>
        </w:tc>
        <w:tc>
          <w:tcPr>
            <w:tcW w:w="1637"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lang w:bidi="ar-BH"/>
              </w:rPr>
            </w:pPr>
            <w:r>
              <w:rPr>
                <w:rFonts w:hint="default" w:ascii="Times New Roman" w:hAnsi="Times New Roman" w:cs="Times New Roman"/>
                <w:color w:val="auto"/>
                <w:sz w:val="21"/>
                <w:szCs w:val="21"/>
                <w:lang w:bidi="ar-BH"/>
              </w:rPr>
              <w:t>清洁生产水平</w:t>
            </w:r>
          </w:p>
        </w:tc>
        <w:tc>
          <w:tcPr>
            <w:tcW w:w="6965"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清洁生产达到国内先进水平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8"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lang w:bidi="ar-BH"/>
              </w:rPr>
            </w:pPr>
            <w:r>
              <w:rPr>
                <w:rFonts w:hint="default" w:ascii="Times New Roman" w:hAnsi="Times New Roman" w:cs="Times New Roman"/>
                <w:color w:val="auto"/>
                <w:sz w:val="21"/>
                <w:szCs w:val="21"/>
                <w:lang w:bidi="ar-BH"/>
              </w:rPr>
              <w:t>11</w:t>
            </w:r>
          </w:p>
        </w:tc>
        <w:tc>
          <w:tcPr>
            <w:tcW w:w="1637"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lang w:bidi="ar-BH"/>
              </w:rPr>
            </w:pPr>
            <w:r>
              <w:rPr>
                <w:rFonts w:hint="default" w:ascii="Times New Roman" w:hAnsi="Times New Roman" w:cs="Times New Roman"/>
                <w:color w:val="auto"/>
                <w:sz w:val="21"/>
                <w:szCs w:val="21"/>
                <w:lang w:bidi="ar-BH"/>
              </w:rPr>
              <w:t>政府及管理部门意见</w:t>
            </w:r>
          </w:p>
        </w:tc>
        <w:tc>
          <w:tcPr>
            <w:tcW w:w="6965" w:type="dxa"/>
            <w:tcMar>
              <w:top w:w="45" w:type="dxa"/>
              <w:left w:w="57" w:type="dxa"/>
              <w:bottom w:w="45" w:type="dxa"/>
              <w:right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对项目持支持态度，同意本项目在此地建设</w:t>
            </w:r>
          </w:p>
        </w:tc>
      </w:tr>
    </w:tbl>
    <w:p>
      <w:pPr>
        <w:ind w:firstLine="480"/>
        <w:rPr>
          <w:rFonts w:hint="default" w:ascii="Times New Roman" w:hAnsi="Times New Roman" w:eastAsia="宋体" w:cs="Times New Roman"/>
          <w:b/>
          <w:bCs/>
          <w:color w:val="auto"/>
          <w:kern w:val="0"/>
          <w:szCs w:val="28"/>
          <w:u w:val="single"/>
          <w:lang w:val="en-US" w:eastAsia="zh-CN"/>
        </w:rPr>
      </w:pPr>
      <w:r>
        <w:rPr>
          <w:rFonts w:hint="default" w:ascii="Times New Roman" w:hAnsi="Times New Roman" w:cs="Times New Roman"/>
          <w:b/>
          <w:bCs/>
          <w:color w:val="auto"/>
          <w:kern w:val="0"/>
          <w:szCs w:val="28"/>
          <w:u w:val="single"/>
          <w:lang w:eastAsia="zh-CN"/>
        </w:rPr>
        <w:t>根据现场踏勘，本项目场区范围内建有</w:t>
      </w:r>
      <w:r>
        <w:rPr>
          <w:rFonts w:hint="default" w:ascii="Times New Roman" w:hAnsi="Times New Roman" w:cs="Times New Roman"/>
          <w:b/>
          <w:bCs/>
          <w:color w:val="auto"/>
          <w:kern w:val="0"/>
          <w:szCs w:val="28"/>
          <w:u w:val="single"/>
          <w:lang w:val="en-US" w:eastAsia="zh-CN"/>
        </w:rPr>
        <w:t>1条田间道路，主要为不同地块之间的连接道路，不作为乡村行车主要道路，经与该村委会结合，拟将该道路进行改造，具体改造方案如下：沿场区西边界新建一条乡村道路，道路建成后不会影响周边居民的出行。</w:t>
      </w:r>
    </w:p>
    <w:p>
      <w:pPr>
        <w:ind w:firstLine="480"/>
        <w:rPr>
          <w:rFonts w:hint="default" w:ascii="Times New Roman" w:hAnsi="Times New Roman" w:cs="Times New Roman"/>
          <w:color w:val="auto"/>
          <w:kern w:val="0"/>
          <w:szCs w:val="28"/>
        </w:rPr>
      </w:pPr>
      <w:r>
        <w:rPr>
          <w:rFonts w:hint="default" w:ascii="Times New Roman" w:hAnsi="Times New Roman" w:cs="Times New Roman"/>
          <w:color w:val="auto"/>
          <w:kern w:val="0"/>
          <w:szCs w:val="28"/>
        </w:rPr>
        <w:t>综上，从区域、气候、气象特征、场址周围现状情况、工程污染控制、公众参与等方面分析，项目选址可行。</w:t>
      </w:r>
    </w:p>
    <w:p>
      <w:pPr>
        <w:pStyle w:val="5"/>
        <w:rPr>
          <w:rFonts w:hint="default" w:ascii="Times New Roman" w:hAnsi="Times New Roman" w:cs="Times New Roman"/>
          <w:color w:val="auto"/>
          <w:lang w:val="en-US"/>
        </w:rPr>
      </w:pPr>
      <w:r>
        <w:rPr>
          <w:rFonts w:hint="default" w:ascii="Times New Roman" w:hAnsi="Times New Roman" w:cs="Times New Roman"/>
          <w:color w:val="auto"/>
          <w:lang w:val="en-US"/>
        </w:rPr>
        <w:t>7.2.4 场区平面布置可行性分析</w:t>
      </w:r>
    </w:p>
    <w:p>
      <w:pPr>
        <w:ind w:firstLine="480"/>
        <w:rPr>
          <w:rFonts w:hint="default" w:ascii="Times New Roman" w:hAnsi="Times New Roman" w:cs="Times New Roman"/>
          <w:color w:val="auto"/>
        </w:rPr>
      </w:pPr>
      <w:r>
        <w:rPr>
          <w:rFonts w:hint="default" w:ascii="Times New Roman" w:hAnsi="Times New Roman" w:cs="Times New Roman"/>
          <w:color w:val="auto"/>
        </w:rPr>
        <w:t>本项目场区根据功能分区主要分为养殖区、办公区、生活区、污水处理站及</w:t>
      </w:r>
      <w:r>
        <w:rPr>
          <w:rFonts w:hint="default" w:ascii="Times New Roman" w:hAnsi="Times New Roman" w:cs="Times New Roman"/>
          <w:color w:val="auto"/>
          <w:lang w:eastAsia="zh-CN"/>
        </w:rPr>
        <w:t>沼液存储池</w:t>
      </w:r>
      <w:r>
        <w:rPr>
          <w:rFonts w:hint="default" w:ascii="Times New Roman" w:hAnsi="Times New Roman" w:cs="Times New Roman"/>
          <w:color w:val="auto"/>
        </w:rPr>
        <w:t>、固粪处理区、无害化处理区。</w:t>
      </w:r>
    </w:p>
    <w:p>
      <w:pPr>
        <w:ind w:firstLine="480"/>
        <w:rPr>
          <w:rFonts w:hint="default" w:ascii="Times New Roman" w:hAnsi="Times New Roman" w:cs="Times New Roman"/>
          <w:color w:val="auto"/>
        </w:rPr>
      </w:pPr>
      <w:r>
        <w:rPr>
          <w:rFonts w:hint="default" w:ascii="Times New Roman" w:hAnsi="Times New Roman" w:cs="Times New Roman"/>
          <w:color w:val="auto"/>
        </w:rPr>
        <w:t>根据企业设计，本项目养殖场在场区布局上，实行养殖区、办公区与粪污处理区的三区分离，根据项目平面布置，本项目养殖区主要位于厂区中部，配套办公生活区位于厂区南侧，配套污水处理设施位于场区东部。清丰县2018年内主导风向为南风。办公生活区位于养殖区的上风向、粪污治理区侧风向，办公区和养殖区、粪污治理区之间有实体围墙及绿化带相隔，可最大程度减轻对场区内部的影响。且为了最大限度对贺庄村的影响，粪污治理区规划在东北区。</w:t>
      </w:r>
    </w:p>
    <w:p>
      <w:pPr>
        <w:ind w:firstLine="480"/>
        <w:rPr>
          <w:rFonts w:hint="default" w:ascii="Times New Roman" w:hAnsi="Times New Roman" w:cs="Times New Roman"/>
          <w:color w:val="auto"/>
        </w:rPr>
      </w:pPr>
      <w:r>
        <w:rPr>
          <w:rFonts w:hint="default" w:ascii="Times New Roman" w:hAnsi="Times New Roman" w:cs="Times New Roman"/>
          <w:color w:val="auto"/>
        </w:rPr>
        <w:t>根据场区现状布置情况，评价认为项目场址平面布置可行，同时，要求建设时应严格按照《畜禽养殖业污染防治技术规范》（HJ/T81—2001）要求进行布置。</w:t>
      </w:r>
    </w:p>
    <w:p>
      <w:pPr>
        <w:ind w:firstLine="480"/>
        <w:rPr>
          <w:rFonts w:hint="default" w:ascii="Times New Roman" w:hAnsi="Times New Roman" w:cs="Times New Roman"/>
          <w:color w:val="auto"/>
        </w:rPr>
      </w:pPr>
      <w:r>
        <w:rPr>
          <w:rFonts w:hint="default" w:ascii="Times New Roman" w:hAnsi="Times New Roman" w:cs="Times New Roman"/>
          <w:color w:val="auto"/>
        </w:rPr>
        <w:t>评价建议企业在建设过程中，对场区空闲土地和场界进行多层次多方位立体绿化，如在猪舍之间及粪污处理区加强绿化，减轻工程恶臭污染物排放对区域环境的影响，并逐步完善和优化场区平面布置。</w:t>
      </w:r>
    </w:p>
    <w:p>
      <w:pPr>
        <w:ind w:firstLine="480"/>
        <w:rPr>
          <w:rFonts w:hint="default" w:ascii="Times New Roman" w:hAnsi="Times New Roman" w:cs="Times New Roman"/>
          <w:color w:val="auto"/>
        </w:rPr>
        <w:sectPr>
          <w:headerReference r:id="rId26" w:type="default"/>
          <w:pgSz w:w="11906" w:h="16838"/>
          <w:pgMar w:top="1440" w:right="1474" w:bottom="1440" w:left="1474"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cs="Times New Roman"/>
          <w:color w:val="auto"/>
        </w:rPr>
        <w:br w:type="page"/>
      </w:r>
    </w:p>
    <w:p>
      <w:pPr>
        <w:pStyle w:val="24"/>
        <w:ind w:left="480" w:firstLine="480"/>
        <w:rPr>
          <w:rFonts w:hint="default" w:ascii="Times New Roman" w:hAnsi="Times New Roman" w:cs="Times New Roman"/>
          <w:color w:val="auto"/>
        </w:rPr>
      </w:pPr>
    </w:p>
    <w:p>
      <w:pPr>
        <w:pStyle w:val="3"/>
        <w:spacing w:before="240"/>
        <w:ind w:firstLine="0" w:firstLineChars="0"/>
        <w:rPr>
          <w:rFonts w:hint="default" w:ascii="Times New Roman" w:hAnsi="Times New Roman" w:cs="Times New Roman"/>
          <w:color w:val="auto"/>
        </w:rPr>
      </w:pPr>
      <w:bookmarkStart w:id="633" w:name="_Toc476923133"/>
      <w:bookmarkStart w:id="634" w:name="_Toc47432549"/>
      <w:bookmarkStart w:id="635" w:name="_Toc13599"/>
      <w:bookmarkStart w:id="636" w:name="_Toc295121729"/>
      <w:bookmarkStart w:id="637" w:name="_Toc123023641"/>
      <w:bookmarkStart w:id="638" w:name="_Toc476922040"/>
      <w:bookmarkStart w:id="639" w:name="_Toc485580550"/>
      <w:bookmarkStart w:id="640" w:name="_Toc26937"/>
      <w:bookmarkStart w:id="641" w:name="_Toc366760457"/>
      <w:bookmarkStart w:id="642" w:name="_Toc47432597"/>
      <w:bookmarkStart w:id="643" w:name="_Toc329183288"/>
      <w:r>
        <w:rPr>
          <w:rFonts w:hint="default" w:ascii="Times New Roman" w:hAnsi="Times New Roman" w:cs="Times New Roman"/>
          <w:color w:val="auto"/>
        </w:rPr>
        <w:t>第八章  环境经济损益分析</w:t>
      </w:r>
      <w:bookmarkEnd w:id="633"/>
      <w:bookmarkEnd w:id="634"/>
      <w:bookmarkEnd w:id="635"/>
      <w:bookmarkEnd w:id="636"/>
      <w:bookmarkEnd w:id="637"/>
      <w:bookmarkEnd w:id="638"/>
      <w:bookmarkEnd w:id="639"/>
      <w:bookmarkEnd w:id="640"/>
      <w:bookmarkEnd w:id="641"/>
      <w:bookmarkEnd w:id="642"/>
      <w:bookmarkEnd w:id="643"/>
    </w:p>
    <w:p>
      <w:pPr>
        <w:pStyle w:val="11"/>
        <w:spacing w:line="381" w:lineRule="auto"/>
        <w:ind w:right="112" w:firstLine="492"/>
        <w:jc w:val="left"/>
        <w:rPr>
          <w:rFonts w:hint="default" w:ascii="Times New Roman" w:hAnsi="Times New Roman" w:cs="Times New Roman"/>
          <w:color w:val="auto"/>
        </w:rPr>
      </w:pPr>
      <w:bookmarkStart w:id="644" w:name="_Toc123023642"/>
      <w:bookmarkStart w:id="645" w:name="_Toc47432550"/>
      <w:bookmarkStart w:id="646" w:name="_Toc47432598"/>
      <w:r>
        <w:rPr>
          <w:rFonts w:hint="default" w:ascii="Times New Roman" w:hAnsi="Times New Roman" w:cs="Times New Roman"/>
          <w:color w:val="auto"/>
          <w:spacing w:val="3"/>
        </w:rPr>
        <w:t>环境影响经济损益分析的主要任务是衡量项目的环保投资所能收到的环境</w:t>
      </w:r>
      <w:r>
        <w:rPr>
          <w:rFonts w:hint="default" w:ascii="Times New Roman" w:hAnsi="Times New Roman" w:cs="Times New Roman"/>
          <w:color w:val="auto"/>
        </w:rPr>
        <w:t>效益和经济效益；建设项目应力争达到社会效益、环境效益、经济效益的统一，这样才能符合可持续发展的要求，实现经济的持续发展和环境质量的不断改善。</w:t>
      </w:r>
      <w:r>
        <w:rPr>
          <w:rFonts w:hint="default" w:ascii="Times New Roman" w:hAnsi="Times New Roman" w:cs="Times New Roman"/>
          <w:color w:val="auto"/>
          <w:spacing w:val="3"/>
        </w:rPr>
        <w:t>项目属于畜牧养殖行业，它的建设在一定程度上会给周围环境带来一些负面影</w:t>
      </w:r>
      <w:r>
        <w:rPr>
          <w:rFonts w:hint="default" w:ascii="Times New Roman" w:hAnsi="Times New Roman" w:cs="Times New Roman"/>
          <w:color w:val="auto"/>
          <w:spacing w:val="-97"/>
        </w:rPr>
        <w:t xml:space="preserve"> </w:t>
      </w:r>
      <w:r>
        <w:rPr>
          <w:rFonts w:hint="default" w:ascii="Times New Roman" w:hAnsi="Times New Roman" w:cs="Times New Roman"/>
          <w:color w:val="auto"/>
          <w:spacing w:val="-3"/>
        </w:rPr>
        <w:t>响，因此有必要进行经济效益、社会效益、环境效益的综合分析，使项目的建设</w:t>
      </w:r>
      <w:r>
        <w:rPr>
          <w:rFonts w:hint="default" w:ascii="Times New Roman" w:hAnsi="Times New Roman" w:cs="Times New Roman"/>
          <w:color w:val="auto"/>
          <w:spacing w:val="-105"/>
        </w:rPr>
        <w:t xml:space="preserve"> </w:t>
      </w:r>
      <w:r>
        <w:rPr>
          <w:rFonts w:hint="default" w:ascii="Times New Roman" w:hAnsi="Times New Roman" w:cs="Times New Roman"/>
          <w:color w:val="auto"/>
          <w:spacing w:val="-3"/>
        </w:rPr>
        <w:t>论证更加充分可靠，工程的设计和实施更加完善，以实现社会的良性发展、经济</w:t>
      </w:r>
      <w:r>
        <w:rPr>
          <w:rFonts w:hint="default" w:ascii="Times New Roman" w:hAnsi="Times New Roman" w:cs="Times New Roman"/>
          <w:color w:val="auto"/>
          <w:spacing w:val="-105"/>
        </w:rPr>
        <w:t xml:space="preserve"> </w:t>
      </w:r>
      <w:r>
        <w:rPr>
          <w:rFonts w:hint="default" w:ascii="Times New Roman" w:hAnsi="Times New Roman" w:cs="Times New Roman"/>
          <w:color w:val="auto"/>
        </w:rPr>
        <w:t>的持续增长和环境质量的保持与改善。</w:t>
      </w:r>
    </w:p>
    <w:p>
      <w:pPr>
        <w:pStyle w:val="4"/>
        <w:numPr>
          <w:ilvl w:val="1"/>
          <w:numId w:val="0"/>
        </w:numPr>
        <w:tabs>
          <w:tab w:val="left" w:pos="105"/>
        </w:tabs>
        <w:spacing w:before="0" w:after="0"/>
        <w:textAlignment w:val="baseline"/>
        <w:rPr>
          <w:rFonts w:hint="default" w:ascii="Times New Roman" w:hAnsi="Times New Roman" w:cs="Times New Roman"/>
          <w:color w:val="auto"/>
          <w:sz w:val="24"/>
          <w:szCs w:val="24"/>
        </w:rPr>
      </w:pPr>
      <w:bookmarkStart w:id="647" w:name="_Toc366760458"/>
      <w:bookmarkStart w:id="648" w:name="_Toc295121730"/>
      <w:bookmarkStart w:id="649" w:name="_Toc476923134"/>
      <w:bookmarkStart w:id="650" w:name="_Toc476922041"/>
      <w:bookmarkStart w:id="651" w:name="_Toc329183289"/>
      <w:bookmarkStart w:id="652" w:name="_Toc485580551"/>
      <w:bookmarkStart w:id="653" w:name="_Toc6675"/>
      <w:bookmarkStart w:id="654" w:name="_Toc24353"/>
      <w:r>
        <w:rPr>
          <w:rFonts w:hint="default" w:ascii="Times New Roman" w:hAnsi="Times New Roman" w:cs="Times New Roman"/>
          <w:color w:val="auto"/>
          <w:sz w:val="24"/>
          <w:szCs w:val="24"/>
        </w:rPr>
        <w:t>8.1</w:t>
      </w:r>
      <w:bookmarkEnd w:id="647"/>
      <w:bookmarkEnd w:id="648"/>
      <w:bookmarkEnd w:id="649"/>
      <w:bookmarkEnd w:id="650"/>
      <w:bookmarkEnd w:id="651"/>
      <w:r>
        <w:rPr>
          <w:rFonts w:hint="default" w:ascii="Times New Roman" w:hAnsi="Times New Roman" w:cs="Times New Roman"/>
          <w:color w:val="auto"/>
          <w:sz w:val="24"/>
          <w:szCs w:val="24"/>
        </w:rPr>
        <w:t>环保投资估算</w:t>
      </w:r>
      <w:bookmarkEnd w:id="652"/>
      <w:bookmarkEnd w:id="653"/>
      <w:bookmarkEnd w:id="654"/>
    </w:p>
    <w:p>
      <w:pPr>
        <w:pStyle w:val="7"/>
        <w:numPr>
          <w:ilvl w:val="0"/>
          <w:numId w:val="0"/>
        </w:numPr>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工程环保投资包括运行期的污染防治措施的总投资，预计该项费用总投资为377.5万元，占总投资的比例为4.19%。具体见项目污染防治投资估算表。</w:t>
      </w:r>
    </w:p>
    <w:p>
      <w:pPr>
        <w:pStyle w:val="4"/>
        <w:numPr>
          <w:ilvl w:val="1"/>
          <w:numId w:val="0"/>
        </w:numPr>
        <w:tabs>
          <w:tab w:val="left" w:pos="105"/>
        </w:tabs>
        <w:spacing w:before="0" w:after="0"/>
        <w:textAlignment w:val="baseline"/>
        <w:rPr>
          <w:rFonts w:hint="default" w:ascii="Times New Roman" w:hAnsi="Times New Roman" w:cs="Times New Roman"/>
          <w:color w:val="auto"/>
          <w:sz w:val="24"/>
          <w:szCs w:val="24"/>
        </w:rPr>
      </w:pPr>
      <w:bookmarkStart w:id="655" w:name="_Toc438749972"/>
      <w:bookmarkStart w:id="656" w:name="_Toc413830281"/>
      <w:bookmarkStart w:id="657" w:name="_Toc18874"/>
      <w:bookmarkStart w:id="658" w:name="_Toc5436"/>
      <w:bookmarkStart w:id="659" w:name="_Toc485580552"/>
      <w:r>
        <w:rPr>
          <w:rFonts w:hint="default" w:ascii="Times New Roman" w:hAnsi="Times New Roman" w:cs="Times New Roman"/>
          <w:color w:val="auto"/>
          <w:sz w:val="24"/>
          <w:szCs w:val="24"/>
        </w:rPr>
        <w:t>8.2 环境影响经济损益分析</w:t>
      </w:r>
      <w:bookmarkEnd w:id="655"/>
      <w:bookmarkEnd w:id="656"/>
      <w:bookmarkEnd w:id="657"/>
      <w:bookmarkEnd w:id="658"/>
      <w:bookmarkEnd w:id="659"/>
    </w:p>
    <w:p>
      <w:pPr>
        <w:keepNext/>
        <w:keepLines/>
        <w:ind w:firstLine="480"/>
        <w:outlineLvl w:val="2"/>
        <w:rPr>
          <w:rFonts w:hint="default" w:ascii="Times New Roman" w:hAnsi="Times New Roman" w:eastAsia="黑体" w:cs="Times New Roman"/>
          <w:bCs/>
          <w:color w:val="auto"/>
        </w:rPr>
      </w:pPr>
      <w:r>
        <w:rPr>
          <w:rFonts w:hint="default" w:ascii="Times New Roman" w:hAnsi="Times New Roman" w:eastAsia="黑体" w:cs="Times New Roman"/>
          <w:bCs/>
          <w:color w:val="auto"/>
        </w:rPr>
        <w:t>8.2.1 噪声影响经济损失</w:t>
      </w:r>
    </w:p>
    <w:p>
      <w:pPr>
        <w:pStyle w:val="7"/>
        <w:numPr>
          <w:ilvl w:val="0"/>
          <w:numId w:val="0"/>
        </w:numPr>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有关噪声影响的人群调查以及流行病学研究发现，在我国，生活在70dB（A）以上环境中居民的人均医疗费用比70dB（A）以下的同类地方高；噪声级在70dB（A）以上环境的居民有66.7%睡眠受到干扰，而睡眠受到干扰的职工会表现出生产效率有所下降。根据前面的噪声预测结果，在采取降噪措施前，本项目昼夜间噪声值均未达到70dB（A），因此本项目的建设不会引起噪声影响经济损失。</w:t>
      </w:r>
    </w:p>
    <w:p>
      <w:pPr>
        <w:keepNext/>
        <w:keepLines/>
        <w:ind w:firstLine="480"/>
        <w:outlineLvl w:val="2"/>
        <w:rPr>
          <w:rFonts w:hint="default" w:ascii="Times New Roman" w:hAnsi="Times New Roman" w:eastAsia="黑体" w:cs="Times New Roman"/>
          <w:bCs/>
          <w:color w:val="auto"/>
        </w:rPr>
      </w:pPr>
      <w:r>
        <w:rPr>
          <w:rFonts w:hint="default" w:ascii="Times New Roman" w:hAnsi="Times New Roman" w:eastAsia="黑体" w:cs="Times New Roman"/>
          <w:bCs/>
          <w:color w:val="auto"/>
        </w:rPr>
        <w:t>8.2.2 环境空气影响经济损失</w:t>
      </w:r>
    </w:p>
    <w:p>
      <w:pPr>
        <w:pStyle w:val="7"/>
        <w:numPr>
          <w:ilvl w:val="0"/>
          <w:numId w:val="0"/>
        </w:numPr>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营运期项目的环境空气影响主要表现在场区产生的恶臭气体使周围居民的空气环境质量有所下降，有可能对居民健康产生一定的影响。但是目前尚无环境空气影响经济损失的定量计算方法，环境空气影响造成的损失还难以直接用货币衡量，因此，以下将对环境空气影响损失进行定性分析。</w:t>
      </w:r>
    </w:p>
    <w:p>
      <w:pPr>
        <w:pStyle w:val="7"/>
        <w:numPr>
          <w:ilvl w:val="0"/>
          <w:numId w:val="0"/>
        </w:numPr>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恶臭的成分十分复杂，因家畜的种类、清粪方式、日粮组成、粪便和污水处理等不同而异，有机成分是硫醇类、胺类、吲哚、挥发性有机酸、酚类、醛类、酮类、醇类以及含氮杂环化合物等，无机成分主要是NH</w:t>
      </w:r>
      <w:r>
        <w:rPr>
          <w:rFonts w:hint="default" w:ascii="Times New Roman" w:hAnsi="Times New Roman" w:cs="Times New Roman"/>
          <w:bCs/>
          <w:color w:val="auto"/>
          <w:sz w:val="24"/>
          <w:szCs w:val="24"/>
          <w:vertAlign w:val="subscript"/>
        </w:rPr>
        <w:t>3</w:t>
      </w:r>
      <w:r>
        <w:rPr>
          <w:rFonts w:hint="default" w:ascii="Times New Roman" w:hAnsi="Times New Roman" w:cs="Times New Roman"/>
          <w:bCs/>
          <w:color w:val="auto"/>
          <w:sz w:val="24"/>
          <w:szCs w:val="24"/>
        </w:rPr>
        <w:t>和H</w:t>
      </w:r>
      <w:r>
        <w:rPr>
          <w:rFonts w:hint="default" w:ascii="Times New Roman" w:hAnsi="Times New Roman" w:cs="Times New Roman"/>
          <w:bCs/>
          <w:color w:val="auto"/>
          <w:sz w:val="24"/>
          <w:szCs w:val="24"/>
          <w:vertAlign w:val="subscript"/>
        </w:rPr>
        <w:t>2</w:t>
      </w:r>
      <w:r>
        <w:rPr>
          <w:rFonts w:hint="default" w:ascii="Times New Roman" w:hAnsi="Times New Roman" w:cs="Times New Roman"/>
          <w:bCs/>
          <w:color w:val="auto"/>
          <w:sz w:val="24"/>
          <w:szCs w:val="24"/>
        </w:rPr>
        <w:t>S。</w:t>
      </w:r>
    </w:p>
    <w:p>
      <w:pPr>
        <w:pStyle w:val="7"/>
        <w:numPr>
          <w:ilvl w:val="0"/>
          <w:numId w:val="0"/>
        </w:numPr>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建设后，猪舍养殖、粪污处理等过程会产生恶臭气体，通过注意场区卫生、及时冲洗、添加除臭剂等措施可最大限制的减少恶臭气体的排放，另外利用场区内绿化植物及场区外大面积的农田吸收，对周围环境的影响可降至最低，且本项目周围500m范围内无环境敏感点，因此，项目营运期间产生的恶臭对周围环境影响不大。</w:t>
      </w:r>
    </w:p>
    <w:p>
      <w:pPr>
        <w:keepNext/>
        <w:keepLines/>
        <w:ind w:firstLine="480"/>
        <w:outlineLvl w:val="2"/>
        <w:rPr>
          <w:rFonts w:hint="default" w:ascii="Times New Roman" w:hAnsi="Times New Roman" w:eastAsia="黑体" w:cs="Times New Roman"/>
          <w:bCs/>
          <w:color w:val="auto"/>
        </w:rPr>
      </w:pPr>
      <w:r>
        <w:rPr>
          <w:rFonts w:hint="default" w:ascii="Times New Roman" w:hAnsi="Times New Roman" w:eastAsia="黑体" w:cs="Times New Roman"/>
          <w:bCs/>
          <w:color w:val="auto"/>
        </w:rPr>
        <w:t>8.2.3 水环境影响经济损失</w:t>
      </w:r>
    </w:p>
    <w:p>
      <w:pPr>
        <w:pStyle w:val="7"/>
        <w:numPr>
          <w:ilvl w:val="0"/>
          <w:numId w:val="0"/>
        </w:numPr>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营运期本项目产生的污水主要是养殖废水和居民生活污水，全部通过管道输入污水处理站统一处理，之后作为农肥灌溉周边农田，不外排，因此对环境的影响非常有限。在此，不再估算水污染造成的经济损失。</w:t>
      </w:r>
    </w:p>
    <w:p>
      <w:pPr>
        <w:keepNext/>
        <w:keepLines/>
        <w:ind w:firstLine="480"/>
        <w:outlineLvl w:val="2"/>
        <w:rPr>
          <w:rFonts w:hint="default" w:ascii="Times New Roman" w:hAnsi="Times New Roman" w:eastAsia="黑体" w:cs="Times New Roman"/>
          <w:bCs/>
          <w:color w:val="auto"/>
        </w:rPr>
      </w:pPr>
      <w:r>
        <w:rPr>
          <w:rFonts w:hint="default" w:ascii="Times New Roman" w:hAnsi="Times New Roman" w:eastAsia="黑体" w:cs="Times New Roman"/>
          <w:bCs/>
          <w:color w:val="auto"/>
        </w:rPr>
        <w:t>8.2.4 生态环境影响经济损失</w:t>
      </w:r>
    </w:p>
    <w:p>
      <w:pPr>
        <w:pStyle w:val="7"/>
        <w:numPr>
          <w:ilvl w:val="0"/>
          <w:numId w:val="0"/>
        </w:numPr>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本项目的建设将破坏现有农田生态系统，铲除场区现有植被，使得现有植被的经济能力消失，但是项目建成后，新的系统会产生更好的经济效益，对原有生态环境的经济损失做出补偿。</w:t>
      </w:r>
    </w:p>
    <w:p>
      <w:pPr>
        <w:pStyle w:val="4"/>
        <w:numPr>
          <w:ilvl w:val="1"/>
          <w:numId w:val="0"/>
        </w:numPr>
        <w:tabs>
          <w:tab w:val="left" w:pos="105"/>
        </w:tabs>
        <w:spacing w:before="0" w:after="0"/>
        <w:textAlignment w:val="baseline"/>
        <w:rPr>
          <w:rFonts w:hint="default" w:ascii="Times New Roman" w:hAnsi="Times New Roman" w:cs="Times New Roman"/>
          <w:color w:val="auto"/>
          <w:sz w:val="24"/>
          <w:szCs w:val="24"/>
        </w:rPr>
      </w:pPr>
      <w:bookmarkStart w:id="660" w:name="_Toc485580553"/>
      <w:bookmarkStart w:id="661" w:name="_Toc329183290"/>
      <w:bookmarkStart w:id="662" w:name="_Toc476922042"/>
      <w:bookmarkStart w:id="663" w:name="_Toc366760459"/>
      <w:bookmarkStart w:id="664" w:name="_Toc17525"/>
      <w:bookmarkStart w:id="665" w:name="_Toc476923135"/>
      <w:bookmarkStart w:id="666" w:name="_Toc295121731"/>
      <w:bookmarkStart w:id="667" w:name="_Toc30166"/>
      <w:r>
        <w:rPr>
          <w:rFonts w:hint="default" w:ascii="Times New Roman" w:hAnsi="Times New Roman" w:cs="Times New Roman"/>
          <w:color w:val="auto"/>
          <w:sz w:val="24"/>
          <w:szCs w:val="24"/>
        </w:rPr>
        <w:t>8.3 项目经济效益</w:t>
      </w:r>
      <w:bookmarkEnd w:id="644"/>
      <w:bookmarkEnd w:id="645"/>
      <w:bookmarkEnd w:id="646"/>
      <w:r>
        <w:rPr>
          <w:rFonts w:hint="default" w:ascii="Times New Roman" w:hAnsi="Times New Roman" w:cs="Times New Roman"/>
          <w:color w:val="auto"/>
          <w:sz w:val="24"/>
          <w:szCs w:val="24"/>
        </w:rPr>
        <w:t>分析</w:t>
      </w:r>
      <w:bookmarkEnd w:id="660"/>
      <w:bookmarkEnd w:id="661"/>
      <w:bookmarkEnd w:id="662"/>
      <w:bookmarkEnd w:id="663"/>
      <w:bookmarkEnd w:id="664"/>
      <w:bookmarkEnd w:id="665"/>
      <w:bookmarkEnd w:id="666"/>
      <w:bookmarkEnd w:id="667"/>
    </w:p>
    <w:p>
      <w:pPr>
        <w:keepNext/>
        <w:keepLines/>
        <w:ind w:firstLine="480"/>
        <w:outlineLvl w:val="2"/>
        <w:rPr>
          <w:rFonts w:hint="default" w:ascii="Times New Roman" w:hAnsi="Times New Roman" w:eastAsia="黑体" w:cs="Times New Roman"/>
          <w:bCs/>
          <w:color w:val="auto"/>
        </w:rPr>
      </w:pPr>
      <w:r>
        <w:rPr>
          <w:rFonts w:hint="default" w:ascii="Times New Roman" w:hAnsi="Times New Roman" w:eastAsia="黑体" w:cs="Times New Roman"/>
          <w:bCs/>
          <w:color w:val="auto"/>
        </w:rPr>
        <w:t>8.3.1本项目经济技术指标</w:t>
      </w:r>
    </w:p>
    <w:p>
      <w:pPr>
        <w:pStyle w:val="11"/>
        <w:spacing w:after="0"/>
        <w:ind w:firstLine="480"/>
        <w:jc w:val="left"/>
        <w:rPr>
          <w:rFonts w:hint="default" w:ascii="Times New Roman" w:hAnsi="Times New Roman" w:cs="Times New Roman"/>
          <w:color w:val="auto"/>
        </w:rPr>
      </w:pPr>
      <w:r>
        <w:rPr>
          <w:rFonts w:hint="default" w:ascii="Times New Roman" w:hAnsi="Times New Roman" w:cs="Times New Roman"/>
          <w:color w:val="auto"/>
        </w:rPr>
        <w:t>本项目为母猪项目，总投资为9012.19万元，包括猪舍、污染治理工程及辅助生产设施等。项目主要技术经济指标表见表</w:t>
      </w:r>
      <w:r>
        <w:rPr>
          <w:rFonts w:hint="default" w:ascii="Times New Roman" w:hAnsi="Times New Roman" w:cs="Times New Roman"/>
          <w:color w:val="auto"/>
          <w:spacing w:val="-61"/>
        </w:rPr>
        <w:t xml:space="preserve"> </w:t>
      </w:r>
      <w:r>
        <w:rPr>
          <w:rFonts w:hint="default" w:ascii="Times New Roman" w:hAnsi="Times New Roman" w:eastAsia="Times New Roman" w:cs="Times New Roman"/>
          <w:color w:val="auto"/>
        </w:rPr>
        <w:t>8.3-1</w:t>
      </w:r>
      <w:r>
        <w:rPr>
          <w:rFonts w:hint="default" w:ascii="Times New Roman" w:hAnsi="Times New Roman" w:cs="Times New Roman"/>
          <w:color w:val="auto"/>
        </w:rPr>
        <w:t>。</w:t>
      </w:r>
    </w:p>
    <w:p>
      <w:pPr>
        <w:ind w:firstLine="422"/>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表8.3-1</w:t>
      </w:r>
      <w:r>
        <w:rPr>
          <w:rFonts w:hint="default" w:ascii="Times New Roman" w:hAnsi="Times New Roman" w:cs="Times New Roman"/>
          <w:b/>
          <w:color w:val="auto"/>
          <w:sz w:val="21"/>
          <w:szCs w:val="21"/>
        </w:rPr>
        <w:tab/>
      </w:r>
      <w:r>
        <w:rPr>
          <w:rFonts w:hint="default" w:ascii="Times New Roman" w:hAnsi="Times New Roman" w:cs="Times New Roman"/>
          <w:b/>
          <w:color w:val="auto"/>
          <w:sz w:val="21"/>
          <w:szCs w:val="21"/>
        </w:rPr>
        <w:tab/>
      </w:r>
      <w:r>
        <w:rPr>
          <w:rFonts w:hint="default" w:ascii="Times New Roman" w:hAnsi="Times New Roman" w:cs="Times New Roman"/>
          <w:b/>
          <w:color w:val="auto"/>
          <w:sz w:val="21"/>
          <w:szCs w:val="21"/>
        </w:rPr>
        <w:tab/>
      </w:r>
      <w:r>
        <w:rPr>
          <w:rFonts w:hint="default" w:ascii="Times New Roman" w:hAnsi="Times New Roman" w:cs="Times New Roman"/>
          <w:b/>
          <w:color w:val="auto"/>
          <w:sz w:val="21"/>
          <w:szCs w:val="21"/>
        </w:rPr>
        <w:tab/>
      </w:r>
      <w:r>
        <w:rPr>
          <w:rFonts w:hint="default" w:ascii="Times New Roman" w:hAnsi="Times New Roman" w:cs="Times New Roman"/>
          <w:b/>
          <w:color w:val="auto"/>
          <w:sz w:val="21"/>
          <w:szCs w:val="21"/>
        </w:rPr>
        <w:t xml:space="preserve">        项目综合指标表</w:t>
      </w:r>
    </w:p>
    <w:tbl>
      <w:tblPr>
        <w:tblStyle w:val="25"/>
        <w:tblW w:w="8701" w:type="dxa"/>
        <w:tblInd w:w="28" w:type="dxa"/>
        <w:tblBorders>
          <w:top w:val="single" w:color="auto" w:sz="4"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135"/>
        <w:gridCol w:w="2459"/>
        <w:gridCol w:w="2648"/>
        <w:gridCol w:w="2459"/>
      </w:tblGrid>
      <w:tr>
        <w:tblPrEx>
          <w:tblBorders>
            <w:top w:val="single" w:color="auto" w:sz="4" w:space="0"/>
            <w:left w:val="none" w:color="auto" w:sz="0" w:space="0"/>
            <w:bottom w:val="single" w:color="auto" w:sz="6" w:space="0"/>
            <w:right w:val="none" w:color="auto" w:sz="0" w:space="0"/>
            <w:insideH w:val="single" w:color="auto" w:sz="6" w:space="0"/>
            <w:insideV w:val="single" w:color="auto" w:sz="6" w:space="0"/>
          </w:tblBorders>
          <w:tblCellMar>
            <w:top w:w="0" w:type="dxa"/>
            <w:left w:w="28" w:type="dxa"/>
            <w:bottom w:w="0" w:type="dxa"/>
            <w:right w:w="28" w:type="dxa"/>
          </w:tblCellMar>
        </w:tblPrEx>
        <w:tc>
          <w:tcPr>
            <w:tcW w:w="1135" w:type="dxa"/>
            <w:tcMar>
              <w:top w:w="57" w:type="dxa"/>
              <w:bottom w:w="57" w:type="dxa"/>
            </w:tcMar>
            <w:vAlign w:val="center"/>
          </w:tcPr>
          <w:p>
            <w:pPr>
              <w:pStyle w:val="33"/>
              <w:adjustRightInd/>
              <w:spacing w:line="240" w:lineRule="auto"/>
              <w:ind w:firstLine="420"/>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序号</w:t>
            </w:r>
          </w:p>
        </w:tc>
        <w:tc>
          <w:tcPr>
            <w:tcW w:w="2459" w:type="dxa"/>
            <w:tcMar>
              <w:top w:w="57" w:type="dxa"/>
              <w:bottom w:w="57" w:type="dxa"/>
            </w:tcMar>
            <w:vAlign w:val="center"/>
          </w:tcPr>
          <w:p>
            <w:pPr>
              <w:spacing w:line="240" w:lineRule="auto"/>
              <w:ind w:firstLine="420"/>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指标名称</w:t>
            </w:r>
          </w:p>
        </w:tc>
        <w:tc>
          <w:tcPr>
            <w:tcW w:w="2648" w:type="dxa"/>
            <w:tcMar>
              <w:top w:w="57" w:type="dxa"/>
              <w:bottom w:w="57" w:type="dxa"/>
            </w:tcMar>
            <w:vAlign w:val="center"/>
          </w:tcPr>
          <w:p>
            <w:pPr>
              <w:spacing w:line="240" w:lineRule="auto"/>
              <w:ind w:firstLine="420"/>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单位</w:t>
            </w:r>
          </w:p>
        </w:tc>
        <w:tc>
          <w:tcPr>
            <w:tcW w:w="2459" w:type="dxa"/>
            <w:tcMar>
              <w:top w:w="57" w:type="dxa"/>
              <w:bottom w:w="57" w:type="dxa"/>
            </w:tcMar>
            <w:vAlign w:val="center"/>
          </w:tcPr>
          <w:p>
            <w:pPr>
              <w:spacing w:line="240" w:lineRule="auto"/>
              <w:ind w:firstLine="420"/>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标准数值</w:t>
            </w:r>
          </w:p>
        </w:tc>
      </w:tr>
      <w:tr>
        <w:tblPrEx>
          <w:tblBorders>
            <w:top w:val="single" w:color="auto" w:sz="4" w:space="0"/>
            <w:left w:val="none" w:color="auto" w:sz="0" w:space="0"/>
            <w:bottom w:val="single" w:color="auto" w:sz="6" w:space="0"/>
            <w:right w:val="none" w:color="auto" w:sz="0" w:space="0"/>
            <w:insideH w:val="single" w:color="auto" w:sz="6" w:space="0"/>
            <w:insideV w:val="single" w:color="auto" w:sz="6" w:space="0"/>
          </w:tblBorders>
          <w:tblCellMar>
            <w:top w:w="0" w:type="dxa"/>
            <w:left w:w="28" w:type="dxa"/>
            <w:bottom w:w="0" w:type="dxa"/>
            <w:right w:w="28" w:type="dxa"/>
          </w:tblCellMar>
        </w:tblPrEx>
        <w:tc>
          <w:tcPr>
            <w:tcW w:w="1135" w:type="dxa"/>
            <w:tcMar>
              <w:top w:w="57" w:type="dxa"/>
              <w:bottom w:w="57" w:type="dxa"/>
            </w:tcMar>
            <w:vAlign w:val="center"/>
          </w:tcPr>
          <w:p>
            <w:pPr>
              <w:pStyle w:val="33"/>
              <w:adjustRightInd/>
              <w:spacing w:line="240" w:lineRule="auto"/>
              <w:ind w:firstLine="420"/>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1</w:t>
            </w:r>
          </w:p>
        </w:tc>
        <w:tc>
          <w:tcPr>
            <w:tcW w:w="2459" w:type="dxa"/>
            <w:tcMar>
              <w:top w:w="57" w:type="dxa"/>
              <w:bottom w:w="57" w:type="dxa"/>
            </w:tcMar>
            <w:vAlign w:val="center"/>
          </w:tcPr>
          <w:p>
            <w:pPr>
              <w:spacing w:line="240" w:lineRule="auto"/>
              <w:ind w:firstLine="420"/>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项目总投资</w:t>
            </w:r>
          </w:p>
        </w:tc>
        <w:tc>
          <w:tcPr>
            <w:tcW w:w="2648" w:type="dxa"/>
            <w:tcMar>
              <w:top w:w="57" w:type="dxa"/>
              <w:bottom w:w="57" w:type="dxa"/>
            </w:tcMar>
            <w:vAlign w:val="center"/>
          </w:tcPr>
          <w:p>
            <w:pPr>
              <w:spacing w:line="240" w:lineRule="auto"/>
              <w:ind w:firstLine="420"/>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万元</w:t>
            </w:r>
          </w:p>
        </w:tc>
        <w:tc>
          <w:tcPr>
            <w:tcW w:w="2459" w:type="dxa"/>
            <w:tcMar>
              <w:top w:w="57" w:type="dxa"/>
              <w:bottom w:w="57" w:type="dxa"/>
            </w:tcMar>
            <w:vAlign w:val="center"/>
          </w:tcPr>
          <w:p>
            <w:pPr>
              <w:spacing w:line="240" w:lineRule="auto"/>
              <w:ind w:firstLine="420"/>
              <w:jc w:val="center"/>
              <w:rPr>
                <w:rFonts w:hint="default" w:ascii="Times New Roman" w:hAnsi="Times New Roman" w:cs="Times New Roman"/>
                <w:color w:val="auto"/>
                <w:position w:val="-6"/>
                <w:sz w:val="21"/>
                <w:szCs w:val="21"/>
              </w:rPr>
            </w:pPr>
            <w:r>
              <w:rPr>
                <w:rFonts w:hint="default" w:ascii="Times New Roman" w:hAnsi="Times New Roman" w:cs="Times New Roman"/>
                <w:iCs/>
                <w:color w:val="auto"/>
                <w:sz w:val="21"/>
                <w:szCs w:val="21"/>
              </w:rPr>
              <w:t>9012.19</w:t>
            </w:r>
          </w:p>
        </w:tc>
      </w:tr>
      <w:tr>
        <w:tblPrEx>
          <w:tblBorders>
            <w:top w:val="single" w:color="auto" w:sz="4" w:space="0"/>
            <w:left w:val="none" w:color="auto" w:sz="0" w:space="0"/>
            <w:bottom w:val="single" w:color="auto" w:sz="6" w:space="0"/>
            <w:right w:val="none" w:color="auto" w:sz="0" w:space="0"/>
            <w:insideH w:val="single" w:color="auto" w:sz="6" w:space="0"/>
            <w:insideV w:val="single" w:color="auto" w:sz="6" w:space="0"/>
          </w:tblBorders>
          <w:tblCellMar>
            <w:top w:w="0" w:type="dxa"/>
            <w:left w:w="28" w:type="dxa"/>
            <w:bottom w:w="0" w:type="dxa"/>
            <w:right w:w="28" w:type="dxa"/>
          </w:tblCellMar>
        </w:tblPrEx>
        <w:tc>
          <w:tcPr>
            <w:tcW w:w="1135" w:type="dxa"/>
            <w:tcMar>
              <w:top w:w="57" w:type="dxa"/>
              <w:bottom w:w="57" w:type="dxa"/>
            </w:tcMar>
            <w:vAlign w:val="center"/>
          </w:tcPr>
          <w:p>
            <w:pPr>
              <w:spacing w:line="240" w:lineRule="auto"/>
              <w:ind w:firstLine="420"/>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2</w:t>
            </w:r>
          </w:p>
        </w:tc>
        <w:tc>
          <w:tcPr>
            <w:tcW w:w="2459" w:type="dxa"/>
            <w:tcMar>
              <w:top w:w="57" w:type="dxa"/>
              <w:bottom w:w="57" w:type="dxa"/>
            </w:tcMar>
            <w:vAlign w:val="center"/>
          </w:tcPr>
          <w:p>
            <w:pPr>
              <w:spacing w:line="240" w:lineRule="auto"/>
              <w:ind w:firstLine="420"/>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年均税后利润</w:t>
            </w:r>
          </w:p>
        </w:tc>
        <w:tc>
          <w:tcPr>
            <w:tcW w:w="2648" w:type="dxa"/>
            <w:tcMar>
              <w:top w:w="57" w:type="dxa"/>
              <w:bottom w:w="57" w:type="dxa"/>
            </w:tcMar>
            <w:vAlign w:val="center"/>
          </w:tcPr>
          <w:p>
            <w:pPr>
              <w:spacing w:line="240" w:lineRule="auto"/>
              <w:ind w:firstLine="420"/>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万元</w:t>
            </w:r>
          </w:p>
        </w:tc>
        <w:tc>
          <w:tcPr>
            <w:tcW w:w="2459" w:type="dxa"/>
            <w:tcMar>
              <w:top w:w="57" w:type="dxa"/>
              <w:bottom w:w="57" w:type="dxa"/>
            </w:tcMar>
            <w:vAlign w:val="center"/>
          </w:tcPr>
          <w:p>
            <w:pPr>
              <w:spacing w:line="240" w:lineRule="auto"/>
              <w:ind w:firstLine="420"/>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2878.54</w:t>
            </w:r>
          </w:p>
        </w:tc>
      </w:tr>
      <w:tr>
        <w:tblPrEx>
          <w:tblBorders>
            <w:top w:val="single" w:color="auto" w:sz="4" w:space="0"/>
            <w:left w:val="none" w:color="auto" w:sz="0" w:space="0"/>
            <w:bottom w:val="single" w:color="auto" w:sz="6" w:space="0"/>
            <w:right w:val="none" w:color="auto" w:sz="0" w:space="0"/>
            <w:insideH w:val="single" w:color="auto" w:sz="6" w:space="0"/>
            <w:insideV w:val="single" w:color="auto" w:sz="6" w:space="0"/>
          </w:tblBorders>
          <w:tblCellMar>
            <w:top w:w="0" w:type="dxa"/>
            <w:left w:w="28" w:type="dxa"/>
            <w:bottom w:w="0" w:type="dxa"/>
            <w:right w:w="28" w:type="dxa"/>
          </w:tblCellMar>
        </w:tblPrEx>
        <w:tc>
          <w:tcPr>
            <w:tcW w:w="1135" w:type="dxa"/>
            <w:tcMar>
              <w:top w:w="57" w:type="dxa"/>
              <w:bottom w:w="57" w:type="dxa"/>
            </w:tcMar>
            <w:vAlign w:val="center"/>
          </w:tcPr>
          <w:p>
            <w:pPr>
              <w:spacing w:line="240" w:lineRule="auto"/>
              <w:ind w:firstLine="420"/>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3</w:t>
            </w:r>
          </w:p>
        </w:tc>
        <w:tc>
          <w:tcPr>
            <w:tcW w:w="2459" w:type="dxa"/>
            <w:tcMar>
              <w:top w:w="57" w:type="dxa"/>
              <w:bottom w:w="57" w:type="dxa"/>
            </w:tcMar>
            <w:vAlign w:val="center"/>
          </w:tcPr>
          <w:p>
            <w:pPr>
              <w:spacing w:line="240" w:lineRule="auto"/>
              <w:ind w:firstLine="420"/>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投资回收期</w:t>
            </w:r>
          </w:p>
        </w:tc>
        <w:tc>
          <w:tcPr>
            <w:tcW w:w="2648" w:type="dxa"/>
            <w:tcMar>
              <w:top w:w="57" w:type="dxa"/>
              <w:bottom w:w="57" w:type="dxa"/>
            </w:tcMar>
            <w:vAlign w:val="center"/>
          </w:tcPr>
          <w:p>
            <w:pPr>
              <w:spacing w:line="240" w:lineRule="auto"/>
              <w:ind w:firstLine="420"/>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年</w:t>
            </w:r>
          </w:p>
        </w:tc>
        <w:tc>
          <w:tcPr>
            <w:tcW w:w="2459" w:type="dxa"/>
            <w:tcMar>
              <w:top w:w="57" w:type="dxa"/>
              <w:bottom w:w="57" w:type="dxa"/>
            </w:tcMar>
            <w:vAlign w:val="center"/>
          </w:tcPr>
          <w:p>
            <w:pPr>
              <w:spacing w:line="240" w:lineRule="auto"/>
              <w:ind w:firstLine="420"/>
              <w:jc w:val="center"/>
              <w:rPr>
                <w:rFonts w:hint="default" w:ascii="Times New Roman" w:hAnsi="Times New Roman" w:cs="Times New Roman"/>
                <w:color w:val="auto"/>
                <w:position w:val="-6"/>
                <w:sz w:val="21"/>
                <w:szCs w:val="21"/>
              </w:rPr>
            </w:pPr>
            <w:r>
              <w:rPr>
                <w:rFonts w:hint="default" w:ascii="Times New Roman" w:hAnsi="Times New Roman" w:cs="Times New Roman"/>
                <w:color w:val="auto"/>
                <w:position w:val="-6"/>
                <w:sz w:val="21"/>
                <w:szCs w:val="21"/>
              </w:rPr>
              <w:t>4.53（含建设期2年）</w:t>
            </w:r>
          </w:p>
        </w:tc>
      </w:tr>
    </w:tbl>
    <w:p>
      <w:pPr>
        <w:keepNext/>
        <w:keepLines/>
        <w:ind w:firstLine="480"/>
        <w:outlineLvl w:val="2"/>
        <w:rPr>
          <w:rFonts w:hint="default" w:ascii="Times New Roman" w:hAnsi="Times New Roman" w:eastAsia="黑体" w:cs="Times New Roman"/>
          <w:bCs/>
          <w:color w:val="auto"/>
        </w:rPr>
      </w:pPr>
      <w:r>
        <w:rPr>
          <w:rFonts w:hint="default" w:ascii="Times New Roman" w:hAnsi="Times New Roman" w:eastAsia="黑体" w:cs="Times New Roman"/>
          <w:bCs/>
          <w:color w:val="auto"/>
        </w:rPr>
        <w:t>8.3.2环保措施运行费用</w:t>
      </w:r>
    </w:p>
    <w:p>
      <w:pPr>
        <w:ind w:firstLine="480"/>
        <w:rPr>
          <w:rFonts w:hint="default" w:ascii="Times New Roman" w:hAnsi="Times New Roman" w:cs="Times New Roman"/>
          <w:color w:val="auto"/>
        </w:rPr>
      </w:pPr>
      <w:r>
        <w:rPr>
          <w:rFonts w:hint="default" w:ascii="Times New Roman" w:hAnsi="Times New Roman" w:cs="Times New Roman"/>
          <w:color w:val="auto"/>
        </w:rPr>
        <w:t>环保设施运行费用主要包括：电费，环保人员工资及设备折旧、维护费用。</w:t>
      </w:r>
    </w:p>
    <w:p>
      <w:pPr>
        <w:spacing w:afterLines="30" w:line="500" w:lineRule="exact"/>
        <w:ind w:firstLine="422"/>
        <w:jc w:val="left"/>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表8.3-2                    本项目环保措施运行费用</w:t>
      </w:r>
    </w:p>
    <w:tbl>
      <w:tblPr>
        <w:tblStyle w:val="25"/>
        <w:tblW w:w="8528" w:type="dxa"/>
        <w:tblInd w:w="106" w:type="dxa"/>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2637"/>
        <w:gridCol w:w="3336"/>
        <w:gridCol w:w="2555"/>
      </w:tblGrid>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3" w:hRule="exact"/>
        </w:trPr>
        <w:tc>
          <w:tcPr>
            <w:tcW w:w="2637" w:type="dxa"/>
            <w:tcBorders>
              <w:tl2br w:val="nil"/>
              <w:tr2bl w:val="nil"/>
            </w:tcBorders>
            <w:vAlign w:val="center"/>
          </w:tcPr>
          <w:p>
            <w:pPr>
              <w:pStyle w:val="40"/>
              <w:adjustRightInd/>
              <w:snapToGrid/>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3336" w:type="dxa"/>
            <w:tcBorders>
              <w:tl2br w:val="nil"/>
              <w:tr2bl w:val="nil"/>
            </w:tcBorders>
            <w:vAlign w:val="center"/>
          </w:tcPr>
          <w:p>
            <w:pPr>
              <w:pStyle w:val="40"/>
              <w:adjustRightInd/>
              <w:snapToGrid/>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费用名称</w:t>
            </w:r>
          </w:p>
        </w:tc>
        <w:tc>
          <w:tcPr>
            <w:tcW w:w="2555" w:type="dxa"/>
            <w:tcBorders>
              <w:tl2br w:val="nil"/>
              <w:tr2bl w:val="nil"/>
            </w:tcBorders>
            <w:vAlign w:val="center"/>
          </w:tcPr>
          <w:p>
            <w:pPr>
              <w:pStyle w:val="40"/>
              <w:adjustRightInd/>
              <w:snapToGrid/>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费用金额（万元</w:t>
            </w:r>
            <w:r>
              <w:rPr>
                <w:rFonts w:hint="default" w:ascii="Times New Roman" w:hAnsi="Times New Roman" w:eastAsia="Times New Roman" w:cs="Times New Roman"/>
                <w:color w:val="auto"/>
                <w:sz w:val="21"/>
                <w:szCs w:val="21"/>
              </w:rPr>
              <w:t>/</w:t>
            </w:r>
            <w:r>
              <w:rPr>
                <w:rFonts w:hint="default" w:ascii="Times New Roman" w:hAnsi="Times New Roman" w:cs="Times New Roman"/>
                <w:color w:val="auto"/>
                <w:sz w:val="21"/>
                <w:szCs w:val="21"/>
              </w:rPr>
              <w:t>年）</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6" w:hRule="exact"/>
        </w:trPr>
        <w:tc>
          <w:tcPr>
            <w:tcW w:w="2637" w:type="dxa"/>
            <w:vMerge w:val="restart"/>
            <w:tcBorders>
              <w:tl2br w:val="nil"/>
              <w:tr2bl w:val="nil"/>
            </w:tcBorders>
            <w:vAlign w:val="center"/>
          </w:tcPr>
          <w:p>
            <w:pPr>
              <w:pStyle w:val="40"/>
              <w:adjustRightInd/>
              <w:snapToGrid/>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黑膜沼气污水处理系统</w:t>
            </w:r>
          </w:p>
        </w:tc>
        <w:tc>
          <w:tcPr>
            <w:tcW w:w="3336" w:type="dxa"/>
            <w:tcBorders>
              <w:tl2br w:val="nil"/>
              <w:tr2bl w:val="nil"/>
            </w:tcBorders>
            <w:vAlign w:val="center"/>
          </w:tcPr>
          <w:p>
            <w:pPr>
              <w:pStyle w:val="40"/>
              <w:adjustRightInd/>
              <w:snapToGrid/>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电费</w:t>
            </w:r>
          </w:p>
        </w:tc>
        <w:tc>
          <w:tcPr>
            <w:tcW w:w="2555" w:type="dxa"/>
            <w:tcBorders>
              <w:tl2br w:val="nil"/>
              <w:tr2bl w:val="nil"/>
            </w:tcBorders>
            <w:vAlign w:val="center"/>
          </w:tcPr>
          <w:p>
            <w:pPr>
              <w:pStyle w:val="40"/>
              <w:adjustRightInd/>
              <w:snapToGrid/>
              <w:spacing w:line="240" w:lineRule="auto"/>
              <w:ind w:firstLine="413"/>
              <w:jc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w w:val="99"/>
                <w:sz w:val="21"/>
              </w:rPr>
              <w:t>4</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6" w:hRule="exact"/>
        </w:trPr>
        <w:tc>
          <w:tcPr>
            <w:tcW w:w="2637" w:type="dxa"/>
            <w:vMerge w:val="continue"/>
            <w:tcBorders>
              <w:tl2br w:val="nil"/>
              <w:tr2bl w:val="nil"/>
            </w:tcBorders>
            <w:vAlign w:val="center"/>
          </w:tcPr>
          <w:p>
            <w:pPr>
              <w:adjustRightInd/>
              <w:snapToGrid/>
              <w:spacing w:line="240" w:lineRule="auto"/>
              <w:ind w:firstLine="480"/>
              <w:jc w:val="center"/>
              <w:rPr>
                <w:rFonts w:hint="default" w:ascii="Times New Roman" w:hAnsi="Times New Roman" w:cs="Times New Roman"/>
                <w:color w:val="auto"/>
              </w:rPr>
            </w:pPr>
          </w:p>
        </w:tc>
        <w:tc>
          <w:tcPr>
            <w:tcW w:w="3336" w:type="dxa"/>
            <w:tcBorders>
              <w:tl2br w:val="nil"/>
              <w:tr2bl w:val="nil"/>
            </w:tcBorders>
            <w:vAlign w:val="center"/>
          </w:tcPr>
          <w:p>
            <w:pPr>
              <w:pStyle w:val="40"/>
              <w:adjustRightInd/>
              <w:snapToGrid/>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人工费</w:t>
            </w:r>
          </w:p>
        </w:tc>
        <w:tc>
          <w:tcPr>
            <w:tcW w:w="2555" w:type="dxa"/>
            <w:tcBorders>
              <w:tl2br w:val="nil"/>
              <w:tr2bl w:val="nil"/>
            </w:tcBorders>
            <w:vAlign w:val="center"/>
          </w:tcPr>
          <w:p>
            <w:pPr>
              <w:pStyle w:val="40"/>
              <w:adjustRightInd/>
              <w:snapToGrid/>
              <w:spacing w:line="240" w:lineRule="auto"/>
              <w:ind w:firstLine="413"/>
              <w:jc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w w:val="99"/>
                <w:sz w:val="21"/>
              </w:rPr>
              <w:t>6</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6" w:hRule="exact"/>
        </w:trPr>
        <w:tc>
          <w:tcPr>
            <w:tcW w:w="2637" w:type="dxa"/>
            <w:vMerge w:val="continue"/>
            <w:tcBorders>
              <w:tl2br w:val="nil"/>
              <w:tr2bl w:val="nil"/>
            </w:tcBorders>
            <w:vAlign w:val="center"/>
          </w:tcPr>
          <w:p>
            <w:pPr>
              <w:adjustRightInd/>
              <w:snapToGrid/>
              <w:spacing w:line="240" w:lineRule="auto"/>
              <w:ind w:firstLine="480"/>
              <w:jc w:val="center"/>
              <w:rPr>
                <w:rFonts w:hint="default" w:ascii="Times New Roman" w:hAnsi="Times New Roman" w:cs="Times New Roman"/>
                <w:color w:val="auto"/>
              </w:rPr>
            </w:pPr>
          </w:p>
        </w:tc>
        <w:tc>
          <w:tcPr>
            <w:tcW w:w="3336" w:type="dxa"/>
            <w:tcBorders>
              <w:tl2br w:val="nil"/>
              <w:tr2bl w:val="nil"/>
            </w:tcBorders>
            <w:vAlign w:val="center"/>
          </w:tcPr>
          <w:p>
            <w:pPr>
              <w:pStyle w:val="40"/>
              <w:adjustRightInd/>
              <w:snapToGrid/>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设备折旧及维修费用</w:t>
            </w:r>
          </w:p>
        </w:tc>
        <w:tc>
          <w:tcPr>
            <w:tcW w:w="2555" w:type="dxa"/>
            <w:tcBorders>
              <w:tl2br w:val="nil"/>
              <w:tr2bl w:val="nil"/>
            </w:tcBorders>
            <w:vAlign w:val="center"/>
          </w:tcPr>
          <w:p>
            <w:pPr>
              <w:pStyle w:val="40"/>
              <w:adjustRightInd/>
              <w:snapToGrid/>
              <w:spacing w:line="240" w:lineRule="auto"/>
              <w:ind w:firstLine="413"/>
              <w:jc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w w:val="99"/>
                <w:sz w:val="21"/>
              </w:rPr>
              <w:t>6</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6" w:hRule="exact"/>
        </w:trPr>
        <w:tc>
          <w:tcPr>
            <w:tcW w:w="2637" w:type="dxa"/>
            <w:vMerge w:val="restart"/>
            <w:tcBorders>
              <w:tl2br w:val="nil"/>
              <w:tr2bl w:val="nil"/>
            </w:tcBorders>
            <w:vAlign w:val="center"/>
          </w:tcPr>
          <w:p>
            <w:pPr>
              <w:pStyle w:val="40"/>
              <w:adjustRightInd/>
              <w:snapToGrid/>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病死猪高温处理机环保措施</w:t>
            </w:r>
          </w:p>
        </w:tc>
        <w:tc>
          <w:tcPr>
            <w:tcW w:w="3336" w:type="dxa"/>
            <w:tcBorders>
              <w:tl2br w:val="nil"/>
              <w:tr2bl w:val="nil"/>
            </w:tcBorders>
            <w:vAlign w:val="center"/>
          </w:tcPr>
          <w:p>
            <w:pPr>
              <w:pStyle w:val="40"/>
              <w:adjustRightInd/>
              <w:snapToGrid/>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电费</w:t>
            </w:r>
          </w:p>
        </w:tc>
        <w:tc>
          <w:tcPr>
            <w:tcW w:w="2555" w:type="dxa"/>
            <w:tcBorders>
              <w:tl2br w:val="nil"/>
              <w:tr2bl w:val="nil"/>
            </w:tcBorders>
            <w:vAlign w:val="center"/>
          </w:tcPr>
          <w:p>
            <w:pPr>
              <w:pStyle w:val="40"/>
              <w:adjustRightInd/>
              <w:snapToGrid/>
              <w:spacing w:line="240" w:lineRule="auto"/>
              <w:ind w:firstLine="413"/>
              <w:jc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w w:val="99"/>
                <w:sz w:val="21"/>
              </w:rPr>
              <w:t>1</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6" w:hRule="exact"/>
        </w:trPr>
        <w:tc>
          <w:tcPr>
            <w:tcW w:w="2637" w:type="dxa"/>
            <w:vMerge w:val="continue"/>
            <w:tcBorders>
              <w:tl2br w:val="nil"/>
              <w:tr2bl w:val="nil"/>
            </w:tcBorders>
            <w:vAlign w:val="center"/>
          </w:tcPr>
          <w:p>
            <w:pPr>
              <w:adjustRightInd/>
              <w:snapToGrid/>
              <w:spacing w:line="240" w:lineRule="auto"/>
              <w:ind w:firstLine="480"/>
              <w:jc w:val="center"/>
              <w:rPr>
                <w:rFonts w:hint="default" w:ascii="Times New Roman" w:hAnsi="Times New Roman" w:cs="Times New Roman"/>
                <w:color w:val="auto"/>
              </w:rPr>
            </w:pPr>
          </w:p>
        </w:tc>
        <w:tc>
          <w:tcPr>
            <w:tcW w:w="3336" w:type="dxa"/>
            <w:tcBorders>
              <w:tl2br w:val="nil"/>
              <w:tr2bl w:val="nil"/>
            </w:tcBorders>
            <w:vAlign w:val="center"/>
          </w:tcPr>
          <w:p>
            <w:pPr>
              <w:pStyle w:val="40"/>
              <w:adjustRightInd/>
              <w:snapToGrid/>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设备折旧及维修费用</w:t>
            </w:r>
          </w:p>
        </w:tc>
        <w:tc>
          <w:tcPr>
            <w:tcW w:w="2555" w:type="dxa"/>
            <w:tcBorders>
              <w:tl2br w:val="nil"/>
              <w:tr2bl w:val="nil"/>
            </w:tcBorders>
            <w:vAlign w:val="center"/>
          </w:tcPr>
          <w:p>
            <w:pPr>
              <w:pStyle w:val="40"/>
              <w:adjustRightInd/>
              <w:snapToGrid/>
              <w:spacing w:line="240" w:lineRule="auto"/>
              <w:ind w:firstLine="413"/>
              <w:jc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w w:val="99"/>
                <w:sz w:val="21"/>
              </w:rPr>
              <w:t>1</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48" w:hRule="exact"/>
        </w:trPr>
        <w:tc>
          <w:tcPr>
            <w:tcW w:w="5973" w:type="dxa"/>
            <w:gridSpan w:val="2"/>
            <w:tcBorders>
              <w:tl2br w:val="nil"/>
              <w:tr2bl w:val="nil"/>
            </w:tcBorders>
            <w:vAlign w:val="center"/>
          </w:tcPr>
          <w:p>
            <w:pPr>
              <w:pStyle w:val="40"/>
              <w:tabs>
                <w:tab w:val="left" w:pos="424"/>
              </w:tabs>
              <w:adjustRightInd/>
              <w:snapToGrid/>
              <w:spacing w:line="240" w:lineRule="auto"/>
              <w:ind w:firstLine="397"/>
              <w:jc w:val="center"/>
              <w:rPr>
                <w:rFonts w:hint="default" w:ascii="Times New Roman" w:hAnsi="Times New Roman" w:cs="Times New Roman"/>
                <w:color w:val="auto"/>
                <w:sz w:val="21"/>
                <w:szCs w:val="21"/>
              </w:rPr>
            </w:pPr>
            <w:r>
              <w:rPr>
                <w:rFonts w:hint="default" w:ascii="Times New Roman" w:hAnsi="Times New Roman" w:cs="Times New Roman"/>
                <w:color w:val="auto"/>
                <w:w w:val="95"/>
                <w:sz w:val="21"/>
                <w:szCs w:val="21"/>
              </w:rPr>
              <w:t>总</w:t>
            </w:r>
            <w:r>
              <w:rPr>
                <w:rFonts w:hint="default" w:ascii="Times New Roman" w:hAnsi="Times New Roman" w:cs="Times New Roman"/>
                <w:color w:val="auto"/>
                <w:w w:val="95"/>
                <w:sz w:val="21"/>
                <w:szCs w:val="21"/>
              </w:rPr>
              <w:tab/>
            </w:r>
            <w:r>
              <w:rPr>
                <w:rFonts w:hint="default" w:ascii="Times New Roman" w:hAnsi="Times New Roman" w:cs="Times New Roman"/>
                <w:color w:val="auto"/>
                <w:sz w:val="21"/>
                <w:szCs w:val="21"/>
              </w:rPr>
              <w:t>计</w:t>
            </w:r>
          </w:p>
        </w:tc>
        <w:tc>
          <w:tcPr>
            <w:tcW w:w="2555" w:type="dxa"/>
            <w:tcBorders>
              <w:tl2br w:val="nil"/>
              <w:tr2bl w:val="nil"/>
            </w:tcBorders>
            <w:vAlign w:val="center"/>
          </w:tcPr>
          <w:p>
            <w:pPr>
              <w:pStyle w:val="40"/>
              <w:adjustRightInd/>
              <w:snapToGrid/>
              <w:spacing w:line="240" w:lineRule="auto"/>
              <w:ind w:firstLine="420"/>
              <w:jc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rPr>
              <w:t>20.5</w:t>
            </w:r>
          </w:p>
        </w:tc>
      </w:tr>
    </w:tbl>
    <w:p>
      <w:pPr>
        <w:pStyle w:val="11"/>
        <w:ind w:right="212" w:firstLine="496"/>
        <w:jc w:val="left"/>
        <w:rPr>
          <w:rFonts w:hint="default" w:ascii="Times New Roman" w:hAnsi="Times New Roman" w:cs="Times New Roman"/>
          <w:color w:val="auto"/>
        </w:rPr>
      </w:pPr>
      <w:r>
        <w:rPr>
          <w:rFonts w:hint="default" w:ascii="Times New Roman" w:hAnsi="Times New Roman" w:cs="Times New Roman"/>
          <w:color w:val="auto"/>
          <w:spacing w:val="4"/>
        </w:rPr>
        <w:t>本项目各种环保措施年运行费用</w:t>
      </w:r>
      <w:r>
        <w:rPr>
          <w:rFonts w:hint="default" w:ascii="Times New Roman" w:hAnsi="Times New Roman" w:eastAsia="Times New Roman" w:cs="Times New Roman"/>
          <w:color w:val="auto"/>
        </w:rPr>
        <w:t>20.5</w:t>
      </w:r>
      <w:r>
        <w:rPr>
          <w:rFonts w:hint="default" w:ascii="Times New Roman" w:hAnsi="Times New Roman" w:cs="Times New Roman"/>
          <w:color w:val="auto"/>
          <w:spacing w:val="4"/>
        </w:rPr>
        <w:t>万元，占年利润总额</w:t>
      </w:r>
      <w:r>
        <w:rPr>
          <w:rFonts w:hint="default" w:ascii="Times New Roman" w:hAnsi="Times New Roman" w:cs="Times New Roman"/>
          <w:color w:val="auto"/>
        </w:rPr>
        <w:t>2878.54</w:t>
      </w:r>
      <w:r>
        <w:rPr>
          <w:rFonts w:hint="default" w:ascii="Times New Roman" w:hAnsi="Times New Roman" w:cs="Times New Roman"/>
          <w:color w:val="auto"/>
          <w:spacing w:val="3"/>
        </w:rPr>
        <w:t>万元的</w:t>
      </w:r>
      <w:r>
        <w:rPr>
          <w:rFonts w:hint="default" w:ascii="Times New Roman" w:hAnsi="Times New Roman" w:eastAsia="Times New Roman" w:cs="Times New Roman"/>
          <w:color w:val="auto"/>
        </w:rPr>
        <w:t>0.</w:t>
      </w:r>
      <w:r>
        <w:rPr>
          <w:rFonts w:hint="default" w:ascii="Times New Roman" w:hAnsi="Times New Roman" w:cs="Times New Roman"/>
          <w:color w:val="auto"/>
        </w:rPr>
        <w:t>7</w:t>
      </w:r>
      <w:r>
        <w:rPr>
          <w:rFonts w:hint="default" w:ascii="Times New Roman" w:hAnsi="Times New Roman" w:eastAsia="Times New Roman" w:cs="Times New Roman"/>
          <w:color w:val="auto"/>
        </w:rPr>
        <w:t>%</w:t>
      </w:r>
      <w:r>
        <w:rPr>
          <w:rFonts w:hint="default" w:ascii="Times New Roman" w:hAnsi="Times New Roman" w:cs="Times New Roman"/>
          <w:color w:val="auto"/>
        </w:rPr>
        <w:t>，运行费用较低，经济可行。</w:t>
      </w:r>
    </w:p>
    <w:p>
      <w:pPr>
        <w:keepNext/>
        <w:keepLines/>
        <w:ind w:firstLine="480"/>
        <w:outlineLvl w:val="2"/>
        <w:rPr>
          <w:rFonts w:hint="default" w:ascii="Times New Roman" w:hAnsi="Times New Roman" w:eastAsia="黑体" w:cs="Times New Roman"/>
          <w:bCs/>
          <w:color w:val="auto"/>
        </w:rPr>
      </w:pPr>
      <w:r>
        <w:rPr>
          <w:rFonts w:hint="default" w:ascii="Times New Roman" w:hAnsi="Times New Roman" w:eastAsia="黑体" w:cs="Times New Roman"/>
          <w:bCs/>
          <w:color w:val="auto"/>
        </w:rPr>
        <w:t>8.3.3经济收益分析</w:t>
      </w:r>
    </w:p>
    <w:p>
      <w:pPr>
        <w:ind w:firstLine="480"/>
        <w:rPr>
          <w:rFonts w:hint="default" w:ascii="Times New Roman" w:hAnsi="Times New Roman" w:cs="Times New Roman"/>
          <w:color w:val="auto"/>
        </w:rPr>
      </w:pPr>
      <w:r>
        <w:rPr>
          <w:rFonts w:hint="default" w:ascii="Times New Roman" w:hAnsi="Times New Roman" w:cs="Times New Roman"/>
          <w:color w:val="auto"/>
        </w:rPr>
        <w:t>经济收益主要为项目固废猪粪制作的有机肥带来的收益。本项目经济收益估算见表8.3-3。</w:t>
      </w:r>
    </w:p>
    <w:p>
      <w:pPr>
        <w:spacing w:afterLines="30" w:line="500" w:lineRule="exact"/>
        <w:ind w:firstLine="422"/>
        <w:jc w:val="left"/>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表8.3-3                        本项目经济收益估算</w:t>
      </w:r>
    </w:p>
    <w:tbl>
      <w:tblPr>
        <w:tblStyle w:val="25"/>
        <w:tblW w:w="9174" w:type="dxa"/>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08"/>
        <w:gridCol w:w="2031"/>
        <w:gridCol w:w="2297"/>
        <w:gridCol w:w="4038"/>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808"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2031"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收益项目</w:t>
            </w:r>
          </w:p>
        </w:tc>
        <w:tc>
          <w:tcPr>
            <w:tcW w:w="2297"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收益金额（万元/年）</w:t>
            </w:r>
          </w:p>
        </w:tc>
        <w:tc>
          <w:tcPr>
            <w:tcW w:w="4038" w:type="dxa"/>
            <w:tcMar>
              <w:top w:w="57" w:type="dxa"/>
              <w:bottom w:w="57" w:type="dxa"/>
            </w:tcMar>
            <w:vAlign w:val="center"/>
          </w:tcPr>
          <w:p>
            <w:pPr>
              <w:widowControl/>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808"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031"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有机肥</w:t>
            </w:r>
          </w:p>
        </w:tc>
        <w:tc>
          <w:tcPr>
            <w:tcW w:w="2297"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164.94</w:t>
            </w:r>
          </w:p>
        </w:tc>
        <w:tc>
          <w:tcPr>
            <w:tcW w:w="4038" w:type="dxa"/>
            <w:tcMar>
              <w:top w:w="57" w:type="dxa"/>
              <w:bottom w:w="57"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有机肥：2749t/a，单价：600元/吨</w:t>
            </w:r>
          </w:p>
        </w:tc>
      </w:tr>
    </w:tbl>
    <w:p>
      <w:pPr>
        <w:ind w:firstLine="480"/>
        <w:rPr>
          <w:rFonts w:hint="default" w:ascii="Times New Roman" w:hAnsi="Times New Roman" w:cs="Times New Roman"/>
          <w:color w:val="auto"/>
        </w:rPr>
      </w:pPr>
      <w:r>
        <w:rPr>
          <w:rFonts w:hint="default" w:ascii="Times New Roman" w:hAnsi="Times New Roman" w:cs="Times New Roman"/>
          <w:color w:val="auto"/>
        </w:rPr>
        <w:t>由上表可以看出，该项目投资回收期较短，投资利润率高，具有较强的盈利能力，同时，本项目动物粪便制作有机肥在减轻环境污染的同时，还可以获得一定的经济收益。因此，从工程的经济效益分析，该项目可行。</w:t>
      </w:r>
    </w:p>
    <w:p>
      <w:pPr>
        <w:ind w:firstLine="480"/>
        <w:rPr>
          <w:rFonts w:hint="default" w:ascii="Times New Roman" w:hAnsi="Times New Roman" w:cs="Times New Roman"/>
          <w:color w:val="auto"/>
        </w:rPr>
      </w:pPr>
      <w:r>
        <w:rPr>
          <w:rFonts w:hint="default" w:ascii="Times New Roman" w:hAnsi="Times New Roman" w:cs="Times New Roman"/>
          <w:color w:val="auto"/>
        </w:rPr>
        <w:t>此外，本工程的建设具有产业链效益，能够带动一方经济的快速发展，并能促进饲料加工、种植业、养殖业等相关行业的发展。</w:t>
      </w:r>
    </w:p>
    <w:p>
      <w:pPr>
        <w:pStyle w:val="31"/>
        <w:spacing w:line="360" w:lineRule="auto"/>
        <w:jc w:val="both"/>
        <w:rPr>
          <w:rFonts w:hint="default" w:ascii="Times New Roman" w:hAnsi="Times New Roman" w:cs="Times New Roman"/>
          <w:b/>
          <w:bCs/>
          <w:color w:val="auto"/>
        </w:rPr>
      </w:pPr>
      <w:bookmarkStart w:id="668" w:name="_Toc438749974"/>
      <w:bookmarkStart w:id="669" w:name="_Toc485580554"/>
      <w:bookmarkStart w:id="670" w:name="_Toc413830283"/>
      <w:bookmarkStart w:id="671" w:name="_Toc31547"/>
      <w:bookmarkStart w:id="672" w:name="_Toc14434"/>
      <w:bookmarkStart w:id="673" w:name="_Toc336354264"/>
      <w:bookmarkStart w:id="674" w:name="_Toc225245050"/>
      <w:bookmarkStart w:id="675" w:name="_Toc133988265"/>
      <w:bookmarkStart w:id="676" w:name="_Toc286308085"/>
      <w:bookmarkStart w:id="677" w:name="_Toc354950815"/>
      <w:bookmarkStart w:id="678" w:name="_Toc357346916"/>
      <w:bookmarkStart w:id="679" w:name="_Toc339445714"/>
      <w:bookmarkStart w:id="680" w:name="_Toc286307806"/>
      <w:bookmarkStart w:id="681" w:name="_Toc342480457"/>
      <w:bookmarkStart w:id="682" w:name="_Toc358127985"/>
      <w:bookmarkStart w:id="683" w:name="_Toc336354263"/>
      <w:bookmarkStart w:id="684" w:name="_Toc357346915"/>
      <w:bookmarkStart w:id="685" w:name="_Toc358127984"/>
      <w:bookmarkStart w:id="686" w:name="_Toc339445713"/>
      <w:bookmarkStart w:id="687" w:name="_Toc354950814"/>
      <w:bookmarkStart w:id="688" w:name="_Toc342480456"/>
      <w:r>
        <w:rPr>
          <w:rFonts w:hint="default" w:ascii="Times New Roman" w:hAnsi="Times New Roman" w:cs="Times New Roman"/>
          <w:b/>
          <w:bCs/>
          <w:color w:val="auto"/>
        </w:rPr>
        <w:t>8.4 环境效益分析</w:t>
      </w:r>
      <w:bookmarkEnd w:id="668"/>
      <w:bookmarkEnd w:id="669"/>
      <w:bookmarkEnd w:id="670"/>
      <w:bookmarkEnd w:id="671"/>
      <w:bookmarkEnd w:id="672"/>
    </w:p>
    <w:p>
      <w:pPr>
        <w:ind w:firstLine="480"/>
        <w:rPr>
          <w:rFonts w:hint="default" w:ascii="Times New Roman" w:hAnsi="Times New Roman" w:cs="Times New Roman"/>
          <w:color w:val="auto"/>
        </w:rPr>
      </w:pPr>
      <w:r>
        <w:rPr>
          <w:rFonts w:hint="default" w:ascii="Times New Roman" w:hAnsi="Times New Roman" w:cs="Times New Roman"/>
          <w:color w:val="auto"/>
        </w:rPr>
        <w:t>该项目将畜禽的粪便综合利用，做到了废物利用，变废为宝，从根本上降低了污染源，大大减轻了对周边地区的环境压力。既美化了养殖场的自然环境，消除了臭味，防止了蚊蝇孳生，又改善了周边地区的生态环境，有利于农业的可持续发展，促进项目地区水土资源的合理利用和生态环境的良性循环，使项目地区规划科学、布局合理，为项目地区无公害、有机农业生产和可持续发展提供了良好的物资基础。</w:t>
      </w:r>
    </w:p>
    <w:p>
      <w:pPr>
        <w:ind w:firstLine="480"/>
        <w:rPr>
          <w:rFonts w:hint="default" w:ascii="Times New Roman" w:hAnsi="Times New Roman" w:cs="Times New Roman"/>
          <w:color w:val="auto"/>
        </w:rPr>
      </w:pPr>
      <w:r>
        <w:rPr>
          <w:rFonts w:hint="default" w:ascii="Times New Roman" w:hAnsi="Times New Roman" w:cs="Times New Roman"/>
          <w:color w:val="auto"/>
        </w:rPr>
        <w:t>本项目环保总投资为377.5万元，占工程总投资的4.18%。通过各项污染防治措施的实施和清洁生产技术的落实，可做到养殖区废水最大程度的综合利用和固体废弃物的资源化利用，可取得良好的环境效益。项目环境效益分析见表8.4-1。</w:t>
      </w:r>
    </w:p>
    <w:p>
      <w:pPr>
        <w:spacing w:afterLines="30"/>
        <w:ind w:firstLine="482"/>
        <w:jc w:val="center"/>
        <w:rPr>
          <w:rFonts w:hint="default" w:ascii="Times New Roman" w:hAnsi="Times New Roman" w:cs="Times New Roman"/>
          <w:b/>
          <w:color w:val="auto"/>
        </w:rPr>
      </w:pPr>
      <w:r>
        <w:rPr>
          <w:rFonts w:hint="default" w:ascii="Times New Roman" w:hAnsi="Times New Roman" w:cs="Times New Roman"/>
          <w:b/>
          <w:color w:val="auto"/>
        </w:rPr>
        <w:t>表8.4-1                     项目环境效益分析表</w:t>
      </w:r>
    </w:p>
    <w:tbl>
      <w:tblPr>
        <w:tblStyle w:val="25"/>
        <w:tblW w:w="9128" w:type="dxa"/>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52"/>
        <w:gridCol w:w="3681"/>
        <w:gridCol w:w="4795"/>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2"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3681"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4795"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环境效益</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2"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681"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废水沼气化处理工程</w:t>
            </w:r>
          </w:p>
        </w:tc>
        <w:tc>
          <w:tcPr>
            <w:tcW w:w="4795"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厌氧无害化处理后，</w:t>
            </w:r>
            <w:r>
              <w:rPr>
                <w:rFonts w:hint="default" w:ascii="Times New Roman" w:hAnsi="Times New Roman" w:cs="Times New Roman"/>
                <w:color w:val="auto"/>
                <w:sz w:val="21"/>
                <w:szCs w:val="21"/>
                <w:lang w:eastAsia="zh-CN"/>
              </w:rPr>
              <w:t>沼液存储池</w:t>
            </w:r>
            <w:r>
              <w:rPr>
                <w:rFonts w:hint="default" w:ascii="Times New Roman" w:hAnsi="Times New Roman" w:cs="Times New Roman"/>
                <w:color w:val="auto"/>
                <w:sz w:val="21"/>
                <w:szCs w:val="21"/>
              </w:rPr>
              <w:t>暂存，定期清理后综合利用；沼气用于食堂燃料；沼渣用于制作固体有机肥</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2"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3681"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猪粪、处</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理后的病死猪 残渣综合利用</w:t>
            </w:r>
          </w:p>
        </w:tc>
        <w:tc>
          <w:tcPr>
            <w:tcW w:w="4795"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制作固体有机肥</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2"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3681" w:type="dxa"/>
            <w:tcMar>
              <w:top w:w="57" w:type="dxa"/>
              <w:left w:w="85" w:type="dxa"/>
              <w:bottom w:w="57" w:type="dxa"/>
              <w:right w:w="85" w:type="dxa"/>
            </w:tcMar>
            <w:vAlign w:val="center"/>
          </w:tcPr>
          <w:p>
            <w:pPr>
              <w:pStyle w:val="7"/>
              <w:numPr>
                <w:ilvl w:val="0"/>
                <w:numId w:val="0"/>
              </w:num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沼气回收利用</w:t>
            </w:r>
          </w:p>
        </w:tc>
        <w:tc>
          <w:tcPr>
            <w:tcW w:w="4795" w:type="dxa"/>
            <w:tcMar>
              <w:top w:w="57" w:type="dxa"/>
              <w:left w:w="85" w:type="dxa"/>
              <w:bottom w:w="57" w:type="dxa"/>
              <w:right w:w="85" w:type="dxa"/>
            </w:tcMar>
            <w:vAlign w:val="center"/>
          </w:tcPr>
          <w:p>
            <w:pPr>
              <w:pStyle w:val="7"/>
              <w:numPr>
                <w:ilvl w:val="0"/>
                <w:numId w:val="0"/>
              </w:numPr>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减少废气排放，实现资源的回收利用</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2"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3681"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废气处理</w:t>
            </w:r>
          </w:p>
        </w:tc>
        <w:tc>
          <w:tcPr>
            <w:tcW w:w="4795"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恶臭废气采用相关措施处理后，实现达标排放</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2"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3681"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噪声处理</w:t>
            </w:r>
          </w:p>
        </w:tc>
        <w:tc>
          <w:tcPr>
            <w:tcW w:w="4795"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采用设备基础减振及场房密闭隔声处理后，实现达标排放</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652"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3681"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雨污分流及“三防”措施</w:t>
            </w:r>
          </w:p>
        </w:tc>
        <w:tc>
          <w:tcPr>
            <w:tcW w:w="4795" w:type="dxa"/>
            <w:tcMar>
              <w:top w:w="57" w:type="dxa"/>
              <w:left w:w="85" w:type="dxa"/>
              <w:bottom w:w="57" w:type="dxa"/>
              <w:right w:w="85" w:type="dxa"/>
            </w:tcMar>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经过化防渗和设置围堰防溢处置等措施后，不会对地下水、地表水及土壤造成直接污染</w:t>
            </w:r>
          </w:p>
        </w:tc>
      </w:tr>
    </w:tbl>
    <w:p>
      <w:pPr>
        <w:ind w:firstLine="480"/>
        <w:rPr>
          <w:rFonts w:hint="default" w:ascii="Times New Roman" w:hAnsi="Times New Roman" w:cs="Times New Roman"/>
          <w:color w:val="auto"/>
        </w:rPr>
      </w:pPr>
      <w:r>
        <w:rPr>
          <w:rFonts w:hint="default" w:ascii="Times New Roman" w:hAnsi="Times New Roman" w:cs="Times New Roman"/>
          <w:color w:val="auto"/>
        </w:rPr>
        <w:t>由上表可以看出，项目的环保投入减少了废水及固废等污染物的排放，合理地调整了生产过程中的相互关系，使一个生产过程中的排泄物（废弃物）转变为另一个生产过程的输入物（原料资源），从而实现农业生产的无废弃物过程（零排放目标），即废弃物资源化过程。从环境保护和资源利用的角度出发，走规模处理和综合利用的道路，不仅能够促进畜禽养殖业的进一步发展，而且具有较好的环境效益。</w:t>
      </w:r>
    </w:p>
    <w:p>
      <w:pPr>
        <w:pStyle w:val="31"/>
        <w:spacing w:line="360" w:lineRule="auto"/>
        <w:jc w:val="both"/>
        <w:rPr>
          <w:rFonts w:hint="default" w:ascii="Times New Roman" w:hAnsi="Times New Roman" w:cs="Times New Roman"/>
          <w:b/>
          <w:bCs/>
          <w:color w:val="auto"/>
        </w:rPr>
      </w:pPr>
      <w:bookmarkStart w:id="689" w:name="_Toc23821"/>
      <w:bookmarkStart w:id="690" w:name="_Toc413830284"/>
      <w:bookmarkStart w:id="691" w:name="_Toc13631"/>
      <w:bookmarkStart w:id="692" w:name="_Toc485580555"/>
      <w:bookmarkStart w:id="693" w:name="_Toc438749975"/>
      <w:r>
        <w:rPr>
          <w:rFonts w:hint="default" w:ascii="Times New Roman" w:hAnsi="Times New Roman" w:cs="Times New Roman"/>
          <w:b/>
          <w:bCs/>
          <w:color w:val="auto"/>
        </w:rPr>
        <w:t>8.5 社会效益分析</w:t>
      </w:r>
      <w:bookmarkEnd w:id="673"/>
      <w:bookmarkEnd w:id="674"/>
      <w:bookmarkEnd w:id="675"/>
      <w:bookmarkEnd w:id="676"/>
      <w:bookmarkEnd w:id="677"/>
      <w:bookmarkEnd w:id="678"/>
      <w:bookmarkEnd w:id="679"/>
      <w:bookmarkEnd w:id="680"/>
      <w:bookmarkEnd w:id="681"/>
      <w:bookmarkEnd w:id="682"/>
      <w:bookmarkEnd w:id="689"/>
      <w:bookmarkEnd w:id="690"/>
      <w:bookmarkEnd w:id="691"/>
      <w:bookmarkEnd w:id="692"/>
      <w:bookmarkEnd w:id="693"/>
    </w:p>
    <w:p>
      <w:pPr>
        <w:ind w:firstLine="480"/>
        <w:rPr>
          <w:rFonts w:hint="default" w:ascii="Times New Roman" w:hAnsi="Times New Roman" w:cs="Times New Roman"/>
          <w:color w:val="auto"/>
        </w:rPr>
      </w:pPr>
      <w:r>
        <w:rPr>
          <w:rFonts w:hint="default" w:ascii="Times New Roman" w:hAnsi="Times New Roman" w:cs="Times New Roman"/>
          <w:color w:val="auto"/>
        </w:rPr>
        <w:t>本项目的社会效益主要表现在以下几个方面：</w:t>
      </w:r>
    </w:p>
    <w:p>
      <w:pPr>
        <w:ind w:firstLine="480"/>
        <w:rPr>
          <w:rFonts w:hint="default" w:ascii="Times New Roman" w:hAnsi="Times New Roman" w:cs="Times New Roman"/>
          <w:color w:val="auto"/>
        </w:rPr>
      </w:pPr>
      <w:r>
        <w:rPr>
          <w:rFonts w:hint="default" w:ascii="Times New Roman" w:hAnsi="Times New Roman" w:cs="Times New Roman"/>
          <w:color w:val="auto"/>
        </w:rPr>
        <w:t>（1）该项目的实施促进了养殖场的良性发展，增强了建设单位的市场竞争力。本项目利用养殖场尿液生成沼气用于食堂燃料，降低能源费用，实现以沼气生产区为核心的物流循环和能源自供系统。养殖场的废物得到资源化的利用，促进了项目单位循环经济和生态经济的良性发展。同时，项目单位具有一定的生猪销售市场，养殖场的污染治理，实现了清洁养殖，为生猪的良性生长创造了较好卫生环境，增强了市场竞争力。</w:t>
      </w:r>
    </w:p>
    <w:p>
      <w:pPr>
        <w:ind w:firstLine="480"/>
        <w:rPr>
          <w:rFonts w:hint="default" w:ascii="Times New Roman" w:hAnsi="Times New Roman" w:cs="Times New Roman"/>
          <w:color w:val="auto"/>
        </w:rPr>
      </w:pPr>
      <w:r>
        <w:rPr>
          <w:rFonts w:hint="default" w:ascii="Times New Roman" w:hAnsi="Times New Roman" w:cs="Times New Roman"/>
          <w:color w:val="auto"/>
        </w:rPr>
        <w:t>（2）项目的清洁生产措施，很大程度上节约了资源和能源，起到了“节能、降耗、减污、增效”的作用，符合国家产业政策和环保治理要求。</w:t>
      </w:r>
    </w:p>
    <w:p>
      <w:pPr>
        <w:ind w:firstLine="480"/>
        <w:rPr>
          <w:rFonts w:hint="default" w:ascii="Times New Roman" w:hAnsi="Times New Roman" w:cs="Times New Roman"/>
          <w:color w:val="auto"/>
        </w:rPr>
      </w:pPr>
      <w:r>
        <w:rPr>
          <w:rFonts w:hint="default" w:ascii="Times New Roman" w:hAnsi="Times New Roman" w:cs="Times New Roman"/>
          <w:color w:val="auto"/>
        </w:rPr>
        <w:t>（3）该项目未来的标准化、规模化建设将形成农村能源产业，由此所需的技术、管理队伍可就地吸纳农村剩余劳动力，有利于维护农村社会稳定，对提高人民生活水平起到积极作用。</w:t>
      </w:r>
    </w:p>
    <w:p>
      <w:pPr>
        <w:ind w:firstLine="480"/>
        <w:rPr>
          <w:rFonts w:hint="default" w:ascii="Times New Roman" w:hAnsi="Times New Roman" w:cs="Times New Roman"/>
          <w:color w:val="auto"/>
        </w:rPr>
      </w:pPr>
      <w:r>
        <w:rPr>
          <w:rFonts w:hint="default" w:ascii="Times New Roman" w:hAnsi="Times New Roman" w:cs="Times New Roman"/>
          <w:color w:val="auto"/>
        </w:rPr>
        <w:t>（4）项目的建设可拉动周边畜禽养殖业、肉制品加工业、饲料加工业等行业的快速发展，同时为周围种植业提供了大量优质有机肥，降低了化肥、农药在农产品生产中的使用量，为无公害农产品生产提供了有利条件，有利于促进周围农村产业结构调整。</w:t>
      </w:r>
    </w:p>
    <w:p>
      <w:pPr>
        <w:ind w:firstLine="480"/>
        <w:rPr>
          <w:rFonts w:hint="default" w:ascii="Times New Roman" w:hAnsi="Times New Roman" w:cs="Times New Roman"/>
          <w:color w:val="auto"/>
        </w:rPr>
      </w:pPr>
      <w:r>
        <w:rPr>
          <w:rFonts w:hint="default" w:ascii="Times New Roman" w:hAnsi="Times New Roman" w:cs="Times New Roman"/>
          <w:color w:val="auto"/>
        </w:rPr>
        <w:t>（5）项目投产后，可增加当地财政收入，提高当地社会经济发展水平，对区域社会稳定发挥了较强作用。</w:t>
      </w:r>
    </w:p>
    <w:bookmarkEnd w:id="683"/>
    <w:bookmarkEnd w:id="684"/>
    <w:bookmarkEnd w:id="685"/>
    <w:bookmarkEnd w:id="686"/>
    <w:bookmarkEnd w:id="687"/>
    <w:bookmarkEnd w:id="688"/>
    <w:p>
      <w:pPr>
        <w:pStyle w:val="31"/>
        <w:spacing w:line="360" w:lineRule="auto"/>
        <w:jc w:val="both"/>
        <w:rPr>
          <w:rFonts w:hint="default" w:ascii="Times New Roman" w:hAnsi="Times New Roman" w:cs="Times New Roman"/>
          <w:b/>
          <w:bCs/>
          <w:color w:val="auto"/>
        </w:rPr>
      </w:pPr>
      <w:bookmarkStart w:id="694" w:name="_Toc29699"/>
      <w:bookmarkStart w:id="695" w:name="_Toc438749976"/>
      <w:bookmarkStart w:id="696" w:name="_Toc485580556"/>
      <w:bookmarkStart w:id="697" w:name="_Toc23654"/>
      <w:bookmarkStart w:id="698" w:name="_Toc413830285"/>
      <w:r>
        <w:rPr>
          <w:rFonts w:hint="default" w:ascii="Times New Roman" w:hAnsi="Times New Roman" w:cs="Times New Roman"/>
          <w:b/>
          <w:bCs/>
          <w:color w:val="auto"/>
        </w:rPr>
        <w:t>8.6 生态效益分析</w:t>
      </w:r>
      <w:bookmarkEnd w:id="694"/>
      <w:bookmarkEnd w:id="695"/>
      <w:bookmarkEnd w:id="696"/>
      <w:bookmarkEnd w:id="697"/>
      <w:bookmarkEnd w:id="698"/>
    </w:p>
    <w:p>
      <w:pPr>
        <w:ind w:firstLine="480"/>
        <w:rPr>
          <w:rFonts w:hint="default" w:ascii="Times New Roman" w:hAnsi="Times New Roman" w:cs="Times New Roman"/>
          <w:color w:val="auto"/>
        </w:rPr>
      </w:pPr>
      <w:r>
        <w:rPr>
          <w:rFonts w:hint="default" w:ascii="Times New Roman" w:hAnsi="Times New Roman" w:cs="Times New Roman"/>
          <w:color w:val="auto"/>
        </w:rPr>
        <w:t>项目完成后，养殖场将建成以种植业为基础，养殖业为主体，沼气为纽带，促进物质能量良性循环的生态养殖场，明显改善区域内农业生态环境，有利农业可持续发展。</w:t>
      </w:r>
    </w:p>
    <w:p>
      <w:pPr>
        <w:ind w:firstLine="480"/>
        <w:rPr>
          <w:rFonts w:hint="default" w:ascii="Times New Roman" w:hAnsi="Times New Roman" w:cs="Times New Roman"/>
          <w:color w:val="auto"/>
        </w:rPr>
      </w:pPr>
      <w:r>
        <w:rPr>
          <w:rFonts w:hint="default" w:ascii="Times New Roman" w:hAnsi="Times New Roman" w:cs="Times New Roman"/>
          <w:color w:val="auto"/>
        </w:rPr>
        <w:t>猪粪生产有机农肥，沼液作为农肥综合利用，沼气是清洁能源，替代燃煤作燃料，可减少大气污染物排放。</w:t>
      </w:r>
    </w:p>
    <w:p>
      <w:pPr>
        <w:ind w:firstLine="480"/>
        <w:rPr>
          <w:rFonts w:hint="default" w:ascii="Times New Roman" w:hAnsi="Times New Roman" w:cs="Times New Roman"/>
          <w:color w:val="auto"/>
        </w:rPr>
      </w:pPr>
      <w:r>
        <w:rPr>
          <w:rFonts w:hint="default" w:ascii="Times New Roman" w:hAnsi="Times New Roman" w:cs="Times New Roman"/>
          <w:color w:val="auto"/>
        </w:rPr>
        <w:t>长期大量使用化肥，不仅导致土壤板结，土壤肥力下降，而且对环境和农作物产生污染。项目投产后，提供优质有机肥料，可减少化肥、农药用量，改善土壤理化性状。同时利用沼液节约水资源的利用，沼液本身具有防治病虫害的作用，能提高作物品质，有利于农作物增产、增收，促进农作物增产、增收，有利生产无公害农产品，保障食品安全。</w:t>
      </w:r>
    </w:p>
    <w:p>
      <w:pPr>
        <w:pStyle w:val="31"/>
        <w:spacing w:line="360" w:lineRule="auto"/>
        <w:jc w:val="both"/>
        <w:rPr>
          <w:rFonts w:hint="default" w:ascii="Times New Roman" w:hAnsi="Times New Roman" w:cs="Times New Roman"/>
          <w:b/>
          <w:bCs/>
          <w:color w:val="auto"/>
        </w:rPr>
      </w:pPr>
      <w:bookmarkStart w:id="699" w:name="_Toc485580557"/>
      <w:bookmarkStart w:id="700" w:name="_Toc438749977"/>
      <w:bookmarkStart w:id="701" w:name="_Toc657"/>
      <w:bookmarkStart w:id="702" w:name="_Toc22186"/>
      <w:bookmarkStart w:id="703" w:name="_Toc413830286"/>
      <w:r>
        <w:rPr>
          <w:rFonts w:hint="default" w:ascii="Times New Roman" w:hAnsi="Times New Roman" w:cs="Times New Roman"/>
          <w:b/>
          <w:bCs/>
          <w:color w:val="auto"/>
        </w:rPr>
        <w:t>8.7本项目环境经济损益分析</w:t>
      </w:r>
      <w:bookmarkEnd w:id="699"/>
      <w:bookmarkEnd w:id="700"/>
      <w:bookmarkEnd w:id="701"/>
      <w:bookmarkEnd w:id="702"/>
      <w:bookmarkEnd w:id="703"/>
    </w:p>
    <w:p>
      <w:pPr>
        <w:ind w:firstLine="480"/>
        <w:rPr>
          <w:rFonts w:hint="default" w:ascii="Times New Roman" w:hAnsi="Times New Roman" w:cs="Times New Roman"/>
          <w:color w:val="auto"/>
        </w:rPr>
      </w:pPr>
      <w:r>
        <w:rPr>
          <w:rFonts w:hint="default" w:ascii="Times New Roman" w:hAnsi="Times New Roman" w:cs="Times New Roman"/>
          <w:color w:val="auto"/>
        </w:rPr>
        <w:t>本项目环境经济损益分析结果见表8.7-1。</w:t>
      </w:r>
    </w:p>
    <w:p>
      <w:pPr>
        <w:spacing w:afterLines="30" w:line="500" w:lineRule="exact"/>
        <w:ind w:firstLine="422"/>
        <w:jc w:val="left"/>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表8.7-1                本项目环境经济损益分析结果</w:t>
      </w:r>
    </w:p>
    <w:tbl>
      <w:tblPr>
        <w:tblStyle w:val="25"/>
        <w:tblW w:w="9174" w:type="dxa"/>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058"/>
        <w:gridCol w:w="3059"/>
        <w:gridCol w:w="3057"/>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058" w:type="dxa"/>
            <w:tcMar>
              <w:top w:w="57" w:type="dxa"/>
              <w:bottom w:w="57" w:type="dxa"/>
            </w:tcMar>
            <w:vAlign w:val="center"/>
          </w:tcPr>
          <w:p>
            <w:pPr>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环保运行费用（万元/年）</w:t>
            </w:r>
          </w:p>
        </w:tc>
        <w:tc>
          <w:tcPr>
            <w:tcW w:w="3059" w:type="dxa"/>
            <w:tcMar>
              <w:top w:w="57" w:type="dxa"/>
              <w:bottom w:w="57" w:type="dxa"/>
            </w:tcMar>
            <w:vAlign w:val="center"/>
          </w:tcPr>
          <w:p>
            <w:pPr>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环保投资收益（万元/年）</w:t>
            </w:r>
          </w:p>
        </w:tc>
        <w:tc>
          <w:tcPr>
            <w:tcW w:w="3057" w:type="dxa"/>
            <w:tcMar>
              <w:top w:w="57" w:type="dxa"/>
              <w:bottom w:w="57" w:type="dxa"/>
            </w:tcMar>
            <w:vAlign w:val="center"/>
          </w:tcPr>
          <w:p>
            <w:pPr>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费用和收益比</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058" w:type="dxa"/>
            <w:tcMar>
              <w:top w:w="57" w:type="dxa"/>
              <w:bottom w:w="57" w:type="dxa"/>
            </w:tcMar>
            <w:vAlign w:val="center"/>
          </w:tcPr>
          <w:p>
            <w:pPr>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20.5</w:t>
            </w:r>
          </w:p>
        </w:tc>
        <w:tc>
          <w:tcPr>
            <w:tcW w:w="3059" w:type="dxa"/>
            <w:tcMar>
              <w:top w:w="57" w:type="dxa"/>
              <w:bottom w:w="57" w:type="dxa"/>
            </w:tcMar>
            <w:vAlign w:val="center"/>
          </w:tcPr>
          <w:p>
            <w:pPr>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164.94</w:t>
            </w:r>
          </w:p>
        </w:tc>
        <w:tc>
          <w:tcPr>
            <w:tcW w:w="3057" w:type="dxa"/>
            <w:tcMar>
              <w:top w:w="57" w:type="dxa"/>
              <w:bottom w:w="57" w:type="dxa"/>
            </w:tcMar>
            <w:vAlign w:val="center"/>
          </w:tcPr>
          <w:p>
            <w:pPr>
              <w:spacing w:line="240" w:lineRule="auto"/>
              <w:ind w:firstLine="42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1：8.05</w:t>
            </w:r>
          </w:p>
        </w:tc>
      </w:tr>
    </w:tbl>
    <w:p>
      <w:pPr>
        <w:ind w:firstLine="480"/>
        <w:rPr>
          <w:rFonts w:hint="default" w:ascii="Times New Roman" w:hAnsi="Times New Roman" w:cs="Times New Roman"/>
          <w:color w:val="auto"/>
        </w:rPr>
      </w:pPr>
      <w:r>
        <w:rPr>
          <w:rFonts w:hint="default" w:ascii="Times New Roman" w:hAnsi="Times New Roman" w:cs="Times New Roman"/>
          <w:color w:val="auto"/>
        </w:rPr>
        <w:t>由上表可知，本项目环保运行费用20.5万元，年环保投资收益164.94万元，运行费用与年环保收益比为1：8.05，说明环保运行费用小于采取环保措施而带来的经济收益。</w:t>
      </w:r>
    </w:p>
    <w:p>
      <w:pPr>
        <w:pStyle w:val="4"/>
        <w:numPr>
          <w:ilvl w:val="1"/>
          <w:numId w:val="0"/>
        </w:numPr>
        <w:tabs>
          <w:tab w:val="left" w:pos="105"/>
        </w:tabs>
        <w:spacing w:before="0" w:after="0"/>
        <w:textAlignment w:val="baseline"/>
        <w:rPr>
          <w:rFonts w:hint="default" w:ascii="Times New Roman" w:hAnsi="Times New Roman" w:cs="Times New Roman"/>
          <w:color w:val="auto"/>
          <w:sz w:val="24"/>
          <w:szCs w:val="24"/>
        </w:rPr>
      </w:pPr>
      <w:bookmarkStart w:id="704" w:name="_Toc47432558"/>
      <w:bookmarkStart w:id="705" w:name="_Toc47432606"/>
      <w:bookmarkStart w:id="706" w:name="_Toc123023650"/>
      <w:bookmarkStart w:id="707" w:name="_Toc295121734"/>
      <w:bookmarkStart w:id="708" w:name="_Toc329183293"/>
      <w:bookmarkStart w:id="709" w:name="_Toc366760462"/>
      <w:bookmarkStart w:id="710" w:name="_Toc476922045"/>
      <w:bookmarkStart w:id="711" w:name="_Toc476923138"/>
      <w:bookmarkStart w:id="712" w:name="_Toc485580558"/>
      <w:bookmarkStart w:id="713" w:name="_Toc645"/>
      <w:bookmarkStart w:id="714" w:name="_Toc32232"/>
      <w:r>
        <w:rPr>
          <w:rFonts w:hint="default" w:ascii="Times New Roman" w:hAnsi="Times New Roman" w:cs="Times New Roman"/>
          <w:color w:val="auto"/>
          <w:sz w:val="24"/>
          <w:szCs w:val="24"/>
        </w:rPr>
        <w:t>8.</w:t>
      </w:r>
      <w:bookmarkEnd w:id="704"/>
      <w:bookmarkEnd w:id="705"/>
      <w:bookmarkEnd w:id="706"/>
      <w:r>
        <w:rPr>
          <w:rFonts w:hint="default" w:ascii="Times New Roman" w:hAnsi="Times New Roman" w:cs="Times New Roman"/>
          <w:color w:val="auto"/>
          <w:sz w:val="24"/>
          <w:szCs w:val="24"/>
        </w:rPr>
        <w:t>8 环境经济损益分析结论</w:t>
      </w:r>
      <w:bookmarkEnd w:id="707"/>
      <w:bookmarkEnd w:id="708"/>
      <w:bookmarkEnd w:id="709"/>
      <w:bookmarkEnd w:id="710"/>
      <w:bookmarkEnd w:id="711"/>
      <w:bookmarkEnd w:id="712"/>
      <w:bookmarkEnd w:id="713"/>
      <w:bookmarkEnd w:id="714"/>
    </w:p>
    <w:p>
      <w:pPr>
        <w:ind w:firstLine="508" w:firstLineChars="212"/>
        <w:rPr>
          <w:rFonts w:hint="default" w:ascii="Times New Roman" w:hAnsi="Times New Roman" w:cs="Times New Roman"/>
          <w:color w:val="auto"/>
        </w:rPr>
      </w:pPr>
      <w:bookmarkStart w:id="715" w:name="OLE_LINK3"/>
      <w:r>
        <w:rPr>
          <w:rFonts w:hint="default" w:ascii="Times New Roman" w:hAnsi="Times New Roman" w:cs="Times New Roman"/>
          <w:color w:val="auto"/>
        </w:rPr>
        <w:t>项目建成投产后，年均实现销售收入8250万元。项目税后投资回收期(包括建设期)为2年。由此可见，该项目可取得较好的经济效益，项目的实施对促进当地经济发展、提高国民经济收入具有一定的贡献；此外本项目对于改变贫困地区落后面貌、增加就业，具有明显的经济社会效益。对当地的国民经济发展也将做出一定的贡献。</w:t>
      </w:r>
    </w:p>
    <w:bookmarkEnd w:id="715"/>
    <w:p>
      <w:pPr>
        <w:ind w:firstLine="508" w:firstLineChars="212"/>
        <w:rPr>
          <w:rFonts w:hint="default" w:ascii="Times New Roman" w:hAnsi="Times New Roman" w:cs="Times New Roman"/>
          <w:color w:val="auto"/>
        </w:rPr>
      </w:pPr>
      <w:r>
        <w:rPr>
          <w:rFonts w:hint="default" w:ascii="Times New Roman" w:hAnsi="Times New Roman" w:cs="Times New Roman"/>
          <w:color w:val="auto"/>
        </w:rPr>
        <w:t>项目的建设符合国家产业政策和环境保护要求，通过采用较先进的芳构化技术及装备，能够节约能源消耗、降低生产成本，为企业获得良好的经济效益，项目的实施在促进地方经济发展的同时，又可提供大量的就业机会，具有良好的社会效益。项目产品的市场前景较好，并有较好的赢利能力、偿还能力，从社会经济角度看也是可行的。项目环保费用比例合理，在确保环保投资落实到位的前提下，环境效益比较明显，因此，从环境与经济分析情况来看，项目的建设是可行的。</w:t>
      </w:r>
    </w:p>
    <w:p>
      <w:pPr>
        <w:ind w:firstLine="480"/>
        <w:rPr>
          <w:rFonts w:hint="default" w:ascii="Times New Roman" w:hAnsi="Times New Roman" w:cs="Times New Roman"/>
          <w:color w:val="auto"/>
        </w:rPr>
        <w:sectPr>
          <w:headerReference r:id="rId27" w:type="default"/>
          <w:pgSz w:w="11906" w:h="16838"/>
          <w:pgMar w:top="1440" w:right="1474" w:bottom="1440" w:left="1474" w:header="851" w:footer="992" w:gutter="0"/>
          <w:pgBorders>
            <w:top w:val="none" w:sz="0" w:space="0"/>
            <w:left w:val="none" w:sz="0" w:space="0"/>
            <w:bottom w:val="none" w:sz="0" w:space="0"/>
            <w:right w:val="none" w:sz="0" w:space="0"/>
          </w:pgBorders>
          <w:cols w:space="720" w:num="1"/>
          <w:docGrid w:type="lines" w:linePitch="312" w:charSpace="0"/>
        </w:sectPr>
      </w:pPr>
    </w:p>
    <w:p>
      <w:pPr>
        <w:pStyle w:val="24"/>
        <w:ind w:left="480" w:firstLine="480"/>
        <w:rPr>
          <w:rFonts w:hint="default" w:ascii="Times New Roman" w:hAnsi="Times New Roman" w:cs="Times New Roman"/>
          <w:color w:val="auto"/>
        </w:rPr>
      </w:pPr>
    </w:p>
    <w:p>
      <w:pPr>
        <w:pStyle w:val="3"/>
        <w:spacing w:before="240" w:line="240" w:lineRule="auto"/>
        <w:ind w:firstLine="0" w:firstLineChars="0"/>
        <w:rPr>
          <w:rFonts w:hint="default" w:ascii="Times New Roman" w:hAnsi="Times New Roman" w:cs="Times New Roman"/>
          <w:color w:val="auto"/>
        </w:rPr>
      </w:pPr>
      <w:bookmarkStart w:id="716" w:name="_Toc477187610"/>
      <w:bookmarkStart w:id="717" w:name="_Toc295122025"/>
      <w:bookmarkStart w:id="718" w:name="_Toc485580806"/>
      <w:bookmarkStart w:id="719" w:name="_Toc115071341"/>
      <w:bookmarkStart w:id="720" w:name="_Toc47433175"/>
      <w:bookmarkStart w:id="721" w:name="_Toc366760518"/>
      <w:bookmarkStart w:id="722" w:name="_Toc477187658"/>
      <w:bookmarkStart w:id="723" w:name="_Toc476923084"/>
      <w:bookmarkStart w:id="724" w:name="_Toc123212125"/>
      <w:bookmarkStart w:id="725" w:name="_Toc22146"/>
      <w:bookmarkStart w:id="726" w:name="_Toc19967"/>
      <w:r>
        <w:rPr>
          <w:rFonts w:hint="default" w:ascii="Times New Roman" w:hAnsi="Times New Roman" w:cs="Times New Roman"/>
          <w:color w:val="auto"/>
        </w:rPr>
        <w:t>第九章  环境管理</w:t>
      </w:r>
      <w:bookmarkEnd w:id="716"/>
      <w:bookmarkEnd w:id="717"/>
      <w:bookmarkEnd w:id="718"/>
      <w:bookmarkEnd w:id="719"/>
      <w:bookmarkEnd w:id="720"/>
      <w:bookmarkEnd w:id="721"/>
      <w:bookmarkEnd w:id="722"/>
      <w:bookmarkEnd w:id="723"/>
      <w:bookmarkEnd w:id="724"/>
      <w:r>
        <w:rPr>
          <w:rFonts w:hint="default" w:ascii="Times New Roman" w:hAnsi="Times New Roman" w:cs="Times New Roman"/>
          <w:color w:val="auto"/>
        </w:rPr>
        <w:t>与监测计划</w:t>
      </w:r>
      <w:bookmarkEnd w:id="725"/>
      <w:bookmarkEnd w:id="726"/>
    </w:p>
    <w:p>
      <w:pPr>
        <w:pStyle w:val="4"/>
        <w:numPr>
          <w:ilvl w:val="1"/>
          <w:numId w:val="0"/>
        </w:numPr>
        <w:tabs>
          <w:tab w:val="left" w:pos="105"/>
        </w:tabs>
        <w:jc w:val="left"/>
        <w:textAlignment w:val="baseline"/>
        <w:rPr>
          <w:rFonts w:hint="default" w:ascii="Times New Roman" w:hAnsi="Times New Roman" w:cs="Times New Roman"/>
          <w:color w:val="auto"/>
          <w:sz w:val="24"/>
          <w:szCs w:val="24"/>
        </w:rPr>
      </w:pPr>
      <w:bookmarkStart w:id="727" w:name="_Toc485580807"/>
      <w:bookmarkStart w:id="728" w:name="_Toc28775"/>
      <w:bookmarkStart w:id="729" w:name="_Toc468115480"/>
      <w:bookmarkStart w:id="730" w:name="_Toc445457760"/>
      <w:bookmarkStart w:id="731" w:name="_Toc14595"/>
      <w:bookmarkStart w:id="732" w:name="_Toc11224"/>
      <w:bookmarkStart w:id="733" w:name="_Toc413834601"/>
      <w:bookmarkStart w:id="734" w:name="_Toc24318"/>
      <w:bookmarkStart w:id="735" w:name="_Toc366760519"/>
      <w:bookmarkStart w:id="736" w:name="_Toc477187659"/>
      <w:bookmarkStart w:id="737" w:name="_Toc476923085"/>
      <w:bookmarkStart w:id="738" w:name="_Toc477187611"/>
      <w:bookmarkStart w:id="739" w:name="_Toc295122026"/>
      <w:r>
        <w:rPr>
          <w:rFonts w:hint="default" w:ascii="Times New Roman" w:hAnsi="Times New Roman" w:cs="Times New Roman"/>
          <w:color w:val="auto"/>
          <w:sz w:val="24"/>
          <w:szCs w:val="24"/>
        </w:rPr>
        <w:t>9.1 环境管理计划</w:t>
      </w:r>
      <w:bookmarkEnd w:id="727"/>
      <w:bookmarkEnd w:id="728"/>
      <w:bookmarkEnd w:id="729"/>
      <w:bookmarkEnd w:id="730"/>
      <w:bookmarkEnd w:id="731"/>
      <w:bookmarkEnd w:id="732"/>
      <w:bookmarkEnd w:id="733"/>
      <w:bookmarkEnd w:id="734"/>
    </w:p>
    <w:p>
      <w:pPr>
        <w:ind w:firstLine="480"/>
        <w:rPr>
          <w:rFonts w:hint="default" w:ascii="Times New Roman" w:hAnsi="Times New Roman" w:cs="Times New Roman"/>
          <w:color w:val="auto"/>
        </w:rPr>
      </w:pPr>
      <w:r>
        <w:rPr>
          <w:rFonts w:hint="default" w:ascii="Times New Roman" w:hAnsi="Times New Roman" w:cs="Times New Roman"/>
          <w:color w:val="auto"/>
        </w:rPr>
        <w:t>环境管理是企业管理中的重要组成部分，加大环境监督、管理力度，是实现环境效益、社会效益、经济效益协调发展和坚持走可持续发展道路的重要措施。因此需制定严格的环境管理和环境监测计划，确保建设项目在工程施工和运行期间各项环保治理措施能得到认真落实，做到最大限度的减少污染。</w:t>
      </w:r>
    </w:p>
    <w:p>
      <w:pPr>
        <w:keepNext/>
        <w:keepLines/>
        <w:ind w:firstLine="0" w:firstLineChars="0"/>
        <w:outlineLvl w:val="2"/>
        <w:rPr>
          <w:rFonts w:hint="default" w:ascii="Times New Roman" w:hAnsi="Times New Roman" w:eastAsia="黑体" w:cs="Times New Roman"/>
          <w:bCs/>
          <w:color w:val="auto"/>
        </w:rPr>
      </w:pPr>
      <w:bookmarkStart w:id="740" w:name="_Toc468115481"/>
      <w:bookmarkStart w:id="741" w:name="_Toc27211"/>
      <w:r>
        <w:rPr>
          <w:rFonts w:hint="default" w:ascii="Times New Roman" w:hAnsi="Times New Roman" w:eastAsia="黑体" w:cs="Times New Roman"/>
          <w:bCs/>
          <w:color w:val="auto"/>
        </w:rPr>
        <w:t>9.1.1 环境管理机构</w:t>
      </w:r>
      <w:bookmarkEnd w:id="740"/>
      <w:bookmarkEnd w:id="741"/>
    </w:p>
    <w:p>
      <w:pPr>
        <w:ind w:firstLine="480"/>
        <w:rPr>
          <w:rFonts w:hint="default" w:ascii="Times New Roman" w:hAnsi="Times New Roman" w:cs="Times New Roman"/>
          <w:color w:val="auto"/>
        </w:rPr>
      </w:pPr>
      <w:r>
        <w:rPr>
          <w:rFonts w:hint="default" w:ascii="Times New Roman" w:hAnsi="Times New Roman" w:cs="Times New Roman"/>
          <w:color w:val="auto"/>
        </w:rPr>
        <w:t>本项目的环境管理体系可分为管理机构与监督机构。</w:t>
      </w:r>
    </w:p>
    <w:p>
      <w:pPr>
        <w:ind w:firstLine="480"/>
        <w:rPr>
          <w:rFonts w:hint="default" w:ascii="Times New Roman" w:hAnsi="Times New Roman" w:cs="Times New Roman"/>
          <w:color w:val="auto"/>
        </w:rPr>
      </w:pPr>
      <w:r>
        <w:rPr>
          <w:rFonts w:hint="default" w:ascii="Times New Roman" w:hAnsi="Times New Roman" w:cs="Times New Roman"/>
          <w:color w:val="auto"/>
        </w:rPr>
        <w:t>（1）设置与组成</w:t>
      </w:r>
    </w:p>
    <w:p>
      <w:pPr>
        <w:ind w:firstLine="480"/>
        <w:rPr>
          <w:rFonts w:hint="default" w:ascii="Times New Roman" w:hAnsi="Times New Roman" w:cs="Times New Roman"/>
          <w:color w:val="auto"/>
        </w:rPr>
      </w:pPr>
      <w:r>
        <w:rPr>
          <w:rFonts w:hint="default" w:ascii="Times New Roman" w:hAnsi="Times New Roman" w:cs="Times New Roman"/>
          <w:color w:val="auto"/>
        </w:rPr>
        <w:t>根据《建设项目环境保护设计规定》的有关要求和本次工程的实际需要，建设项目的法人单位应成立专门的环境管理机构，负责项目施工、运营期间的安全生产和环境管理工作。环境管理工作由1名副厂长主抓，并配备专职安全、环保管理人员3人负责企业环境管理的日常工作。</w:t>
      </w:r>
    </w:p>
    <w:p>
      <w:pPr>
        <w:ind w:firstLine="480"/>
        <w:rPr>
          <w:rFonts w:hint="default" w:ascii="Times New Roman" w:hAnsi="Times New Roman" w:cs="Times New Roman"/>
          <w:color w:val="auto"/>
        </w:rPr>
      </w:pPr>
      <w:r>
        <w:rPr>
          <w:rFonts w:hint="default" w:ascii="Times New Roman" w:hAnsi="Times New Roman" w:cs="Times New Roman"/>
          <w:color w:val="auto"/>
        </w:rPr>
        <w:t>环境管理机构的主要职责如下：</w:t>
      </w:r>
    </w:p>
    <w:p>
      <w:pPr>
        <w:ind w:firstLine="480"/>
        <w:rPr>
          <w:rFonts w:hint="default" w:ascii="Times New Roman" w:hAnsi="Times New Roman" w:cs="Times New Roman"/>
          <w:color w:val="auto"/>
        </w:rPr>
      </w:pPr>
      <w:r>
        <w:rPr>
          <w:rFonts w:hint="default" w:ascii="Times New Roman" w:hAnsi="Times New Roman" w:cs="Times New Roman"/>
          <w:color w:val="auto"/>
        </w:rPr>
        <w:t>①贯彻、宣传国家的环保方针、政策和法律法规。</w:t>
      </w:r>
    </w:p>
    <w:p>
      <w:pPr>
        <w:ind w:firstLine="480"/>
        <w:rPr>
          <w:rFonts w:hint="default" w:ascii="Times New Roman" w:hAnsi="Times New Roman" w:cs="Times New Roman"/>
          <w:color w:val="auto"/>
        </w:rPr>
      </w:pPr>
      <w:r>
        <w:rPr>
          <w:rFonts w:hint="default" w:ascii="Times New Roman" w:hAnsi="Times New Roman" w:cs="Times New Roman"/>
          <w:color w:val="auto"/>
        </w:rPr>
        <w:t>②制定本厂的环保管理制度。</w:t>
      </w:r>
    </w:p>
    <w:p>
      <w:pPr>
        <w:ind w:firstLine="480"/>
        <w:rPr>
          <w:rFonts w:hint="default" w:ascii="Times New Roman" w:hAnsi="Times New Roman" w:cs="Times New Roman"/>
          <w:color w:val="auto"/>
        </w:rPr>
      </w:pPr>
      <w:r>
        <w:rPr>
          <w:rFonts w:hint="default" w:ascii="Times New Roman" w:hAnsi="Times New Roman" w:cs="Times New Roman"/>
          <w:color w:val="auto"/>
        </w:rPr>
        <w:t>③监督检查本项目执行“三同时”规定的情况。</w:t>
      </w:r>
    </w:p>
    <w:p>
      <w:pPr>
        <w:ind w:firstLine="480"/>
        <w:rPr>
          <w:rFonts w:hint="default" w:ascii="Times New Roman" w:hAnsi="Times New Roman" w:cs="Times New Roman"/>
          <w:color w:val="auto"/>
        </w:rPr>
      </w:pPr>
      <w:r>
        <w:rPr>
          <w:rFonts w:hint="default" w:ascii="Times New Roman" w:hAnsi="Times New Roman" w:cs="Times New Roman"/>
          <w:color w:val="auto"/>
        </w:rPr>
        <w:t>④定期进行环保设备检查、维修和保养工作，确保环保设施长期、稳定、达标运转。</w:t>
      </w:r>
    </w:p>
    <w:p>
      <w:pPr>
        <w:tabs>
          <w:tab w:val="left" w:pos="523"/>
        </w:tabs>
        <w:ind w:firstLine="480"/>
        <w:rPr>
          <w:rFonts w:hint="default" w:ascii="Times New Roman" w:hAnsi="Times New Roman" w:cs="Times New Roman"/>
          <w:color w:val="auto"/>
        </w:rPr>
      </w:pPr>
      <w:r>
        <w:rPr>
          <w:rFonts w:hint="default" w:ascii="Times New Roman" w:hAnsi="Times New Roman" w:cs="Times New Roman"/>
          <w:color w:val="auto"/>
        </w:rPr>
        <w:t>⑤负责养殖场环保设施的日常运行管理工作，制定事故防范措施。</w:t>
      </w:r>
    </w:p>
    <w:p>
      <w:pPr>
        <w:ind w:firstLine="480"/>
        <w:rPr>
          <w:rFonts w:hint="default" w:ascii="Times New Roman" w:hAnsi="Times New Roman" w:cs="Times New Roman"/>
          <w:color w:val="auto"/>
        </w:rPr>
      </w:pPr>
      <w:r>
        <w:rPr>
          <w:rFonts w:hint="default" w:ascii="Times New Roman" w:hAnsi="Times New Roman" w:cs="Times New Roman"/>
          <w:color w:val="auto"/>
        </w:rPr>
        <w:t>⑥负责对场内环保人员和附近居民进行环境保护教育，不断提高居民的环境意识和环保人员的业务素质。</w:t>
      </w:r>
    </w:p>
    <w:p>
      <w:pPr>
        <w:ind w:firstLine="480"/>
        <w:rPr>
          <w:rFonts w:hint="default" w:ascii="Times New Roman" w:hAnsi="Times New Roman" w:cs="Times New Roman"/>
          <w:color w:val="auto"/>
        </w:rPr>
      </w:pPr>
      <w:r>
        <w:rPr>
          <w:rFonts w:hint="default" w:ascii="Times New Roman" w:hAnsi="Times New Roman" w:cs="Times New Roman"/>
          <w:color w:val="auto"/>
        </w:rPr>
        <w:t>（2）排污口规范化设置</w:t>
      </w:r>
    </w:p>
    <w:p>
      <w:pPr>
        <w:ind w:firstLine="480"/>
        <w:rPr>
          <w:rFonts w:hint="default" w:ascii="Times New Roman" w:hAnsi="Times New Roman" w:cs="Times New Roman"/>
          <w:color w:val="auto"/>
        </w:rPr>
      </w:pPr>
      <w:r>
        <w:rPr>
          <w:rFonts w:hint="default" w:ascii="Times New Roman" w:hAnsi="Times New Roman" w:cs="Times New Roman"/>
          <w:color w:val="auto"/>
        </w:rPr>
        <w:t>废气排放口应进行规范化设计，具备采样、监测条件，排放口附近树立环保图形标志牌。按照国家环境保护总局制定的《〈环境保护图形标志〉实施细则（试行）》（环监[1996]463号）的规定，在排污口设立相应的环境保护图形标志牌。排污口环境保护图形标志见表9.1-1。</w:t>
      </w:r>
    </w:p>
    <w:p>
      <w:pPr>
        <w:spacing w:afterLines="30" w:line="500" w:lineRule="exact"/>
        <w:ind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表9.1-1                 排污口环境保护图形标志</w:t>
      </w:r>
    </w:p>
    <w:tbl>
      <w:tblPr>
        <w:tblStyle w:val="25"/>
        <w:tblW w:w="894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4119"/>
        <w:gridCol w:w="482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97" w:hRule="atLeast"/>
          <w:tblHeader/>
          <w:jc w:val="center"/>
        </w:trPr>
        <w:tc>
          <w:tcPr>
            <w:tcW w:w="4119" w:type="dxa"/>
            <w:vAlign w:val="center"/>
          </w:tcPr>
          <w:p>
            <w:pPr>
              <w:spacing w:line="240" w:lineRule="auto"/>
              <w:ind w:firstLine="0" w:firstLineChars="0"/>
              <w:jc w:val="center"/>
              <w:rPr>
                <w:rFonts w:hint="default" w:ascii="Times New Roman" w:hAnsi="Times New Roman" w:cs="Times New Roman"/>
                <w:b/>
                <w:snapToGrid w:val="0"/>
                <w:color w:val="auto"/>
                <w:sz w:val="21"/>
                <w:szCs w:val="21"/>
              </w:rPr>
            </w:pPr>
            <w:r>
              <w:rPr>
                <w:rFonts w:hint="default" w:ascii="Times New Roman" w:hAnsi="Times New Roman" w:cs="Times New Roman"/>
                <w:b/>
                <w:snapToGrid w:val="0"/>
                <w:color w:val="auto"/>
                <w:sz w:val="21"/>
                <w:szCs w:val="21"/>
              </w:rPr>
              <w:t>排放口名称</w:t>
            </w:r>
          </w:p>
        </w:tc>
        <w:tc>
          <w:tcPr>
            <w:tcW w:w="4827" w:type="dxa"/>
            <w:vAlign w:val="center"/>
          </w:tcPr>
          <w:p>
            <w:pPr>
              <w:spacing w:line="240" w:lineRule="auto"/>
              <w:ind w:firstLine="0" w:firstLineChars="0"/>
              <w:jc w:val="center"/>
              <w:rPr>
                <w:rFonts w:hint="default" w:ascii="Times New Roman" w:hAnsi="Times New Roman" w:cs="Times New Roman"/>
                <w:b/>
                <w:snapToGrid w:val="0"/>
                <w:color w:val="auto"/>
                <w:sz w:val="21"/>
                <w:szCs w:val="21"/>
              </w:rPr>
            </w:pPr>
            <w:r>
              <w:rPr>
                <w:rFonts w:hint="default" w:ascii="Times New Roman" w:hAnsi="Times New Roman" w:cs="Times New Roman"/>
                <w:b/>
                <w:snapToGrid w:val="0"/>
                <w:color w:val="auto"/>
                <w:sz w:val="21"/>
                <w:szCs w:val="21"/>
              </w:rPr>
              <w:t>图形标志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97" w:hRule="atLeast"/>
          <w:tblHeader/>
          <w:jc w:val="center"/>
        </w:trPr>
        <w:tc>
          <w:tcPr>
            <w:tcW w:w="4119" w:type="dxa"/>
            <w:vAlign w:val="center"/>
          </w:tcPr>
          <w:p>
            <w:pPr>
              <w:spacing w:line="240" w:lineRule="auto"/>
              <w:ind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排气筒</w:t>
            </w:r>
          </w:p>
        </w:tc>
        <w:tc>
          <w:tcPr>
            <w:tcW w:w="4827" w:type="dxa"/>
            <w:vAlign w:val="center"/>
          </w:tcPr>
          <w:p>
            <w:pPr>
              <w:spacing w:line="240" w:lineRule="auto"/>
              <w:ind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"http://www.biaozhi.net/enews/UploadFiles/smallImg/783.gif"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515620" cy="515620"/>
                  <wp:effectExtent l="0" t="0" r="17780" b="17780"/>
                  <wp:docPr id="385" name="图片 7" descr="点击看大图及详细资料">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图片 7" descr="点击看大图及详细资料"/>
                          <pic:cNvPicPr>
                            <a:picLocks noChangeAspect="1"/>
                          </pic:cNvPicPr>
                        </pic:nvPicPr>
                        <pic:blipFill>
                          <a:blip r:embed="rId68" r:link="rId69" cstate="print"/>
                          <a:stretch>
                            <a:fillRect/>
                          </a:stretch>
                        </pic:blipFill>
                        <pic:spPr>
                          <a:xfrm>
                            <a:off x="0" y="0"/>
                            <a:ext cx="515620" cy="51562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97" w:hRule="atLeast"/>
          <w:tblHeader/>
          <w:jc w:val="center"/>
        </w:trPr>
        <w:tc>
          <w:tcPr>
            <w:tcW w:w="4119" w:type="dxa"/>
            <w:vAlign w:val="center"/>
          </w:tcPr>
          <w:p>
            <w:pPr>
              <w:spacing w:line="240" w:lineRule="auto"/>
              <w:ind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噪声源</w:t>
            </w:r>
          </w:p>
        </w:tc>
        <w:tc>
          <w:tcPr>
            <w:tcW w:w="4827" w:type="dxa"/>
            <w:vAlign w:val="center"/>
          </w:tcPr>
          <w:p>
            <w:pPr>
              <w:spacing w:line="240" w:lineRule="auto"/>
              <w:ind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"http://www.biaozhi.net/enews/UploadFiles/smallImg/785.gif"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515620" cy="515620"/>
                  <wp:effectExtent l="0" t="0" r="17780" b="17780"/>
                  <wp:docPr id="386" name="图片 8" descr="点击看大图及详细资料">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8" descr="点击看大图及详细资料"/>
                          <pic:cNvPicPr>
                            <a:picLocks noChangeAspect="1"/>
                          </pic:cNvPicPr>
                        </pic:nvPicPr>
                        <pic:blipFill>
                          <a:blip r:embed="rId71" r:link="rId72" cstate="print"/>
                          <a:stretch>
                            <a:fillRect/>
                          </a:stretch>
                        </pic:blipFill>
                        <pic:spPr>
                          <a:xfrm>
                            <a:off x="0" y="0"/>
                            <a:ext cx="515620" cy="51562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97" w:hRule="atLeast"/>
          <w:tblHeader/>
          <w:jc w:val="center"/>
        </w:trPr>
        <w:tc>
          <w:tcPr>
            <w:tcW w:w="4119" w:type="dxa"/>
            <w:vAlign w:val="center"/>
          </w:tcPr>
          <w:p>
            <w:pPr>
              <w:spacing w:line="240" w:lineRule="auto"/>
              <w:ind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固废堆放场所</w:t>
            </w:r>
          </w:p>
        </w:tc>
        <w:tc>
          <w:tcPr>
            <w:tcW w:w="4827" w:type="dxa"/>
            <w:vAlign w:val="center"/>
          </w:tcPr>
          <w:p>
            <w:pPr>
              <w:spacing w:line="240" w:lineRule="auto"/>
              <w:ind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INCLUDEPICTURE  "http://www.biaozhi.net/enews/UploadFiles/smallImg/1903.jpg" \* MERGEFORMATINET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505460" cy="505460"/>
                  <wp:effectExtent l="0" t="0" r="8890" b="8890"/>
                  <wp:docPr id="384" name="图片 9" descr="点击看大图及详细资料">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9" descr="点击看大图及详细资料"/>
                          <pic:cNvPicPr>
                            <a:picLocks noChangeAspect="1"/>
                          </pic:cNvPicPr>
                        </pic:nvPicPr>
                        <pic:blipFill>
                          <a:blip r:embed="rId74" r:link="rId75" cstate="print"/>
                          <a:stretch>
                            <a:fillRect/>
                          </a:stretch>
                        </pic:blipFill>
                        <pic:spPr>
                          <a:xfrm>
                            <a:off x="0" y="0"/>
                            <a:ext cx="505460" cy="50546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97" w:hRule="atLeast"/>
          <w:tblHeader/>
          <w:jc w:val="center"/>
        </w:trPr>
        <w:tc>
          <w:tcPr>
            <w:tcW w:w="4119" w:type="dxa"/>
            <w:vAlign w:val="center"/>
          </w:tcPr>
          <w:p>
            <w:pPr>
              <w:spacing w:line="240" w:lineRule="auto"/>
              <w:ind w:firstLine="0" w:firstLineChars="0"/>
              <w:jc w:val="center"/>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危险废物</w:t>
            </w:r>
          </w:p>
        </w:tc>
        <w:tc>
          <w:tcPr>
            <w:tcW w:w="4827"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drawing>
                <wp:inline distT="0" distB="0" distL="114300" distR="114300">
                  <wp:extent cx="515620" cy="577850"/>
                  <wp:effectExtent l="0" t="0" r="17780" b="12700"/>
                  <wp:docPr id="38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10"/>
                          <pic:cNvPicPr>
                            <a:picLocks noChangeAspect="1"/>
                          </pic:cNvPicPr>
                        </pic:nvPicPr>
                        <pic:blipFill>
                          <a:blip r:embed="rId76" cstate="print"/>
                          <a:stretch>
                            <a:fillRect/>
                          </a:stretch>
                        </pic:blipFill>
                        <pic:spPr>
                          <a:xfrm>
                            <a:off x="0" y="0"/>
                            <a:ext cx="515620" cy="577850"/>
                          </a:xfrm>
                          <a:prstGeom prst="rect">
                            <a:avLst/>
                          </a:prstGeom>
                          <a:noFill/>
                          <a:ln>
                            <a:noFill/>
                          </a:ln>
                        </pic:spPr>
                      </pic:pic>
                    </a:graphicData>
                  </a:graphic>
                </wp:inline>
              </w:drawing>
            </w:r>
          </w:p>
        </w:tc>
      </w:tr>
    </w:tbl>
    <w:p>
      <w:pPr>
        <w:ind w:firstLine="480"/>
        <w:rPr>
          <w:rFonts w:hint="default" w:ascii="Times New Roman" w:hAnsi="Times New Roman" w:cs="Times New Roman"/>
          <w:snapToGrid w:val="0"/>
          <w:color w:val="auto"/>
        </w:rPr>
      </w:pPr>
      <w:r>
        <w:rPr>
          <w:rFonts w:hint="default" w:ascii="Times New Roman" w:hAnsi="Times New Roman" w:cs="Times New Roman"/>
          <w:snapToGrid w:val="0"/>
          <w:color w:val="auto"/>
        </w:rPr>
        <w:t>危险废物及生活垃圾堆放场所，必须有防火、防腐蚀、防流失等措施，并应设置标志牌。</w:t>
      </w:r>
    </w:p>
    <w:p>
      <w:pPr>
        <w:keepNext/>
        <w:keepLines/>
        <w:ind w:firstLine="0" w:firstLineChars="0"/>
        <w:outlineLvl w:val="2"/>
        <w:rPr>
          <w:rFonts w:hint="default" w:ascii="Times New Roman" w:hAnsi="Times New Roman" w:eastAsia="黑体" w:cs="Times New Roman"/>
          <w:bCs/>
          <w:color w:val="auto"/>
        </w:rPr>
      </w:pPr>
      <w:bookmarkStart w:id="742" w:name="_Toc468115482"/>
      <w:bookmarkStart w:id="743" w:name="_Toc26591"/>
      <w:r>
        <w:rPr>
          <w:rFonts w:hint="default" w:ascii="Times New Roman" w:hAnsi="Times New Roman" w:eastAsia="黑体" w:cs="Times New Roman"/>
          <w:bCs/>
          <w:color w:val="auto"/>
        </w:rPr>
        <w:t>9.1.2 环境管理计划</w:t>
      </w:r>
      <w:bookmarkEnd w:id="742"/>
      <w:bookmarkEnd w:id="743"/>
    </w:p>
    <w:p>
      <w:pPr>
        <w:ind w:firstLine="480"/>
        <w:rPr>
          <w:rFonts w:hint="default" w:ascii="Times New Roman" w:hAnsi="Times New Roman" w:cs="Times New Roman"/>
          <w:bCs/>
          <w:snapToGrid w:val="0"/>
          <w:color w:val="auto"/>
        </w:rPr>
      </w:pPr>
      <w:r>
        <w:rPr>
          <w:rFonts w:hint="default" w:ascii="Times New Roman" w:hAnsi="Times New Roman" w:cs="Times New Roman"/>
          <w:bCs/>
          <w:snapToGrid w:val="0"/>
          <w:color w:val="auto"/>
        </w:rPr>
        <w:t>本项目环境管理计划见表9.1-2。</w:t>
      </w:r>
    </w:p>
    <w:p>
      <w:pPr>
        <w:spacing w:afterLines="30" w:line="500" w:lineRule="exact"/>
        <w:ind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表9.1-2                    本项目环境管理计划</w:t>
      </w:r>
    </w:p>
    <w:tbl>
      <w:tblPr>
        <w:tblStyle w:val="25"/>
        <w:tblW w:w="894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7"/>
        <w:gridCol w:w="1178"/>
        <w:gridCol w:w="5599"/>
        <w:gridCol w:w="172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625" w:type="dxa"/>
            <w:gridSpan w:val="2"/>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环境问题</w:t>
            </w:r>
          </w:p>
        </w:tc>
        <w:tc>
          <w:tcPr>
            <w:tcW w:w="5599"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管理措施</w:t>
            </w:r>
          </w:p>
        </w:tc>
        <w:tc>
          <w:tcPr>
            <w:tcW w:w="1722"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实施机构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restart"/>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施</w:t>
            </w:r>
          </w:p>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工</w:t>
            </w:r>
          </w:p>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期</w:t>
            </w:r>
          </w:p>
        </w:tc>
        <w:tc>
          <w:tcPr>
            <w:tcW w:w="1178"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粉尘、扬尘污染</w:t>
            </w:r>
          </w:p>
        </w:tc>
        <w:tc>
          <w:tcPr>
            <w:tcW w:w="5599"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1.采取合理的措施，包括施工场地洒水，以降低施工对周围大气TSP污染，特别靠近敏感点的地方；</w:t>
            </w:r>
          </w:p>
          <w:p>
            <w:pPr>
              <w:spacing w:line="240" w:lineRule="auto"/>
              <w:ind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2.运送建筑材料的车辆须用帆布遮盖；</w:t>
            </w:r>
          </w:p>
          <w:p>
            <w:pPr>
              <w:spacing w:line="240" w:lineRule="auto"/>
              <w:ind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3.搅拌设备需良好密封并将安装除尘装置；</w:t>
            </w:r>
          </w:p>
        </w:tc>
        <w:tc>
          <w:tcPr>
            <w:tcW w:w="1722"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业主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178"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噪声</w:t>
            </w:r>
          </w:p>
        </w:tc>
        <w:tc>
          <w:tcPr>
            <w:tcW w:w="5599" w:type="dxa"/>
            <w:vAlign w:val="center"/>
          </w:tcPr>
          <w:p>
            <w:pPr>
              <w:spacing w:line="240" w:lineRule="auto"/>
              <w:ind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1.严格执行《建筑施工场界环境噪声排放标准》（GB12523-2011），确保施工期间场界噪声达标；</w:t>
            </w:r>
          </w:p>
          <w:p>
            <w:pPr>
              <w:spacing w:line="240" w:lineRule="auto"/>
              <w:ind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2.加强对机械和车辆的维修，保持其较低噪声水平；</w:t>
            </w:r>
          </w:p>
        </w:tc>
        <w:tc>
          <w:tcPr>
            <w:tcW w:w="1722"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业主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178"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固体废物</w:t>
            </w:r>
          </w:p>
        </w:tc>
        <w:tc>
          <w:tcPr>
            <w:tcW w:w="5599" w:type="dxa"/>
            <w:vAlign w:val="center"/>
          </w:tcPr>
          <w:p>
            <w:pPr>
              <w:spacing w:line="240" w:lineRule="auto"/>
              <w:ind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1.开挖土石方就近填坑筑路，实现挖填平衡；</w:t>
            </w:r>
          </w:p>
          <w:p>
            <w:pPr>
              <w:spacing w:line="240" w:lineRule="auto"/>
              <w:ind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2.多余建筑垃圾、生活垃圾及时清运；</w:t>
            </w:r>
          </w:p>
        </w:tc>
        <w:tc>
          <w:tcPr>
            <w:tcW w:w="1722"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业主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447" w:type="dxa"/>
            <w:vMerge w:val="restart"/>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营</w:t>
            </w:r>
          </w:p>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运</w:t>
            </w:r>
          </w:p>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期</w:t>
            </w:r>
          </w:p>
        </w:tc>
        <w:tc>
          <w:tcPr>
            <w:tcW w:w="1178"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废气污染</w:t>
            </w:r>
          </w:p>
        </w:tc>
        <w:tc>
          <w:tcPr>
            <w:tcW w:w="5599"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加强管理，保证项目废气处理设施正常运行。</w:t>
            </w:r>
          </w:p>
        </w:tc>
        <w:tc>
          <w:tcPr>
            <w:tcW w:w="1722"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业主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447"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178"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水质污染</w:t>
            </w:r>
          </w:p>
        </w:tc>
        <w:tc>
          <w:tcPr>
            <w:tcW w:w="5599"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加强管理，保证污水处理设施正常运行。</w:t>
            </w:r>
          </w:p>
        </w:tc>
        <w:tc>
          <w:tcPr>
            <w:tcW w:w="1722"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业主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447"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178"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噪声污染</w:t>
            </w:r>
          </w:p>
        </w:tc>
        <w:tc>
          <w:tcPr>
            <w:tcW w:w="5599"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加强管理，保证营运期噪声达标排放。</w:t>
            </w:r>
          </w:p>
        </w:tc>
        <w:tc>
          <w:tcPr>
            <w:tcW w:w="1722"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业主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178"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固体废物</w:t>
            </w:r>
          </w:p>
        </w:tc>
        <w:tc>
          <w:tcPr>
            <w:tcW w:w="5599"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加强管理，保证猪粪、医疗固废、废脱硫剂、生活垃圾及病死猪尸体等分开收集处置。</w:t>
            </w:r>
          </w:p>
        </w:tc>
        <w:tc>
          <w:tcPr>
            <w:tcW w:w="1722"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业主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178"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土壤污染</w:t>
            </w:r>
          </w:p>
        </w:tc>
        <w:tc>
          <w:tcPr>
            <w:tcW w:w="5599"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按照环境监测技术规范及国家环保局颁布的监测标准、方法执行。</w:t>
            </w:r>
          </w:p>
        </w:tc>
        <w:tc>
          <w:tcPr>
            <w:tcW w:w="1722"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有资质的环境监测机构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dxa"/>
            <w:vMerge w:val="continue"/>
            <w:vAlign w:val="center"/>
          </w:tcPr>
          <w:p>
            <w:pPr>
              <w:spacing w:line="240" w:lineRule="auto"/>
              <w:ind w:firstLine="0" w:firstLineChars="0"/>
              <w:jc w:val="center"/>
              <w:rPr>
                <w:rFonts w:hint="default" w:ascii="Times New Roman" w:hAnsi="Times New Roman" w:cs="Times New Roman"/>
                <w:bCs/>
                <w:color w:val="auto"/>
                <w:sz w:val="21"/>
                <w:szCs w:val="21"/>
              </w:rPr>
            </w:pPr>
          </w:p>
        </w:tc>
        <w:tc>
          <w:tcPr>
            <w:tcW w:w="1178"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环境监测</w:t>
            </w:r>
          </w:p>
        </w:tc>
        <w:tc>
          <w:tcPr>
            <w:tcW w:w="5599"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按照环境监测技术规范及国家环保局颁布的监测标准、方法执行。</w:t>
            </w:r>
          </w:p>
        </w:tc>
        <w:tc>
          <w:tcPr>
            <w:tcW w:w="1722" w:type="dxa"/>
            <w:vAlign w:val="center"/>
          </w:tcPr>
          <w:p>
            <w:pPr>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有资质的环境监测机构</w:t>
            </w:r>
          </w:p>
        </w:tc>
      </w:tr>
    </w:tbl>
    <w:p>
      <w:pPr>
        <w:keepNext/>
        <w:keepLines/>
        <w:ind w:firstLine="0" w:firstLineChars="0"/>
        <w:outlineLvl w:val="2"/>
        <w:rPr>
          <w:rFonts w:hint="default" w:ascii="Times New Roman" w:hAnsi="Times New Roman" w:eastAsia="黑体" w:cs="Times New Roman"/>
          <w:bCs/>
          <w:color w:val="auto"/>
        </w:rPr>
      </w:pPr>
      <w:bookmarkStart w:id="744" w:name="_Toc468115483"/>
      <w:bookmarkStart w:id="745" w:name="_Toc17997"/>
      <w:r>
        <w:rPr>
          <w:rFonts w:hint="default" w:ascii="Times New Roman" w:hAnsi="Times New Roman" w:eastAsia="黑体" w:cs="Times New Roman"/>
          <w:bCs/>
          <w:color w:val="auto"/>
        </w:rPr>
        <w:t>9.1.3 环境管理制度</w:t>
      </w:r>
      <w:bookmarkEnd w:id="744"/>
      <w:bookmarkEnd w:id="745"/>
    </w:p>
    <w:p>
      <w:pPr>
        <w:ind w:firstLine="480"/>
        <w:rPr>
          <w:rFonts w:hint="default" w:ascii="Times New Roman" w:hAnsi="Times New Roman" w:cs="Times New Roman"/>
          <w:bCs/>
          <w:color w:val="auto"/>
        </w:rPr>
      </w:pPr>
      <w:r>
        <w:rPr>
          <w:rFonts w:hint="default" w:ascii="Times New Roman" w:hAnsi="Times New Roman" w:cs="Times New Roman"/>
          <w:bCs/>
          <w:color w:val="auto"/>
        </w:rPr>
        <w:t>建设单位应制定一系列规章制度以促进环境保护工作，使环境保护工作规范化和程序化。根据需要，建议制定的环境保护工作条例有：</w:t>
      </w:r>
    </w:p>
    <w:p>
      <w:pPr>
        <w:ind w:firstLine="480"/>
        <w:rPr>
          <w:rFonts w:hint="default" w:ascii="Times New Roman" w:hAnsi="Times New Roman" w:cs="Times New Roman"/>
          <w:bCs/>
          <w:color w:val="auto"/>
        </w:rPr>
      </w:pPr>
      <w:r>
        <w:rPr>
          <w:rFonts w:hint="default" w:ascii="Times New Roman" w:hAnsi="Times New Roman" w:cs="Times New Roman"/>
          <w:bCs/>
          <w:color w:val="auto"/>
        </w:rPr>
        <w:t>（1）环境保护职责管理制度</w:t>
      </w:r>
    </w:p>
    <w:p>
      <w:pPr>
        <w:ind w:firstLine="480"/>
        <w:rPr>
          <w:rFonts w:hint="default" w:ascii="Times New Roman" w:hAnsi="Times New Roman" w:cs="Times New Roman"/>
          <w:bCs/>
          <w:color w:val="auto"/>
        </w:rPr>
      </w:pPr>
      <w:r>
        <w:rPr>
          <w:rFonts w:hint="default" w:ascii="Times New Roman" w:hAnsi="Times New Roman" w:cs="Times New Roman"/>
          <w:bCs/>
          <w:color w:val="auto"/>
        </w:rPr>
        <w:t>（2）废水、废气、固体废物排放管理制度</w:t>
      </w:r>
    </w:p>
    <w:p>
      <w:pPr>
        <w:ind w:firstLine="480"/>
        <w:rPr>
          <w:rFonts w:hint="default" w:ascii="Times New Roman" w:hAnsi="Times New Roman" w:cs="Times New Roman"/>
          <w:bCs/>
          <w:color w:val="auto"/>
        </w:rPr>
      </w:pPr>
      <w:r>
        <w:rPr>
          <w:rFonts w:hint="default" w:ascii="Times New Roman" w:hAnsi="Times New Roman" w:cs="Times New Roman"/>
          <w:bCs/>
          <w:color w:val="auto"/>
        </w:rPr>
        <w:t>（3）环保设施处理装置日常运行管理制度</w:t>
      </w:r>
    </w:p>
    <w:p>
      <w:pPr>
        <w:ind w:firstLine="480"/>
        <w:rPr>
          <w:rFonts w:hint="default" w:ascii="Times New Roman" w:hAnsi="Times New Roman" w:cs="Times New Roman"/>
          <w:bCs/>
          <w:color w:val="auto"/>
        </w:rPr>
      </w:pPr>
      <w:r>
        <w:rPr>
          <w:rFonts w:hint="default" w:ascii="Times New Roman" w:hAnsi="Times New Roman" w:cs="Times New Roman"/>
          <w:bCs/>
          <w:color w:val="auto"/>
        </w:rPr>
        <w:t>（4）排污情况报告制度</w:t>
      </w:r>
    </w:p>
    <w:p>
      <w:pPr>
        <w:ind w:firstLine="480"/>
        <w:rPr>
          <w:rFonts w:hint="default" w:ascii="Times New Roman" w:hAnsi="Times New Roman" w:cs="Times New Roman"/>
          <w:bCs/>
          <w:color w:val="auto"/>
        </w:rPr>
      </w:pPr>
      <w:r>
        <w:rPr>
          <w:rFonts w:hint="default" w:ascii="Times New Roman" w:hAnsi="Times New Roman" w:cs="Times New Roman"/>
          <w:bCs/>
          <w:color w:val="auto"/>
        </w:rPr>
        <w:t>（5）污染事故处理制度</w:t>
      </w:r>
    </w:p>
    <w:p>
      <w:pPr>
        <w:ind w:firstLine="480"/>
        <w:rPr>
          <w:rFonts w:hint="default" w:ascii="Times New Roman" w:hAnsi="Times New Roman" w:cs="Times New Roman"/>
          <w:bCs/>
          <w:color w:val="auto"/>
        </w:rPr>
      </w:pPr>
      <w:r>
        <w:rPr>
          <w:rFonts w:hint="default" w:ascii="Times New Roman" w:hAnsi="Times New Roman" w:cs="Times New Roman"/>
          <w:bCs/>
          <w:color w:val="auto"/>
        </w:rPr>
        <w:t>（6）环保教育制度</w:t>
      </w:r>
    </w:p>
    <w:p>
      <w:pPr>
        <w:ind w:firstLine="480"/>
        <w:rPr>
          <w:rFonts w:hint="default" w:ascii="Times New Roman" w:hAnsi="Times New Roman" w:cs="Times New Roman"/>
          <w:bCs/>
          <w:color w:val="auto"/>
        </w:rPr>
      </w:pPr>
      <w:r>
        <w:rPr>
          <w:rFonts w:hint="default" w:ascii="Times New Roman" w:hAnsi="Times New Roman" w:cs="Times New Roman"/>
          <w:bCs/>
          <w:color w:val="auto"/>
        </w:rPr>
        <w:t>（7）沼液输送系统制度化、规范化</w:t>
      </w:r>
    </w:p>
    <w:p>
      <w:pPr>
        <w:ind w:firstLine="480"/>
        <w:rPr>
          <w:rFonts w:hint="default" w:ascii="Times New Roman" w:hAnsi="Times New Roman" w:cs="Times New Roman"/>
          <w:bCs/>
          <w:color w:val="auto"/>
        </w:rPr>
      </w:pPr>
      <w:r>
        <w:rPr>
          <w:rFonts w:hint="default" w:ascii="Times New Roman" w:hAnsi="Times New Roman" w:cs="Times New Roman"/>
          <w:bCs/>
          <w:color w:val="auto"/>
        </w:rPr>
        <w:t>（8）建立轮作制度、施肥进行企业化管理</w:t>
      </w:r>
    </w:p>
    <w:p>
      <w:pPr>
        <w:ind w:firstLine="480"/>
        <w:rPr>
          <w:rFonts w:hint="default" w:ascii="Times New Roman" w:hAnsi="Times New Roman" w:cs="Times New Roman"/>
          <w:bCs/>
          <w:color w:val="auto"/>
        </w:rPr>
      </w:pPr>
      <w:r>
        <w:rPr>
          <w:rFonts w:hint="default" w:ascii="Times New Roman" w:hAnsi="Times New Roman" w:cs="Times New Roman"/>
          <w:bCs/>
          <w:color w:val="auto"/>
        </w:rPr>
        <w:t>（9）场外（沼液输送、有机肥外售）环保管理制度</w:t>
      </w:r>
    </w:p>
    <w:p>
      <w:pPr>
        <w:pStyle w:val="4"/>
        <w:numPr>
          <w:ilvl w:val="1"/>
          <w:numId w:val="0"/>
        </w:numPr>
        <w:tabs>
          <w:tab w:val="left" w:pos="105"/>
        </w:tabs>
        <w:jc w:val="left"/>
        <w:textAlignment w:val="baseline"/>
        <w:rPr>
          <w:rFonts w:hint="default" w:ascii="Times New Roman" w:hAnsi="Times New Roman" w:cs="Times New Roman"/>
          <w:color w:val="auto"/>
          <w:sz w:val="24"/>
          <w:szCs w:val="24"/>
        </w:rPr>
      </w:pPr>
      <w:bookmarkStart w:id="746" w:name="_Toc19340"/>
      <w:bookmarkStart w:id="747" w:name="_Toc4460"/>
      <w:r>
        <w:rPr>
          <w:rFonts w:hint="default" w:ascii="Times New Roman" w:hAnsi="Times New Roman" w:cs="Times New Roman"/>
          <w:color w:val="auto"/>
          <w:sz w:val="24"/>
          <w:szCs w:val="24"/>
        </w:rPr>
        <w:t>9.2污染物排放清单</w:t>
      </w:r>
      <w:bookmarkEnd w:id="746"/>
      <w:bookmarkEnd w:id="747"/>
    </w:p>
    <w:p>
      <w:pPr>
        <w:keepNext/>
        <w:keepLines/>
        <w:ind w:firstLine="480"/>
        <w:outlineLvl w:val="2"/>
        <w:rPr>
          <w:rFonts w:hint="default" w:ascii="Times New Roman" w:hAnsi="Times New Roman" w:eastAsia="黑体" w:cs="Times New Roman"/>
          <w:bCs/>
          <w:color w:val="auto"/>
        </w:rPr>
      </w:pPr>
      <w:r>
        <w:rPr>
          <w:rFonts w:hint="default" w:ascii="Times New Roman" w:hAnsi="Times New Roman" w:eastAsia="黑体" w:cs="Times New Roman"/>
          <w:bCs/>
          <w:color w:val="auto"/>
        </w:rPr>
        <w:t>9.2.1项目组成</w:t>
      </w:r>
    </w:p>
    <w:p>
      <w:pPr>
        <w:pStyle w:val="20"/>
        <w:spacing w:line="360" w:lineRule="auto"/>
        <w:ind w:firstLine="480"/>
        <w:rPr>
          <w:rFonts w:hint="default" w:ascii="Times New Roman" w:hAnsi="Times New Roman" w:cs="Times New Roman"/>
          <w:bCs/>
          <w:color w:val="auto"/>
        </w:rPr>
      </w:pPr>
      <w:r>
        <w:rPr>
          <w:rFonts w:hint="default" w:ascii="Times New Roman" w:hAnsi="Times New Roman" w:cs="Times New Roman"/>
          <w:bCs/>
          <w:color w:val="auto"/>
        </w:rPr>
        <w:t>本项目组成情况见表9.2-1、表9.2-2。</w:t>
      </w:r>
    </w:p>
    <w:p>
      <w:pPr>
        <w:spacing w:afterLines="30" w:line="500" w:lineRule="exact"/>
        <w:ind w:firstLine="482"/>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表9.2-1                  项目主要建设内容</w:t>
      </w:r>
    </w:p>
    <w:tbl>
      <w:tblPr>
        <w:tblStyle w:val="25"/>
        <w:tblW w:w="930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061"/>
        <w:gridCol w:w="426"/>
        <w:gridCol w:w="1128"/>
        <w:gridCol w:w="62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8"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项目组成</w:t>
            </w:r>
          </w:p>
        </w:tc>
        <w:tc>
          <w:tcPr>
            <w:tcW w:w="7820" w:type="dxa"/>
            <w:gridSpan w:val="3"/>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61"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主体工程</w:t>
            </w: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怀孕舍</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新建：33舍，规格29.36m×15m，总建筑面积14533.2m</w:t>
            </w:r>
            <w:r>
              <w:rPr>
                <w:rFonts w:hint="default" w:ascii="Times New Roman" w:hAnsi="Times New Roman" w:cs="Times New Roman"/>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哺乳舍</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新建：29舍，规格44.5m×14.2m，总建筑面积18325.1m</w:t>
            </w:r>
            <w:r>
              <w:rPr>
                <w:rFonts w:hint="default" w:ascii="Times New Roman" w:hAnsi="Times New Roman" w:cs="Times New Roman"/>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后备舍</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新建：8舍，规格31.5m×13.2m，总建筑面积3326.4m</w:t>
            </w:r>
            <w:r>
              <w:rPr>
                <w:rFonts w:hint="default" w:ascii="Times New Roman" w:hAnsi="Times New Roman" w:cs="Times New Roman"/>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061"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辅助工程</w:t>
            </w: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综合门卫</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新建：1栋，建筑面积350m</w:t>
            </w:r>
            <w:r>
              <w:rPr>
                <w:rFonts w:hint="default" w:ascii="Times New Roman" w:hAnsi="Times New Roman" w:cs="Times New Roman"/>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427"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生活区</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新建：1栋，建筑面积共612.54m</w:t>
            </w:r>
            <w:r>
              <w:rPr>
                <w:rFonts w:hint="default" w:ascii="Times New Roman" w:hAnsi="Times New Roman" w:cs="Times New Roman"/>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销售区</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新建：1栋，建筑面积共245m</w:t>
            </w:r>
            <w:r>
              <w:rPr>
                <w:rFonts w:hint="default" w:ascii="Times New Roman" w:hAnsi="Times New Roman" w:cs="Times New Roman"/>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饲料</w:t>
            </w:r>
            <w:r>
              <w:rPr>
                <w:rFonts w:hint="default" w:ascii="Times New Roman" w:hAnsi="Times New Roman" w:cs="Times New Roman"/>
                <w:color w:val="auto"/>
                <w:sz w:val="21"/>
                <w:szCs w:val="21"/>
                <w:lang w:eastAsia="zh-CN"/>
              </w:rPr>
              <w:t>中转</w:t>
            </w:r>
            <w:r>
              <w:rPr>
                <w:rFonts w:hint="default" w:ascii="Times New Roman" w:hAnsi="Times New Roman" w:cs="Times New Roman"/>
                <w:color w:val="auto"/>
                <w:sz w:val="21"/>
                <w:szCs w:val="21"/>
              </w:rPr>
              <w:t>站</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新建：1栋1层，建筑面积450m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 xml:space="preserve">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环保值班室</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新建：1栋1层，建筑面积253.4m</w:t>
            </w:r>
            <w:r>
              <w:rPr>
                <w:rFonts w:hint="default" w:ascii="Times New Roman" w:hAnsi="Times New Roman" w:cs="Times New Roman"/>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无害化处理区</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新建：1间，建筑面积200m</w:t>
            </w:r>
            <w:r>
              <w:rPr>
                <w:rFonts w:hint="default" w:ascii="Times New Roman" w:hAnsi="Times New Roman" w:cs="Times New Roman"/>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收集池</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vertAlign w:val="superscript"/>
              </w:rPr>
            </w:pPr>
            <w:r>
              <w:rPr>
                <w:rFonts w:hint="default" w:ascii="Times New Roman" w:hAnsi="Times New Roman" w:cs="Times New Roman"/>
                <w:color w:val="auto"/>
                <w:sz w:val="21"/>
                <w:szCs w:val="21"/>
              </w:rPr>
              <w:t>新建：1个，规格：直径20m，深4m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固粪处理区</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新建，1个；规格：14m×42m，建筑面积588m</w:t>
            </w:r>
            <w:r>
              <w:rPr>
                <w:rFonts w:hint="default" w:ascii="Times New Roman" w:hAnsi="Times New Roman" w:cs="Times New Roman"/>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黑膜沼气池</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新建：1个，容积12293m</w:t>
            </w:r>
            <w:r>
              <w:rPr>
                <w:rFonts w:hint="default" w:ascii="Times New Roman" w:hAnsi="Times New Roman" w:cs="Times New Roman"/>
                <w:color w:val="auto"/>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54" w:type="dxa"/>
            <w:gridSpan w:val="2"/>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沼液存储池</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新建：1个，容积41500m</w:t>
            </w:r>
            <w:r>
              <w:rPr>
                <w:rFonts w:hint="default" w:ascii="Times New Roman" w:hAnsi="Times New Roman" w:cs="Times New Roman"/>
                <w:color w:val="auto"/>
                <w:sz w:val="21"/>
                <w:szCs w:val="21"/>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061"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公用工程</w:t>
            </w: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给水工程</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本项目用水由自备井供给，出水约为40m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/h，单个水井配置1个蓄水池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排水工程</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本项目排水采用雨污分流，雨水经雨水管道排到厂区外部，养殖废水和生活污水经场区内黑膜沼气池处理后，沼液作为农肥综合利用，不外排。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供电系统</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本项目电源由清丰县韩村镇供电所接入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b/>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b/>
                <w:color w:val="auto"/>
                <w:sz w:val="21"/>
                <w:szCs w:val="21"/>
              </w:rPr>
            </w:pP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供热工程</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项目猪舍冬季取暖主要是通过猪舍墙体保温材料与外部断绝热交换，猪舍内部通风通过全热交换器进行；哺乳舍采用红外线灯加热；人员冬季取暖采用空调制暖；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b/>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b/>
                <w:color w:val="auto"/>
                <w:sz w:val="21"/>
                <w:szCs w:val="21"/>
              </w:rPr>
            </w:pP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沼气综合利用系统</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新建：本项目沼气产生的沼气经配套的沼气净化装置净化后用于食堂</w:t>
            </w:r>
            <w:r>
              <w:rPr>
                <w:rFonts w:hint="default" w:ascii="Times New Roman" w:hAnsi="Times New Roman" w:cs="Times New Roman"/>
                <w:color w:val="auto"/>
                <w:sz w:val="21"/>
                <w:szCs w:val="21"/>
                <w:lang w:eastAsia="zh-CN"/>
              </w:rPr>
              <w:t>、</w:t>
            </w:r>
            <w:r>
              <w:rPr>
                <w:rFonts w:hint="eastAsia" w:cs="Times New Roman"/>
                <w:color w:val="auto"/>
                <w:sz w:val="21"/>
                <w:szCs w:val="21"/>
                <w:lang w:val="en-US" w:eastAsia="zh-CN"/>
              </w:rPr>
              <w:t>沼气热水炉</w:t>
            </w:r>
            <w:r>
              <w:rPr>
                <w:rFonts w:hint="default" w:ascii="Times New Roman" w:hAnsi="Times New Roman" w:cs="Times New Roman"/>
                <w:color w:val="auto"/>
                <w:sz w:val="21"/>
                <w:szCs w:val="21"/>
              </w:rPr>
              <w:t>。</w:t>
            </w:r>
            <w:r>
              <w:rPr>
                <w:rFonts w:hint="default" w:ascii="Times New Roman" w:hAnsi="Times New Roman" w:cs="Times New Roman"/>
                <w:bCs/>
                <w:color w:val="auto"/>
                <w:sz w:val="21"/>
                <w:szCs w:val="21"/>
              </w:rPr>
              <w:t>配套沼气净化装置包括：1套脱硫装置、1套脱水装置、1套阻火装置。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b/>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b/>
                <w:color w:val="auto"/>
                <w:sz w:val="21"/>
                <w:szCs w:val="21"/>
              </w:rPr>
            </w:pPr>
          </w:p>
        </w:tc>
        <w:tc>
          <w:tcPr>
            <w:tcW w:w="1554" w:type="dxa"/>
            <w:gridSpan w:val="2"/>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沼液利用管网系统</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vertAlign w:val="superscript"/>
              </w:rPr>
            </w:pPr>
            <w:r>
              <w:rPr>
                <w:rFonts w:hint="default" w:ascii="Times New Roman" w:hAnsi="Times New Roman" w:cs="Times New Roman"/>
                <w:color w:val="auto"/>
                <w:sz w:val="21"/>
                <w:szCs w:val="21"/>
                <w:lang w:eastAsia="zh-CN"/>
              </w:rPr>
              <w:t>沼液存储池</w:t>
            </w:r>
            <w:r>
              <w:rPr>
                <w:rFonts w:hint="default" w:ascii="Times New Roman" w:hAnsi="Times New Roman" w:cs="Times New Roman"/>
                <w:color w:val="auto"/>
                <w:sz w:val="21"/>
                <w:szCs w:val="21"/>
              </w:rPr>
              <w:t>1个，容积41500m</w:t>
            </w:r>
            <w:r>
              <w:rPr>
                <w:rFonts w:hint="default" w:ascii="Times New Roman" w:hAnsi="Times New Roman" w:cs="Times New Roman"/>
                <w:color w:val="auto"/>
                <w:sz w:val="21"/>
                <w:szCs w:val="21"/>
                <w:vertAlign w:val="superscript"/>
              </w:rPr>
              <w:t>3</w:t>
            </w:r>
          </w:p>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沼液由</w:t>
            </w:r>
            <w:r>
              <w:rPr>
                <w:rFonts w:hint="default" w:ascii="Times New Roman" w:hAnsi="Times New Roman" w:cs="Times New Roman"/>
                <w:color w:val="auto"/>
                <w:sz w:val="21"/>
                <w:szCs w:val="21"/>
                <w:lang w:eastAsia="zh-CN"/>
              </w:rPr>
              <w:t>沼液存储池</w:t>
            </w:r>
            <w:r>
              <w:rPr>
                <w:rFonts w:hint="default" w:ascii="Times New Roman" w:hAnsi="Times New Roman" w:cs="Times New Roman"/>
                <w:color w:val="auto"/>
                <w:sz w:val="21"/>
                <w:szCs w:val="21"/>
              </w:rPr>
              <w:t>引至施肥农田，主干管长度为1.3km，每米管网左右各辐射75m，项目使用的管材为灰色不透光PVC管，管道挖深在冻土层15cm以下。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061"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环保工程</w:t>
            </w:r>
          </w:p>
        </w:tc>
        <w:tc>
          <w:tcPr>
            <w:tcW w:w="426"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112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废气处理</w:t>
            </w:r>
          </w:p>
        </w:tc>
        <w:tc>
          <w:tcPr>
            <w:tcW w:w="6266" w:type="dxa"/>
            <w:vAlign w:val="center"/>
          </w:tcPr>
          <w:p>
            <w:pPr>
              <w:spacing w:line="240" w:lineRule="auto"/>
              <w:ind w:firstLine="0" w:firstLineChars="0"/>
              <w:jc w:val="center"/>
              <w:rPr>
                <w:rFonts w:hint="default" w:ascii="Times New Roman" w:hAnsi="Times New Roman" w:cs="Times New Roman"/>
                <w:b/>
                <w:color w:val="auto"/>
                <w:sz w:val="21"/>
                <w:szCs w:val="21"/>
                <w:u w:val="single"/>
              </w:rPr>
            </w:pPr>
            <w:r>
              <w:rPr>
                <w:rFonts w:hint="default" w:ascii="Times New Roman" w:hAnsi="Times New Roman" w:cs="Times New Roman"/>
                <w:bCs/>
                <w:color w:val="auto"/>
                <w:sz w:val="21"/>
                <w:szCs w:val="21"/>
              </w:rPr>
              <w:t>猪舍：控制饲养密度、加强通风、定期冲洗、</w:t>
            </w:r>
            <w:r>
              <w:rPr>
                <w:rFonts w:hint="default" w:ascii="Times New Roman" w:hAnsi="Times New Roman" w:cs="Times New Roman"/>
                <w:bCs/>
                <w:color w:val="auto"/>
                <w:sz w:val="21"/>
                <w:szCs w:val="21"/>
                <w:lang w:eastAsia="zh-CN"/>
              </w:rPr>
              <w:t>调整饲料配方，猪舍出风口处安装过滤吸附除臭装置</w:t>
            </w:r>
            <w:r>
              <w:rPr>
                <w:rFonts w:hint="default" w:ascii="Times New Roman" w:hAnsi="Times New Roman" w:cs="Times New Roman"/>
                <w:bCs/>
                <w:color w:val="auto"/>
                <w:sz w:val="21"/>
                <w:szCs w:val="21"/>
              </w:rPr>
              <w:t>；污水处理站：收集池密闭，定期喷洒除臭剂；固粪处理区：UV光解催化氧化装置+水帘除臭装置，定期喷洒除臭剂；加强厂区绿化等；病死猪高温无害化处理机，采用UV光解催化氧化装置处理后无组织排放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426" w:type="dxa"/>
            <w:vMerge w:val="continue"/>
            <w:vAlign w:val="center"/>
          </w:tcPr>
          <w:p>
            <w:pPr>
              <w:tabs>
                <w:tab w:val="left" w:pos="600"/>
              </w:tabs>
              <w:spacing w:line="240" w:lineRule="auto"/>
              <w:ind w:firstLine="0" w:firstLineChars="0"/>
              <w:jc w:val="center"/>
              <w:rPr>
                <w:rFonts w:hint="default" w:ascii="Times New Roman" w:hAnsi="Times New Roman" w:cs="Times New Roman"/>
                <w:color w:val="auto"/>
                <w:sz w:val="21"/>
                <w:szCs w:val="21"/>
              </w:rPr>
            </w:pPr>
          </w:p>
        </w:tc>
        <w:tc>
          <w:tcPr>
            <w:tcW w:w="1128" w:type="dxa"/>
            <w:vAlign w:val="center"/>
          </w:tcPr>
          <w:p>
            <w:pPr>
              <w:tabs>
                <w:tab w:val="left" w:pos="600"/>
              </w:tabs>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沼气燃烧</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脱硫净化装置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b/>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b/>
                <w:color w:val="auto"/>
                <w:sz w:val="21"/>
                <w:szCs w:val="21"/>
              </w:rPr>
            </w:pPr>
          </w:p>
        </w:tc>
        <w:tc>
          <w:tcPr>
            <w:tcW w:w="426"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112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医疗废物</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危险废物暂存间1座，总建筑面积20m</w:t>
            </w:r>
            <w:r>
              <w:rPr>
                <w:rFonts w:hint="default" w:ascii="Times New Roman" w:hAnsi="Times New Roman" w:cs="Times New Roman"/>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b/>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b/>
                <w:color w:val="auto"/>
                <w:sz w:val="21"/>
                <w:szCs w:val="21"/>
              </w:rPr>
            </w:pPr>
          </w:p>
        </w:tc>
        <w:tc>
          <w:tcPr>
            <w:tcW w:w="426"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12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一般废物</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固废暂存间1座，总建筑面积40m</w:t>
            </w:r>
            <w:r>
              <w:rPr>
                <w:rFonts w:hint="default" w:ascii="Times New Roman" w:hAnsi="Times New Roman" w:cs="Times New Roman"/>
                <w:color w:val="auto"/>
                <w:sz w:val="21"/>
                <w:szCs w:val="21"/>
                <w:vertAlign w:val="superscript"/>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7" w:type="dxa"/>
            <w:vMerge w:val="continue"/>
            <w:vAlign w:val="center"/>
          </w:tcPr>
          <w:p>
            <w:pPr>
              <w:spacing w:line="240" w:lineRule="auto"/>
              <w:ind w:firstLine="0" w:firstLineChars="0"/>
              <w:jc w:val="center"/>
              <w:rPr>
                <w:rFonts w:hint="default" w:ascii="Times New Roman" w:hAnsi="Times New Roman" w:cs="Times New Roman"/>
                <w:b/>
                <w:color w:val="auto"/>
                <w:sz w:val="21"/>
                <w:szCs w:val="21"/>
              </w:rPr>
            </w:pPr>
          </w:p>
        </w:tc>
        <w:tc>
          <w:tcPr>
            <w:tcW w:w="1061" w:type="dxa"/>
            <w:vMerge w:val="continue"/>
            <w:vAlign w:val="center"/>
          </w:tcPr>
          <w:p>
            <w:pPr>
              <w:spacing w:line="240" w:lineRule="auto"/>
              <w:ind w:firstLine="0" w:firstLineChars="0"/>
              <w:jc w:val="center"/>
              <w:rPr>
                <w:rFonts w:hint="default" w:ascii="Times New Roman" w:hAnsi="Times New Roman" w:cs="Times New Roman"/>
                <w:b/>
                <w:color w:val="auto"/>
                <w:sz w:val="21"/>
                <w:szCs w:val="21"/>
              </w:rPr>
            </w:pPr>
          </w:p>
        </w:tc>
        <w:tc>
          <w:tcPr>
            <w:tcW w:w="426"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128"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病死猪尸体、母猪胎盘</w:t>
            </w:r>
          </w:p>
        </w:tc>
        <w:tc>
          <w:tcPr>
            <w:tcW w:w="6266" w:type="dxa"/>
            <w:vAlign w:val="center"/>
          </w:tcPr>
          <w:p>
            <w:pPr>
              <w:spacing w:line="240" w:lineRule="auto"/>
              <w:ind w:firstLine="0" w:firstLineChars="0"/>
              <w:jc w:val="center"/>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rPr>
              <w:t>病死猪暂存间</w:t>
            </w:r>
            <w:r>
              <w:rPr>
                <w:rFonts w:hint="default" w:ascii="Times New Roman" w:hAnsi="Times New Roman" w:eastAsia="Times New Roman" w:cs="Times New Roman"/>
                <w:color w:val="auto"/>
                <w:sz w:val="21"/>
                <w:szCs w:val="21"/>
              </w:rPr>
              <w:t>1</w:t>
            </w:r>
            <w:r>
              <w:rPr>
                <w:rFonts w:hint="default" w:ascii="Times New Roman" w:hAnsi="Times New Roman" w:cs="Times New Roman"/>
                <w:color w:val="auto"/>
                <w:sz w:val="21"/>
                <w:szCs w:val="21"/>
              </w:rPr>
              <w:t>间</w:t>
            </w:r>
            <w:r>
              <w:rPr>
                <w:rFonts w:hint="default" w:ascii="Times New Roman" w:hAnsi="Times New Roman" w:eastAsia="Times New Roman" w:cs="Times New Roman"/>
                <w:color w:val="auto"/>
                <w:sz w:val="21"/>
                <w:szCs w:val="21"/>
              </w:rPr>
              <w:t>30m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，病死猪处理间</w:t>
            </w:r>
            <w:r>
              <w:rPr>
                <w:rFonts w:hint="default" w:ascii="Times New Roman" w:hAnsi="Times New Roman" w:eastAsia="Times New Roman" w:cs="Times New Roman"/>
                <w:color w:val="auto"/>
                <w:sz w:val="21"/>
                <w:szCs w:val="21"/>
              </w:rPr>
              <w:t>1</w:t>
            </w:r>
            <w:r>
              <w:rPr>
                <w:rFonts w:hint="default" w:ascii="Times New Roman" w:hAnsi="Times New Roman" w:cs="Times New Roman"/>
                <w:color w:val="auto"/>
                <w:sz w:val="21"/>
                <w:szCs w:val="21"/>
              </w:rPr>
              <w:t>间</w:t>
            </w:r>
            <w:r>
              <w:rPr>
                <w:rFonts w:hint="default" w:ascii="Times New Roman" w:hAnsi="Times New Roman" w:eastAsia="Times New Roman" w:cs="Times New Roman"/>
                <w:color w:val="auto"/>
                <w:sz w:val="21"/>
                <w:szCs w:val="21"/>
              </w:rPr>
              <w:t>15m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，病死猪高温无害化处理机</w:t>
            </w:r>
            <w:r>
              <w:rPr>
                <w:rFonts w:hint="default" w:ascii="Times New Roman" w:hAnsi="Times New Roman" w:eastAsia="Times New Roman" w:cs="Times New Roman"/>
                <w:color w:val="auto"/>
                <w:sz w:val="21"/>
                <w:szCs w:val="21"/>
              </w:rPr>
              <w:t>1</w:t>
            </w:r>
            <w:r>
              <w:rPr>
                <w:rFonts w:hint="default" w:ascii="Times New Roman" w:hAnsi="Times New Roman" w:cs="Times New Roman"/>
                <w:color w:val="auto"/>
                <w:sz w:val="21"/>
                <w:szCs w:val="21"/>
              </w:rPr>
              <w:t>台</w:t>
            </w:r>
          </w:p>
        </w:tc>
      </w:tr>
    </w:tbl>
    <w:p>
      <w:pPr>
        <w:keepNext/>
        <w:keepLines/>
        <w:ind w:firstLine="480"/>
        <w:outlineLvl w:val="2"/>
        <w:rPr>
          <w:rFonts w:hint="default" w:ascii="Times New Roman" w:hAnsi="Times New Roman" w:eastAsia="黑体" w:cs="Times New Roman"/>
          <w:bCs/>
          <w:color w:val="auto"/>
        </w:rPr>
      </w:pPr>
      <w:r>
        <w:rPr>
          <w:rFonts w:hint="default" w:ascii="Times New Roman" w:hAnsi="Times New Roman" w:eastAsia="黑体" w:cs="Times New Roman"/>
          <w:bCs/>
          <w:color w:val="auto"/>
        </w:rPr>
        <w:t>9.2.2原辅材料组分要求</w:t>
      </w:r>
    </w:p>
    <w:p>
      <w:pPr>
        <w:pStyle w:val="35"/>
        <w:ind w:firstLine="480"/>
        <w:rPr>
          <w:rFonts w:hint="default" w:ascii="Times New Roman" w:hAnsi="Times New Roman" w:cs="Times New Roman"/>
          <w:bCs/>
          <w:color w:val="auto"/>
        </w:rPr>
      </w:pPr>
      <w:r>
        <w:rPr>
          <w:rFonts w:hint="default" w:ascii="Times New Roman" w:hAnsi="Times New Roman" w:cs="Times New Roman"/>
          <w:bCs/>
          <w:color w:val="auto"/>
        </w:rPr>
        <w:t>项目建成后主要原辅材料及资源能源消耗汇总见下表9.2-3。</w:t>
      </w:r>
    </w:p>
    <w:p>
      <w:pPr>
        <w:spacing w:afterLines="30" w:line="500" w:lineRule="exact"/>
        <w:ind w:firstLine="482"/>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表9.2-3            工程主要原辅材料及能源资源消耗一览表</w:t>
      </w:r>
    </w:p>
    <w:tbl>
      <w:tblPr>
        <w:tblStyle w:val="25"/>
        <w:tblW w:w="894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4"/>
        <w:gridCol w:w="1353"/>
        <w:gridCol w:w="1163"/>
        <w:gridCol w:w="1822"/>
        <w:gridCol w:w="306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544"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单元</w:t>
            </w:r>
          </w:p>
        </w:tc>
        <w:tc>
          <w:tcPr>
            <w:tcW w:w="1353"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项目名称</w:t>
            </w:r>
          </w:p>
        </w:tc>
        <w:tc>
          <w:tcPr>
            <w:tcW w:w="1163"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w:t>
            </w:r>
          </w:p>
        </w:tc>
        <w:tc>
          <w:tcPr>
            <w:tcW w:w="182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年消耗量</w:t>
            </w:r>
          </w:p>
        </w:tc>
        <w:tc>
          <w:tcPr>
            <w:tcW w:w="3061"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储存方式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544"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养殖生产</w:t>
            </w:r>
          </w:p>
        </w:tc>
        <w:tc>
          <w:tcPr>
            <w:tcW w:w="1353"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饲料</w:t>
            </w:r>
          </w:p>
        </w:tc>
        <w:tc>
          <w:tcPr>
            <w:tcW w:w="1163"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w:t>
            </w:r>
          </w:p>
        </w:tc>
        <w:tc>
          <w:tcPr>
            <w:tcW w:w="182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7938.5</w:t>
            </w:r>
          </w:p>
        </w:tc>
        <w:tc>
          <w:tcPr>
            <w:tcW w:w="3061"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饲料罐储存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544"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353"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脱硫剂</w:t>
            </w:r>
          </w:p>
        </w:tc>
        <w:tc>
          <w:tcPr>
            <w:tcW w:w="1163"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w:t>
            </w:r>
          </w:p>
        </w:tc>
        <w:tc>
          <w:tcPr>
            <w:tcW w:w="1822"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0.016</w:t>
            </w:r>
          </w:p>
        </w:tc>
        <w:tc>
          <w:tcPr>
            <w:tcW w:w="3061"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544"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353"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消毒剂</w:t>
            </w:r>
          </w:p>
        </w:tc>
        <w:tc>
          <w:tcPr>
            <w:tcW w:w="1163"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w:t>
            </w:r>
          </w:p>
        </w:tc>
        <w:tc>
          <w:tcPr>
            <w:tcW w:w="1822"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0.2</w:t>
            </w:r>
          </w:p>
        </w:tc>
        <w:tc>
          <w:tcPr>
            <w:tcW w:w="3061"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储存于项目仓库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544"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353"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防疫药品</w:t>
            </w:r>
          </w:p>
        </w:tc>
        <w:tc>
          <w:tcPr>
            <w:tcW w:w="1163"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w:t>
            </w:r>
          </w:p>
        </w:tc>
        <w:tc>
          <w:tcPr>
            <w:tcW w:w="1822"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0.12</w:t>
            </w:r>
          </w:p>
        </w:tc>
        <w:tc>
          <w:tcPr>
            <w:tcW w:w="3061"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仓库内疫苗专用冰柜冷藏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544"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353"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植物除臭剂</w:t>
            </w:r>
          </w:p>
        </w:tc>
        <w:tc>
          <w:tcPr>
            <w:tcW w:w="1163"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w:t>
            </w:r>
          </w:p>
        </w:tc>
        <w:tc>
          <w:tcPr>
            <w:tcW w:w="1822"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0.182</w:t>
            </w:r>
          </w:p>
        </w:tc>
        <w:tc>
          <w:tcPr>
            <w:tcW w:w="3061" w:type="dxa"/>
            <w:vAlign w:val="center"/>
          </w:tcPr>
          <w:p>
            <w:pPr>
              <w:spacing w:line="240" w:lineRule="auto"/>
              <w:ind w:firstLine="0" w:firstLineChars="0"/>
              <w:jc w:val="center"/>
              <w:rPr>
                <w:rFonts w:hint="default" w:ascii="Times New Roman" w:hAnsi="Times New Roman" w:cs="Times New Roman"/>
                <w:iCs/>
                <w:color w:val="auto"/>
                <w:sz w:val="21"/>
                <w:szCs w:val="21"/>
              </w:rPr>
            </w:pPr>
            <w:r>
              <w:rPr>
                <w:rFonts w:hint="default" w:ascii="Times New Roman" w:hAnsi="Times New Roman" w:cs="Times New Roman"/>
                <w:iCs/>
                <w:color w:val="auto"/>
                <w:sz w:val="21"/>
                <w:szCs w:val="21"/>
              </w:rPr>
              <w:t>仓库内罐装密闭储存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544"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无害化处理机</w:t>
            </w:r>
          </w:p>
        </w:tc>
        <w:tc>
          <w:tcPr>
            <w:tcW w:w="1353"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益生菌</w:t>
            </w:r>
          </w:p>
        </w:tc>
        <w:tc>
          <w:tcPr>
            <w:tcW w:w="1163"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w:t>
            </w:r>
          </w:p>
        </w:tc>
        <w:tc>
          <w:tcPr>
            <w:tcW w:w="182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0.365</w:t>
            </w:r>
          </w:p>
        </w:tc>
        <w:tc>
          <w:tcPr>
            <w:tcW w:w="3061"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544" w:type="dxa"/>
            <w:vMerge w:val="restart"/>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其他</w:t>
            </w:r>
          </w:p>
        </w:tc>
        <w:tc>
          <w:tcPr>
            <w:tcW w:w="1353" w:type="dxa"/>
            <w:vAlign w:val="center"/>
          </w:tcPr>
          <w:p>
            <w:pPr>
              <w:spacing w:line="240" w:lineRule="auto"/>
              <w:ind w:firstLine="0" w:firstLineChars="0"/>
              <w:jc w:val="center"/>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rPr>
              <w:t>电</w:t>
            </w:r>
          </w:p>
        </w:tc>
        <w:tc>
          <w:tcPr>
            <w:tcW w:w="1163"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万度</w:t>
            </w:r>
          </w:p>
        </w:tc>
        <w:tc>
          <w:tcPr>
            <w:tcW w:w="182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3061"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来自清丰县韩村镇供电所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544" w:type="dxa"/>
            <w:vMerge w:val="continue"/>
            <w:vAlign w:val="center"/>
          </w:tcPr>
          <w:p>
            <w:pPr>
              <w:spacing w:line="240" w:lineRule="auto"/>
              <w:ind w:firstLine="0" w:firstLineChars="0"/>
              <w:jc w:val="center"/>
              <w:rPr>
                <w:rFonts w:hint="default" w:ascii="Times New Roman" w:hAnsi="Times New Roman" w:cs="Times New Roman"/>
                <w:color w:val="auto"/>
                <w:sz w:val="21"/>
                <w:szCs w:val="21"/>
              </w:rPr>
            </w:pPr>
          </w:p>
        </w:tc>
        <w:tc>
          <w:tcPr>
            <w:tcW w:w="1353" w:type="dxa"/>
            <w:vAlign w:val="center"/>
          </w:tcPr>
          <w:p>
            <w:pPr>
              <w:spacing w:line="240" w:lineRule="auto"/>
              <w:ind w:firstLine="0" w:firstLineChars="0"/>
              <w:jc w:val="center"/>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rPr>
              <w:t>水</w:t>
            </w:r>
          </w:p>
        </w:tc>
        <w:tc>
          <w:tcPr>
            <w:tcW w:w="1163"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p>
        </w:tc>
        <w:tc>
          <w:tcPr>
            <w:tcW w:w="1822"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70000</w:t>
            </w:r>
          </w:p>
        </w:tc>
        <w:tc>
          <w:tcPr>
            <w:tcW w:w="3061" w:type="dxa"/>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厂区水井</w:t>
            </w:r>
          </w:p>
        </w:tc>
      </w:tr>
    </w:tbl>
    <w:p>
      <w:pPr>
        <w:keepNext/>
        <w:keepLines/>
        <w:ind w:firstLine="480"/>
        <w:outlineLvl w:val="2"/>
        <w:rPr>
          <w:rFonts w:hint="default" w:ascii="Times New Roman" w:hAnsi="Times New Roman" w:eastAsia="黑体" w:cs="Times New Roman"/>
          <w:bCs/>
          <w:color w:val="auto"/>
        </w:rPr>
      </w:pPr>
      <w:r>
        <w:rPr>
          <w:rFonts w:hint="default" w:ascii="Times New Roman" w:hAnsi="Times New Roman" w:eastAsia="黑体" w:cs="Times New Roman"/>
          <w:bCs/>
          <w:color w:val="auto"/>
        </w:rPr>
        <w:t>9.2.3污染物产排及拟采取的环境保护措施</w:t>
      </w:r>
    </w:p>
    <w:p>
      <w:pPr>
        <w:ind w:firstLine="480"/>
        <w:rPr>
          <w:rFonts w:hint="default" w:ascii="Times New Roman" w:hAnsi="Times New Roman" w:cs="Times New Roman"/>
          <w:bCs/>
          <w:color w:val="auto"/>
        </w:rPr>
      </w:pPr>
      <w:r>
        <w:rPr>
          <w:rFonts w:hint="default" w:ascii="Times New Roman" w:hAnsi="Times New Roman" w:cs="Times New Roman"/>
          <w:bCs/>
          <w:color w:val="auto"/>
        </w:rPr>
        <w:t>本项目污染物排放及拟采取环保措施见表9.2-4。</w:t>
      </w:r>
      <w:r>
        <w:rPr>
          <w:rFonts w:hint="default" w:ascii="Times New Roman" w:hAnsi="Times New Roman" w:cs="Times New Roman"/>
          <w:bCs/>
          <w:color w:val="auto"/>
        </w:rPr>
        <w:tab/>
      </w:r>
    </w:p>
    <w:p>
      <w:pPr>
        <w:ind w:firstLine="482"/>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表9.2-4      项目污染物产排及拟采取措施一览表</w:t>
      </w:r>
    </w:p>
    <w:tbl>
      <w:tblPr>
        <w:tblStyle w:val="25"/>
        <w:tblW w:w="8952" w:type="dxa"/>
        <w:jc w:val="center"/>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912"/>
        <w:gridCol w:w="744"/>
        <w:gridCol w:w="1614"/>
        <w:gridCol w:w="2475"/>
        <w:gridCol w:w="1324"/>
        <w:gridCol w:w="1883"/>
      </w:tblGrid>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12" w:hRule="exact"/>
          <w:jc w:val="center"/>
        </w:trPr>
        <w:tc>
          <w:tcPr>
            <w:tcW w:w="9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种类</w:t>
            </w:r>
          </w:p>
        </w:tc>
        <w:tc>
          <w:tcPr>
            <w:tcW w:w="235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污染因子</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产生量</w:t>
            </w:r>
          </w:p>
        </w:tc>
        <w:tc>
          <w:tcPr>
            <w:tcW w:w="13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排放量</w:t>
            </w:r>
          </w:p>
        </w:tc>
        <w:tc>
          <w:tcPr>
            <w:tcW w:w="18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备注</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27" w:hRule="exact"/>
          <w:jc w:val="center"/>
        </w:trPr>
        <w:tc>
          <w:tcPr>
            <w:tcW w:w="91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废水(养殖废水与 生活污水 等混合)</w:t>
            </w:r>
          </w:p>
        </w:tc>
        <w:tc>
          <w:tcPr>
            <w:tcW w:w="235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废水量</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36286.706m</w:t>
            </w:r>
            <w:r>
              <w:rPr>
                <w:rFonts w:hint="default" w:ascii="Times New Roman" w:hAnsi="Times New Roman" w:eastAsia="宋体" w:cs="Times New Roman"/>
                <w:b/>
                <w:bCs/>
                <w:color w:val="auto"/>
                <w:sz w:val="21"/>
                <w:szCs w:val="21"/>
                <w:u w:val="single"/>
                <w:vertAlign w:val="superscript"/>
                <w:lang w:val="en-US" w:eastAsia="zh-CN"/>
              </w:rPr>
              <w:t>3</w:t>
            </w:r>
            <w:r>
              <w:rPr>
                <w:rFonts w:hint="default" w:ascii="Times New Roman" w:hAnsi="Times New Roman" w:eastAsia="宋体" w:cs="Times New Roman"/>
                <w:b/>
                <w:bCs/>
                <w:color w:val="auto"/>
                <w:sz w:val="21"/>
                <w:szCs w:val="21"/>
                <w:u w:val="single"/>
                <w:lang w:val="en-US" w:eastAsia="zh-CN"/>
              </w:rPr>
              <w:t>/a</w:t>
            </w:r>
          </w:p>
        </w:tc>
        <w:tc>
          <w:tcPr>
            <w:tcW w:w="132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w:t>
            </w:r>
          </w:p>
        </w:tc>
        <w:tc>
          <w:tcPr>
            <w:tcW w:w="188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经污水站处理后，做农肥；非耕作季节由</w:t>
            </w:r>
            <w:r>
              <w:rPr>
                <w:rFonts w:hint="default" w:ascii="Times New Roman" w:hAnsi="Times New Roman" w:cs="Times New Roman"/>
                <w:b/>
                <w:bCs/>
                <w:color w:val="auto"/>
                <w:sz w:val="21"/>
                <w:szCs w:val="21"/>
                <w:u w:val="single"/>
                <w:lang w:val="en-US" w:eastAsia="zh-CN"/>
              </w:rPr>
              <w:t>沼液存储池</w:t>
            </w:r>
            <w:r>
              <w:rPr>
                <w:rFonts w:hint="default" w:ascii="Times New Roman" w:hAnsi="Times New Roman" w:eastAsia="宋体" w:cs="Times New Roman"/>
                <w:b/>
                <w:bCs/>
                <w:color w:val="auto"/>
                <w:sz w:val="21"/>
                <w:szCs w:val="21"/>
                <w:u w:val="single"/>
                <w:lang w:val="en-US" w:eastAsia="zh-CN"/>
              </w:rPr>
              <w:t>储存，不外排</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9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c>
          <w:tcPr>
            <w:tcW w:w="235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COD</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19813mg/L，718.95t/a</w:t>
            </w:r>
          </w:p>
        </w:tc>
        <w:tc>
          <w:tcPr>
            <w:tcW w:w="132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c>
          <w:tcPr>
            <w:tcW w:w="18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9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c>
          <w:tcPr>
            <w:tcW w:w="235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BOD</w:t>
            </w:r>
            <w:r>
              <w:rPr>
                <w:rFonts w:hint="default" w:ascii="Times New Roman" w:hAnsi="Times New Roman" w:eastAsia="宋体" w:cs="Times New Roman"/>
                <w:b/>
                <w:bCs/>
                <w:color w:val="auto"/>
                <w:sz w:val="21"/>
                <w:szCs w:val="21"/>
                <w:u w:val="single"/>
                <w:vertAlign w:val="subscript"/>
                <w:lang w:val="en-US" w:eastAsia="zh-CN"/>
              </w:rPr>
              <w:t>5</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7555mg/L，274.15t/a</w:t>
            </w:r>
          </w:p>
        </w:tc>
        <w:tc>
          <w:tcPr>
            <w:tcW w:w="132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c>
          <w:tcPr>
            <w:tcW w:w="18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9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c>
          <w:tcPr>
            <w:tcW w:w="235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SS</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15095mg/L，547.75t/a</w:t>
            </w:r>
          </w:p>
        </w:tc>
        <w:tc>
          <w:tcPr>
            <w:tcW w:w="132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c>
          <w:tcPr>
            <w:tcW w:w="18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490" w:hRule="exact"/>
          <w:jc w:val="center"/>
        </w:trPr>
        <w:tc>
          <w:tcPr>
            <w:tcW w:w="9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c>
          <w:tcPr>
            <w:tcW w:w="235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NH</w:t>
            </w:r>
            <w:r>
              <w:rPr>
                <w:rFonts w:hint="default" w:ascii="Times New Roman" w:hAnsi="Times New Roman" w:eastAsia="宋体" w:cs="Times New Roman"/>
                <w:b/>
                <w:bCs/>
                <w:color w:val="auto"/>
                <w:sz w:val="21"/>
                <w:szCs w:val="21"/>
                <w:u w:val="single"/>
                <w:vertAlign w:val="subscript"/>
                <w:lang w:val="en-US" w:eastAsia="zh-CN"/>
              </w:rPr>
              <w:t>3</w:t>
            </w:r>
            <w:r>
              <w:rPr>
                <w:rFonts w:hint="default" w:ascii="Times New Roman" w:hAnsi="Times New Roman" w:eastAsia="宋体" w:cs="Times New Roman"/>
                <w:b/>
                <w:bCs/>
                <w:color w:val="auto"/>
                <w:sz w:val="21"/>
                <w:szCs w:val="21"/>
                <w:u w:val="single"/>
                <w:lang w:val="en-US" w:eastAsia="zh-CN"/>
              </w:rPr>
              <w:t>-N</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1133mg/L，41.44t/a</w:t>
            </w:r>
          </w:p>
        </w:tc>
        <w:tc>
          <w:tcPr>
            <w:tcW w:w="132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c>
          <w:tcPr>
            <w:tcW w:w="18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91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废气</w:t>
            </w:r>
          </w:p>
        </w:tc>
        <w:tc>
          <w:tcPr>
            <w:tcW w:w="74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猪舍</w:t>
            </w:r>
          </w:p>
        </w:tc>
        <w:tc>
          <w:tcPr>
            <w:tcW w:w="16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NH</w:t>
            </w:r>
            <w:r>
              <w:rPr>
                <w:rFonts w:hint="default" w:ascii="Times New Roman" w:hAnsi="Times New Roman" w:eastAsia="宋体" w:cs="Times New Roman"/>
                <w:b/>
                <w:bCs/>
                <w:color w:val="auto"/>
                <w:sz w:val="21"/>
                <w:szCs w:val="21"/>
                <w:u w:val="single"/>
                <w:vertAlign w:val="subscript"/>
                <w:lang w:val="en-US" w:eastAsia="zh-CN"/>
              </w:rPr>
              <w:t>3</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0.7</w:t>
            </w:r>
            <w:r>
              <w:rPr>
                <w:rFonts w:hint="default" w:ascii="Times New Roman" w:hAnsi="Times New Roman" w:cs="Times New Roman"/>
                <w:b/>
                <w:bCs/>
                <w:color w:val="auto"/>
                <w:sz w:val="21"/>
                <w:szCs w:val="21"/>
                <w:u w:val="single"/>
                <w:lang w:val="en-US" w:eastAsia="zh-CN"/>
              </w:rPr>
              <w:t>36</w:t>
            </w:r>
            <w:r>
              <w:rPr>
                <w:rFonts w:hint="default" w:ascii="Times New Roman" w:hAnsi="Times New Roman" w:eastAsia="宋体" w:cs="Times New Roman"/>
                <w:b/>
                <w:bCs/>
                <w:color w:val="auto"/>
                <w:sz w:val="21"/>
                <w:szCs w:val="21"/>
                <w:u w:val="single"/>
                <w:lang w:val="en-US" w:eastAsia="zh-CN"/>
              </w:rPr>
              <w:t>t/a</w:t>
            </w:r>
          </w:p>
        </w:tc>
        <w:tc>
          <w:tcPr>
            <w:tcW w:w="13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0.2</w:t>
            </w:r>
            <w:r>
              <w:rPr>
                <w:rFonts w:hint="default" w:ascii="Times New Roman" w:hAnsi="Times New Roman" w:cs="Times New Roman"/>
                <w:b/>
                <w:bCs/>
                <w:color w:val="auto"/>
                <w:sz w:val="21"/>
                <w:szCs w:val="21"/>
                <w:u w:val="single"/>
                <w:lang w:val="en-US" w:eastAsia="zh-CN"/>
              </w:rPr>
              <w:t>20</w:t>
            </w:r>
            <w:r>
              <w:rPr>
                <w:rFonts w:hint="default" w:ascii="Times New Roman" w:hAnsi="Times New Roman" w:eastAsia="宋体" w:cs="Times New Roman"/>
                <w:b/>
                <w:bCs/>
                <w:color w:val="auto"/>
                <w:sz w:val="21"/>
                <w:szCs w:val="21"/>
                <w:u w:val="single"/>
                <w:lang w:val="en-US" w:eastAsia="zh-CN"/>
              </w:rPr>
              <w:t>t/a</w:t>
            </w:r>
          </w:p>
        </w:tc>
        <w:tc>
          <w:tcPr>
            <w:tcW w:w="188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无组织排放</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9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c>
          <w:tcPr>
            <w:tcW w:w="7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c>
          <w:tcPr>
            <w:tcW w:w="16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H</w:t>
            </w:r>
            <w:r>
              <w:rPr>
                <w:rFonts w:hint="default" w:ascii="Times New Roman" w:hAnsi="Times New Roman" w:eastAsia="宋体" w:cs="Times New Roman"/>
                <w:b/>
                <w:bCs/>
                <w:color w:val="auto"/>
                <w:sz w:val="21"/>
                <w:szCs w:val="21"/>
                <w:u w:val="single"/>
                <w:vertAlign w:val="subscript"/>
                <w:lang w:val="en-US" w:eastAsia="zh-CN"/>
              </w:rPr>
              <w:t>2</w:t>
            </w:r>
            <w:r>
              <w:rPr>
                <w:rFonts w:hint="default" w:ascii="Times New Roman" w:hAnsi="Times New Roman" w:eastAsia="宋体" w:cs="Times New Roman"/>
                <w:b/>
                <w:bCs/>
                <w:color w:val="auto"/>
                <w:sz w:val="21"/>
                <w:szCs w:val="21"/>
                <w:u w:val="single"/>
                <w:lang w:val="en-US" w:eastAsia="zh-CN"/>
              </w:rPr>
              <w:t>S</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0.06t/a</w:t>
            </w:r>
          </w:p>
        </w:tc>
        <w:tc>
          <w:tcPr>
            <w:tcW w:w="13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0.018t/a</w:t>
            </w:r>
          </w:p>
        </w:tc>
        <w:tc>
          <w:tcPr>
            <w:tcW w:w="18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9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c>
          <w:tcPr>
            <w:tcW w:w="74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污水处理</w:t>
            </w:r>
          </w:p>
        </w:tc>
        <w:tc>
          <w:tcPr>
            <w:tcW w:w="16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NH</w:t>
            </w:r>
            <w:r>
              <w:rPr>
                <w:rFonts w:hint="default" w:ascii="Times New Roman" w:hAnsi="Times New Roman" w:eastAsia="宋体" w:cs="Times New Roman"/>
                <w:b/>
                <w:bCs/>
                <w:color w:val="auto"/>
                <w:sz w:val="21"/>
                <w:szCs w:val="21"/>
                <w:u w:val="single"/>
                <w:vertAlign w:val="subscript"/>
                <w:lang w:val="en-US" w:eastAsia="zh-CN"/>
              </w:rPr>
              <w:t>3</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0.517t/a</w:t>
            </w:r>
          </w:p>
        </w:tc>
        <w:tc>
          <w:tcPr>
            <w:tcW w:w="13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0.155t/a</w:t>
            </w:r>
          </w:p>
        </w:tc>
        <w:tc>
          <w:tcPr>
            <w:tcW w:w="188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无组织排放</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9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c>
          <w:tcPr>
            <w:tcW w:w="7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c>
          <w:tcPr>
            <w:tcW w:w="16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H</w:t>
            </w:r>
            <w:r>
              <w:rPr>
                <w:rFonts w:hint="default" w:ascii="Times New Roman" w:hAnsi="Times New Roman" w:eastAsia="宋体" w:cs="Times New Roman"/>
                <w:b/>
                <w:bCs/>
                <w:color w:val="auto"/>
                <w:sz w:val="21"/>
                <w:szCs w:val="21"/>
                <w:u w:val="single"/>
                <w:vertAlign w:val="subscript"/>
                <w:lang w:val="en-US" w:eastAsia="zh-CN"/>
              </w:rPr>
              <w:t>2</w:t>
            </w:r>
            <w:r>
              <w:rPr>
                <w:rFonts w:hint="default" w:ascii="Times New Roman" w:hAnsi="Times New Roman" w:eastAsia="宋体" w:cs="Times New Roman"/>
                <w:b/>
                <w:bCs/>
                <w:color w:val="auto"/>
                <w:sz w:val="21"/>
                <w:szCs w:val="21"/>
                <w:u w:val="single"/>
                <w:lang w:val="en-US" w:eastAsia="zh-CN"/>
              </w:rPr>
              <w:t>S</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0.02t/a</w:t>
            </w:r>
          </w:p>
        </w:tc>
        <w:tc>
          <w:tcPr>
            <w:tcW w:w="13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0.006t/a</w:t>
            </w:r>
          </w:p>
        </w:tc>
        <w:tc>
          <w:tcPr>
            <w:tcW w:w="18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9" w:hRule="exact"/>
          <w:jc w:val="center"/>
        </w:trPr>
        <w:tc>
          <w:tcPr>
            <w:tcW w:w="9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c>
          <w:tcPr>
            <w:tcW w:w="74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固粪处理区</w:t>
            </w:r>
          </w:p>
        </w:tc>
        <w:tc>
          <w:tcPr>
            <w:tcW w:w="1614" w:type="dxa"/>
            <w:tcBorders>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NH</w:t>
            </w:r>
            <w:r>
              <w:rPr>
                <w:rFonts w:hint="default" w:ascii="Times New Roman" w:hAnsi="Times New Roman" w:eastAsia="宋体" w:cs="Times New Roman"/>
                <w:b/>
                <w:bCs/>
                <w:color w:val="auto"/>
                <w:sz w:val="21"/>
                <w:szCs w:val="21"/>
                <w:u w:val="single"/>
                <w:vertAlign w:val="subscript"/>
                <w:lang w:val="en-US" w:eastAsia="zh-CN"/>
              </w:rPr>
              <w:t>3</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cs="Times New Roman"/>
                <w:b/>
                <w:bCs/>
                <w:color w:val="auto"/>
                <w:sz w:val="21"/>
                <w:szCs w:val="21"/>
                <w:u w:val="single"/>
                <w:lang w:val="en-US" w:eastAsia="zh-CN"/>
              </w:rPr>
              <w:t>1.073</w:t>
            </w:r>
            <w:r>
              <w:rPr>
                <w:rFonts w:hint="default" w:ascii="Times New Roman" w:hAnsi="Times New Roman" w:eastAsia="宋体" w:cs="Times New Roman"/>
                <w:b/>
                <w:bCs/>
                <w:color w:val="auto"/>
                <w:sz w:val="21"/>
                <w:szCs w:val="21"/>
                <w:u w:val="single"/>
                <w:lang w:val="en-US" w:eastAsia="zh-CN"/>
              </w:rPr>
              <w:t>t/a</w:t>
            </w:r>
          </w:p>
        </w:tc>
        <w:tc>
          <w:tcPr>
            <w:tcW w:w="13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w:t>
            </w:r>
            <w:r>
              <w:rPr>
                <w:rFonts w:hint="default" w:ascii="Times New Roman" w:hAnsi="Times New Roman" w:cs="Times New Roman"/>
                <w:b/>
                <w:bCs/>
                <w:color w:val="auto"/>
                <w:sz w:val="21"/>
                <w:szCs w:val="21"/>
                <w:u w:val="single"/>
                <w:lang w:val="en-US" w:eastAsia="zh-CN"/>
              </w:rPr>
              <w:t>322</w:t>
            </w:r>
            <w:r>
              <w:rPr>
                <w:rFonts w:hint="default" w:ascii="Times New Roman" w:hAnsi="Times New Roman" w:eastAsia="宋体" w:cs="Times New Roman"/>
                <w:b/>
                <w:bCs/>
                <w:color w:val="auto"/>
                <w:sz w:val="21"/>
                <w:szCs w:val="21"/>
                <w:u w:val="single"/>
                <w:lang w:val="en-US" w:eastAsia="zh-CN"/>
              </w:rPr>
              <w:t>t/a</w:t>
            </w:r>
          </w:p>
        </w:tc>
        <w:tc>
          <w:tcPr>
            <w:tcW w:w="188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无组织排放</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7" w:hRule="exact"/>
          <w:jc w:val="center"/>
        </w:trPr>
        <w:tc>
          <w:tcPr>
            <w:tcW w:w="9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c>
          <w:tcPr>
            <w:tcW w:w="7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c>
          <w:tcPr>
            <w:tcW w:w="1614" w:type="dxa"/>
            <w:tcBorders>
              <w:top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H</w:t>
            </w:r>
            <w:r>
              <w:rPr>
                <w:rFonts w:hint="default" w:ascii="Times New Roman" w:hAnsi="Times New Roman" w:eastAsia="宋体" w:cs="Times New Roman"/>
                <w:b/>
                <w:bCs/>
                <w:color w:val="auto"/>
                <w:sz w:val="21"/>
                <w:szCs w:val="21"/>
                <w:u w:val="single"/>
                <w:vertAlign w:val="subscript"/>
                <w:lang w:val="en-US" w:eastAsia="zh-CN"/>
              </w:rPr>
              <w:t>2</w:t>
            </w:r>
            <w:r>
              <w:rPr>
                <w:rFonts w:hint="default" w:ascii="Times New Roman" w:hAnsi="Times New Roman" w:eastAsia="宋体" w:cs="Times New Roman"/>
                <w:b/>
                <w:bCs/>
                <w:color w:val="auto"/>
                <w:sz w:val="21"/>
                <w:szCs w:val="21"/>
                <w:u w:val="single"/>
                <w:lang w:val="en-US" w:eastAsia="zh-CN"/>
              </w:rPr>
              <w:t>S</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0.0</w:t>
            </w:r>
            <w:r>
              <w:rPr>
                <w:rFonts w:hint="default" w:ascii="Times New Roman" w:hAnsi="Times New Roman" w:cs="Times New Roman"/>
                <w:b/>
                <w:bCs/>
                <w:color w:val="auto"/>
                <w:sz w:val="21"/>
                <w:szCs w:val="21"/>
                <w:u w:val="single"/>
                <w:lang w:val="en-US" w:eastAsia="zh-CN"/>
              </w:rPr>
              <w:t>64</w:t>
            </w:r>
            <w:r>
              <w:rPr>
                <w:rFonts w:hint="default" w:ascii="Times New Roman" w:hAnsi="Times New Roman" w:eastAsia="宋体" w:cs="Times New Roman"/>
                <w:b/>
                <w:bCs/>
                <w:color w:val="auto"/>
                <w:sz w:val="21"/>
                <w:szCs w:val="21"/>
                <w:u w:val="single"/>
                <w:lang w:val="en-US" w:eastAsia="zh-CN"/>
              </w:rPr>
              <w:t>t/a</w:t>
            </w:r>
          </w:p>
        </w:tc>
        <w:tc>
          <w:tcPr>
            <w:tcW w:w="13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0.0</w:t>
            </w:r>
            <w:r>
              <w:rPr>
                <w:rFonts w:hint="default" w:ascii="Times New Roman" w:hAnsi="Times New Roman" w:cs="Times New Roman"/>
                <w:b/>
                <w:bCs/>
                <w:color w:val="auto"/>
                <w:sz w:val="21"/>
                <w:szCs w:val="21"/>
                <w:u w:val="single"/>
                <w:lang w:val="en-US" w:eastAsia="zh-CN"/>
              </w:rPr>
              <w:t>19</w:t>
            </w:r>
            <w:r>
              <w:rPr>
                <w:rFonts w:hint="default" w:ascii="Times New Roman" w:hAnsi="Times New Roman" w:eastAsia="宋体" w:cs="Times New Roman"/>
                <w:b/>
                <w:bCs/>
                <w:color w:val="auto"/>
                <w:sz w:val="21"/>
                <w:szCs w:val="21"/>
                <w:u w:val="single"/>
                <w:lang w:val="en-US" w:eastAsia="zh-CN"/>
              </w:rPr>
              <w:t>t/a</w:t>
            </w:r>
          </w:p>
        </w:tc>
        <w:tc>
          <w:tcPr>
            <w:tcW w:w="18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9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c>
          <w:tcPr>
            <w:tcW w:w="74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cs="Times New Roman"/>
                <w:b/>
                <w:bCs/>
                <w:color w:val="auto"/>
                <w:sz w:val="21"/>
                <w:szCs w:val="21"/>
                <w:u w:val="single"/>
                <w:lang w:val="en-US" w:eastAsia="zh-CN"/>
              </w:rPr>
              <w:t>沼液存储池</w:t>
            </w:r>
          </w:p>
        </w:tc>
        <w:tc>
          <w:tcPr>
            <w:tcW w:w="16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NH</w:t>
            </w:r>
            <w:r>
              <w:rPr>
                <w:rFonts w:hint="default" w:ascii="Times New Roman" w:hAnsi="Times New Roman" w:eastAsia="宋体" w:cs="Times New Roman"/>
                <w:b/>
                <w:bCs/>
                <w:color w:val="auto"/>
                <w:sz w:val="21"/>
                <w:szCs w:val="21"/>
                <w:u w:val="single"/>
                <w:vertAlign w:val="subscript"/>
                <w:lang w:val="en-US" w:eastAsia="zh-CN"/>
              </w:rPr>
              <w:t>3</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0.073t/a</w:t>
            </w:r>
          </w:p>
        </w:tc>
        <w:tc>
          <w:tcPr>
            <w:tcW w:w="13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0.0219t/a</w:t>
            </w:r>
          </w:p>
        </w:tc>
        <w:tc>
          <w:tcPr>
            <w:tcW w:w="188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无组织排放</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9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c>
          <w:tcPr>
            <w:tcW w:w="7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c>
          <w:tcPr>
            <w:tcW w:w="16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H</w:t>
            </w:r>
            <w:r>
              <w:rPr>
                <w:rFonts w:hint="default" w:ascii="Times New Roman" w:hAnsi="Times New Roman" w:eastAsia="宋体" w:cs="Times New Roman"/>
                <w:b/>
                <w:bCs/>
                <w:color w:val="auto"/>
                <w:sz w:val="21"/>
                <w:szCs w:val="21"/>
                <w:u w:val="single"/>
                <w:vertAlign w:val="subscript"/>
                <w:lang w:val="en-US" w:eastAsia="zh-CN"/>
              </w:rPr>
              <w:t>2</w:t>
            </w:r>
            <w:r>
              <w:rPr>
                <w:rFonts w:hint="default" w:ascii="Times New Roman" w:hAnsi="Times New Roman" w:eastAsia="宋体" w:cs="Times New Roman"/>
                <w:b/>
                <w:bCs/>
                <w:color w:val="auto"/>
                <w:sz w:val="21"/>
                <w:szCs w:val="21"/>
                <w:u w:val="single"/>
                <w:lang w:val="en-US" w:eastAsia="zh-CN"/>
              </w:rPr>
              <w:t>S</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0.0073t/a</w:t>
            </w:r>
          </w:p>
        </w:tc>
        <w:tc>
          <w:tcPr>
            <w:tcW w:w="13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0.0022t/a</w:t>
            </w:r>
          </w:p>
        </w:tc>
        <w:tc>
          <w:tcPr>
            <w:tcW w:w="18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94" w:hRule="exact"/>
          <w:jc w:val="center"/>
        </w:trPr>
        <w:tc>
          <w:tcPr>
            <w:tcW w:w="9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c>
          <w:tcPr>
            <w:tcW w:w="74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无害化处理机</w:t>
            </w:r>
          </w:p>
        </w:tc>
        <w:tc>
          <w:tcPr>
            <w:tcW w:w="1614" w:type="dxa"/>
            <w:tcBorders>
              <w:bottom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NH</w:t>
            </w:r>
            <w:r>
              <w:rPr>
                <w:rFonts w:hint="default" w:ascii="Times New Roman" w:hAnsi="Times New Roman" w:eastAsia="宋体" w:cs="Times New Roman"/>
                <w:b/>
                <w:bCs/>
                <w:color w:val="auto"/>
                <w:sz w:val="21"/>
                <w:szCs w:val="21"/>
                <w:u w:val="single"/>
                <w:vertAlign w:val="subscript"/>
                <w:lang w:val="en-US" w:eastAsia="zh-CN"/>
              </w:rPr>
              <w:t>3</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0.0026t/a</w:t>
            </w:r>
          </w:p>
        </w:tc>
        <w:tc>
          <w:tcPr>
            <w:tcW w:w="13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0.0007t/a</w:t>
            </w:r>
          </w:p>
        </w:tc>
        <w:tc>
          <w:tcPr>
            <w:tcW w:w="188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UV光解催化氧化</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4" w:hRule="exact"/>
          <w:jc w:val="center"/>
        </w:trPr>
        <w:tc>
          <w:tcPr>
            <w:tcW w:w="9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c>
          <w:tcPr>
            <w:tcW w:w="7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c>
          <w:tcPr>
            <w:tcW w:w="1614" w:type="dxa"/>
            <w:tcBorders>
              <w:top w:val="single" w:color="000000" w:sz="4" w:space="0"/>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H</w:t>
            </w:r>
            <w:r>
              <w:rPr>
                <w:rFonts w:hint="default" w:ascii="Times New Roman" w:hAnsi="Times New Roman" w:eastAsia="宋体" w:cs="Times New Roman"/>
                <w:b/>
                <w:bCs/>
                <w:color w:val="auto"/>
                <w:sz w:val="21"/>
                <w:szCs w:val="21"/>
                <w:u w:val="single"/>
                <w:vertAlign w:val="subscript"/>
                <w:lang w:val="en-US" w:eastAsia="zh-CN"/>
              </w:rPr>
              <w:t>2</w:t>
            </w:r>
            <w:r>
              <w:rPr>
                <w:rFonts w:hint="default" w:ascii="Times New Roman" w:hAnsi="Times New Roman" w:eastAsia="宋体" w:cs="Times New Roman"/>
                <w:b/>
                <w:bCs/>
                <w:color w:val="auto"/>
                <w:sz w:val="21"/>
                <w:szCs w:val="21"/>
                <w:u w:val="single"/>
                <w:lang w:val="en-US" w:eastAsia="zh-CN"/>
              </w:rPr>
              <w:t>S</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0.0005t/a</w:t>
            </w:r>
          </w:p>
        </w:tc>
        <w:tc>
          <w:tcPr>
            <w:tcW w:w="13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0.0001t/a</w:t>
            </w:r>
          </w:p>
        </w:tc>
        <w:tc>
          <w:tcPr>
            <w:tcW w:w="18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9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c>
          <w:tcPr>
            <w:tcW w:w="74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single"/>
                <w:lang w:val="en-US" w:eastAsia="zh-CN"/>
              </w:rPr>
            </w:pPr>
            <w:r>
              <w:rPr>
                <w:rFonts w:hint="default" w:ascii="Times New Roman" w:hAnsi="Times New Roman" w:eastAsia="宋体" w:cs="Times New Roman"/>
                <w:b/>
                <w:bCs/>
                <w:color w:val="auto"/>
                <w:sz w:val="21"/>
                <w:szCs w:val="21"/>
                <w:highlight w:val="none"/>
                <w:u w:val="single"/>
                <w:lang w:val="en-US" w:eastAsia="zh-CN"/>
              </w:rPr>
              <w:t>沼气燃烧</w:t>
            </w:r>
          </w:p>
        </w:tc>
        <w:tc>
          <w:tcPr>
            <w:tcW w:w="16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single"/>
                <w:lang w:val="en-US" w:eastAsia="zh-CN"/>
              </w:rPr>
            </w:pPr>
            <w:r>
              <w:rPr>
                <w:rFonts w:hint="default" w:ascii="Times New Roman" w:hAnsi="Times New Roman" w:eastAsia="宋体" w:cs="Times New Roman"/>
                <w:b/>
                <w:bCs/>
                <w:color w:val="auto"/>
                <w:sz w:val="21"/>
                <w:szCs w:val="21"/>
                <w:highlight w:val="none"/>
                <w:u w:val="single"/>
                <w:lang w:val="en-US" w:eastAsia="zh-CN"/>
              </w:rPr>
              <w:t>废气量</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cs="Times New Roman"/>
                <w:b/>
                <w:bCs/>
                <w:color w:val="auto"/>
                <w:sz w:val="21"/>
                <w:szCs w:val="21"/>
                <w:u w:val="single"/>
                <w:lang w:val="en-US" w:eastAsia="zh-CN"/>
              </w:rPr>
              <w:t>108.2万</w:t>
            </w:r>
            <w:r>
              <w:rPr>
                <w:rFonts w:hint="default" w:ascii="Times New Roman" w:hAnsi="Times New Roman" w:eastAsia="宋体" w:cs="Times New Roman"/>
                <w:b/>
                <w:bCs/>
                <w:color w:val="auto"/>
                <w:sz w:val="21"/>
                <w:szCs w:val="21"/>
                <w:u w:val="single"/>
                <w:lang w:val="en-US" w:eastAsia="zh-CN"/>
              </w:rPr>
              <w:t>m</w:t>
            </w:r>
            <w:r>
              <w:rPr>
                <w:rFonts w:hint="default" w:ascii="Times New Roman" w:hAnsi="Times New Roman" w:eastAsia="宋体" w:cs="Times New Roman"/>
                <w:b/>
                <w:bCs/>
                <w:color w:val="auto"/>
                <w:sz w:val="21"/>
                <w:szCs w:val="21"/>
                <w:u w:val="single"/>
                <w:vertAlign w:val="superscript"/>
                <w:lang w:val="en-US" w:eastAsia="zh-CN"/>
              </w:rPr>
              <w:t>3</w:t>
            </w:r>
            <w:r>
              <w:rPr>
                <w:rFonts w:hint="default" w:ascii="Times New Roman" w:hAnsi="Times New Roman" w:eastAsia="宋体" w:cs="Times New Roman"/>
                <w:b/>
                <w:bCs/>
                <w:color w:val="auto"/>
                <w:sz w:val="21"/>
                <w:szCs w:val="21"/>
                <w:u w:val="single"/>
                <w:lang w:val="en-US" w:eastAsia="zh-CN"/>
              </w:rPr>
              <w:t>/a</w:t>
            </w:r>
          </w:p>
        </w:tc>
        <w:tc>
          <w:tcPr>
            <w:tcW w:w="13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cs="Times New Roman"/>
                <w:b/>
                <w:bCs/>
                <w:color w:val="auto"/>
                <w:sz w:val="21"/>
                <w:szCs w:val="21"/>
                <w:u w:val="single"/>
                <w:lang w:val="en-US" w:eastAsia="zh-CN"/>
              </w:rPr>
              <w:t>108.2万</w:t>
            </w:r>
            <w:r>
              <w:rPr>
                <w:rFonts w:hint="default" w:ascii="Times New Roman" w:hAnsi="Times New Roman" w:eastAsia="宋体" w:cs="Times New Roman"/>
                <w:b/>
                <w:bCs/>
                <w:color w:val="auto"/>
                <w:sz w:val="21"/>
                <w:szCs w:val="21"/>
                <w:u w:val="single"/>
                <w:lang w:val="en-US" w:eastAsia="zh-CN"/>
              </w:rPr>
              <w:t>m</w:t>
            </w:r>
            <w:r>
              <w:rPr>
                <w:rFonts w:hint="default" w:ascii="Times New Roman" w:hAnsi="Times New Roman" w:eastAsia="宋体" w:cs="Times New Roman"/>
                <w:b/>
                <w:bCs/>
                <w:color w:val="auto"/>
                <w:sz w:val="21"/>
                <w:szCs w:val="21"/>
                <w:u w:val="single"/>
                <w:vertAlign w:val="superscript"/>
                <w:lang w:val="en-US" w:eastAsia="zh-CN"/>
              </w:rPr>
              <w:t>3</w:t>
            </w:r>
            <w:r>
              <w:rPr>
                <w:rFonts w:hint="default" w:ascii="Times New Roman" w:hAnsi="Times New Roman" w:eastAsia="宋体" w:cs="Times New Roman"/>
                <w:b/>
                <w:bCs/>
                <w:color w:val="auto"/>
                <w:sz w:val="21"/>
                <w:szCs w:val="21"/>
                <w:u w:val="single"/>
                <w:lang w:val="en-US" w:eastAsia="zh-CN"/>
              </w:rPr>
              <w:t>/a</w:t>
            </w:r>
          </w:p>
        </w:tc>
        <w:tc>
          <w:tcPr>
            <w:tcW w:w="188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无组织</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9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c>
          <w:tcPr>
            <w:tcW w:w="7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single"/>
                <w:lang w:val="en-US" w:eastAsia="zh-CN"/>
              </w:rPr>
            </w:pPr>
          </w:p>
        </w:tc>
        <w:tc>
          <w:tcPr>
            <w:tcW w:w="16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single"/>
                <w:lang w:val="en-US" w:eastAsia="zh-CN"/>
              </w:rPr>
            </w:pPr>
            <w:r>
              <w:rPr>
                <w:rFonts w:hint="default" w:ascii="Times New Roman" w:hAnsi="Times New Roman" w:eastAsia="宋体" w:cs="Times New Roman"/>
                <w:b/>
                <w:bCs/>
                <w:color w:val="auto"/>
                <w:sz w:val="21"/>
                <w:szCs w:val="21"/>
                <w:highlight w:val="none"/>
                <w:u w:val="single"/>
                <w:lang w:val="en-US" w:eastAsia="zh-CN"/>
              </w:rPr>
              <w:t>SO</w:t>
            </w:r>
            <w:r>
              <w:rPr>
                <w:rFonts w:hint="default" w:ascii="Times New Roman" w:hAnsi="Times New Roman" w:eastAsia="宋体" w:cs="Times New Roman"/>
                <w:b/>
                <w:bCs/>
                <w:color w:val="auto"/>
                <w:sz w:val="21"/>
                <w:szCs w:val="21"/>
                <w:highlight w:val="none"/>
                <w:u w:val="single"/>
                <w:vertAlign w:val="subscript"/>
                <w:lang w:val="en-US" w:eastAsia="zh-CN"/>
              </w:rPr>
              <w:t>2</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cs="Times New Roman"/>
                <w:b/>
                <w:bCs/>
                <w:color w:val="auto"/>
                <w:spacing w:val="4"/>
                <w:sz w:val="21"/>
                <w:szCs w:val="21"/>
                <w:u w:val="single"/>
              </w:rPr>
              <w:t>0.0</w:t>
            </w:r>
            <w:r>
              <w:rPr>
                <w:rFonts w:hint="default" w:ascii="Times New Roman" w:hAnsi="Times New Roman" w:cs="Times New Roman"/>
                <w:b/>
                <w:bCs/>
                <w:color w:val="auto"/>
                <w:spacing w:val="4"/>
                <w:sz w:val="21"/>
                <w:szCs w:val="21"/>
                <w:u w:val="single"/>
                <w:lang w:val="en-US" w:eastAsia="zh-CN"/>
              </w:rPr>
              <w:t>18</w:t>
            </w:r>
            <w:r>
              <w:rPr>
                <w:rFonts w:hint="default" w:ascii="Times New Roman" w:hAnsi="Times New Roman" w:eastAsia="宋体" w:cs="Times New Roman"/>
                <w:b/>
                <w:bCs/>
                <w:color w:val="auto"/>
                <w:sz w:val="21"/>
                <w:szCs w:val="21"/>
                <w:u w:val="single"/>
                <w:lang w:val="en-US" w:eastAsia="zh-CN"/>
              </w:rPr>
              <w:t>t/a</w:t>
            </w:r>
          </w:p>
        </w:tc>
        <w:tc>
          <w:tcPr>
            <w:tcW w:w="13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cs="Times New Roman"/>
                <w:b/>
                <w:bCs/>
                <w:color w:val="auto"/>
                <w:spacing w:val="4"/>
                <w:sz w:val="21"/>
                <w:szCs w:val="21"/>
                <w:u w:val="single"/>
              </w:rPr>
              <w:t>0.0</w:t>
            </w:r>
            <w:r>
              <w:rPr>
                <w:rFonts w:hint="default" w:ascii="Times New Roman" w:hAnsi="Times New Roman" w:cs="Times New Roman"/>
                <w:b/>
                <w:bCs/>
                <w:color w:val="auto"/>
                <w:spacing w:val="4"/>
                <w:sz w:val="21"/>
                <w:szCs w:val="21"/>
                <w:u w:val="single"/>
                <w:lang w:val="en-US" w:eastAsia="zh-CN"/>
              </w:rPr>
              <w:t>18</w:t>
            </w:r>
            <w:r>
              <w:rPr>
                <w:rFonts w:hint="default" w:ascii="Times New Roman" w:hAnsi="Times New Roman" w:eastAsia="宋体" w:cs="Times New Roman"/>
                <w:b/>
                <w:bCs/>
                <w:color w:val="auto"/>
                <w:sz w:val="21"/>
                <w:szCs w:val="21"/>
                <w:u w:val="single"/>
                <w:lang w:val="en-US" w:eastAsia="zh-CN"/>
              </w:rPr>
              <w:t>t/a</w:t>
            </w:r>
          </w:p>
        </w:tc>
        <w:tc>
          <w:tcPr>
            <w:tcW w:w="18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9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c>
          <w:tcPr>
            <w:tcW w:w="7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single"/>
                <w:lang w:val="en-US" w:eastAsia="zh-CN"/>
              </w:rPr>
            </w:pPr>
          </w:p>
        </w:tc>
        <w:tc>
          <w:tcPr>
            <w:tcW w:w="16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single"/>
                <w:lang w:val="en-US" w:eastAsia="zh-CN"/>
              </w:rPr>
            </w:pPr>
            <w:r>
              <w:rPr>
                <w:rFonts w:hint="default" w:ascii="Times New Roman" w:hAnsi="Times New Roman" w:eastAsia="宋体" w:cs="Times New Roman"/>
                <w:b/>
                <w:bCs/>
                <w:color w:val="auto"/>
                <w:sz w:val="21"/>
                <w:szCs w:val="21"/>
                <w:highlight w:val="none"/>
                <w:u w:val="single"/>
                <w:lang w:val="en-US" w:eastAsia="zh-CN"/>
              </w:rPr>
              <w:t>NO</w:t>
            </w:r>
            <w:r>
              <w:rPr>
                <w:rFonts w:hint="default" w:ascii="Times New Roman" w:hAnsi="Times New Roman" w:eastAsia="宋体" w:cs="Times New Roman"/>
                <w:b/>
                <w:bCs/>
                <w:color w:val="auto"/>
                <w:sz w:val="21"/>
                <w:szCs w:val="21"/>
                <w:highlight w:val="none"/>
                <w:u w:val="single"/>
                <w:vertAlign w:val="subscript"/>
                <w:lang w:val="en-US" w:eastAsia="zh-CN"/>
              </w:rPr>
              <w:t>X</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cs="Times New Roman"/>
                <w:b/>
                <w:bCs/>
                <w:color w:val="auto"/>
                <w:spacing w:val="4"/>
                <w:sz w:val="21"/>
                <w:szCs w:val="21"/>
                <w:u w:val="single"/>
              </w:rPr>
              <w:t>0.0</w:t>
            </w:r>
            <w:r>
              <w:rPr>
                <w:rFonts w:hint="default" w:ascii="Times New Roman" w:hAnsi="Times New Roman" w:cs="Times New Roman"/>
                <w:b/>
                <w:bCs/>
                <w:color w:val="auto"/>
                <w:spacing w:val="4"/>
                <w:sz w:val="21"/>
                <w:szCs w:val="21"/>
                <w:u w:val="single"/>
                <w:lang w:val="en-US" w:eastAsia="zh-CN"/>
              </w:rPr>
              <w:t>81</w:t>
            </w:r>
            <w:r>
              <w:rPr>
                <w:rFonts w:hint="default" w:ascii="Times New Roman" w:hAnsi="Times New Roman" w:eastAsia="宋体" w:cs="Times New Roman"/>
                <w:b/>
                <w:bCs/>
                <w:color w:val="auto"/>
                <w:sz w:val="21"/>
                <w:szCs w:val="21"/>
                <w:u w:val="single"/>
                <w:lang w:val="en-US" w:eastAsia="zh-CN"/>
              </w:rPr>
              <w:t>t/a</w:t>
            </w:r>
          </w:p>
        </w:tc>
        <w:tc>
          <w:tcPr>
            <w:tcW w:w="13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cs="Times New Roman"/>
                <w:b/>
                <w:bCs/>
                <w:color w:val="auto"/>
                <w:spacing w:val="4"/>
                <w:sz w:val="21"/>
                <w:szCs w:val="21"/>
                <w:u w:val="single"/>
              </w:rPr>
              <w:t>0.0</w:t>
            </w:r>
            <w:r>
              <w:rPr>
                <w:rFonts w:hint="default" w:ascii="Times New Roman" w:hAnsi="Times New Roman" w:cs="Times New Roman"/>
                <w:b/>
                <w:bCs/>
                <w:color w:val="auto"/>
                <w:spacing w:val="4"/>
                <w:sz w:val="21"/>
                <w:szCs w:val="21"/>
                <w:u w:val="single"/>
                <w:lang w:val="en-US" w:eastAsia="zh-CN"/>
              </w:rPr>
              <w:t>81</w:t>
            </w:r>
            <w:r>
              <w:rPr>
                <w:rFonts w:hint="default" w:ascii="Times New Roman" w:hAnsi="Times New Roman" w:eastAsia="宋体" w:cs="Times New Roman"/>
                <w:b/>
                <w:bCs/>
                <w:color w:val="auto"/>
                <w:sz w:val="21"/>
                <w:szCs w:val="21"/>
                <w:u w:val="single"/>
                <w:lang w:val="en-US" w:eastAsia="zh-CN"/>
              </w:rPr>
              <w:t>t/a</w:t>
            </w:r>
          </w:p>
        </w:tc>
        <w:tc>
          <w:tcPr>
            <w:tcW w:w="18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5" w:hRule="exact"/>
          <w:jc w:val="center"/>
        </w:trPr>
        <w:tc>
          <w:tcPr>
            <w:tcW w:w="9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c>
          <w:tcPr>
            <w:tcW w:w="7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single"/>
                <w:lang w:val="en-US" w:eastAsia="zh-CN"/>
              </w:rPr>
            </w:pPr>
          </w:p>
        </w:tc>
        <w:tc>
          <w:tcPr>
            <w:tcW w:w="16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single"/>
                <w:lang w:val="en-US" w:eastAsia="zh-CN"/>
              </w:rPr>
            </w:pPr>
            <w:r>
              <w:rPr>
                <w:rFonts w:hint="default" w:ascii="Times New Roman" w:hAnsi="Times New Roman" w:eastAsia="宋体" w:cs="Times New Roman"/>
                <w:b/>
                <w:bCs/>
                <w:color w:val="auto"/>
                <w:sz w:val="21"/>
                <w:szCs w:val="21"/>
                <w:highlight w:val="none"/>
                <w:u w:val="single"/>
                <w:lang w:val="en-US" w:eastAsia="zh-CN"/>
              </w:rPr>
              <w:t>烟尘</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cs="Times New Roman"/>
                <w:b/>
                <w:bCs/>
                <w:color w:val="auto"/>
                <w:spacing w:val="4"/>
                <w:sz w:val="21"/>
                <w:szCs w:val="21"/>
                <w:u w:val="single"/>
              </w:rPr>
              <w:t>0.0</w:t>
            </w:r>
            <w:r>
              <w:rPr>
                <w:rFonts w:hint="default" w:ascii="Times New Roman" w:hAnsi="Times New Roman" w:cs="Times New Roman"/>
                <w:b/>
                <w:bCs/>
                <w:color w:val="auto"/>
                <w:spacing w:val="4"/>
                <w:sz w:val="21"/>
                <w:szCs w:val="21"/>
                <w:u w:val="single"/>
                <w:lang w:val="en-US" w:eastAsia="zh-CN"/>
              </w:rPr>
              <w:t>32</w:t>
            </w:r>
            <w:r>
              <w:rPr>
                <w:rFonts w:hint="default" w:ascii="Times New Roman" w:hAnsi="Times New Roman" w:eastAsia="宋体" w:cs="Times New Roman"/>
                <w:b/>
                <w:bCs/>
                <w:color w:val="auto"/>
                <w:sz w:val="21"/>
                <w:szCs w:val="21"/>
                <w:u w:val="single"/>
                <w:lang w:val="en-US" w:eastAsia="zh-CN"/>
              </w:rPr>
              <w:t>t/a</w:t>
            </w:r>
          </w:p>
        </w:tc>
        <w:tc>
          <w:tcPr>
            <w:tcW w:w="13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cs="Times New Roman"/>
                <w:b/>
                <w:bCs/>
                <w:color w:val="auto"/>
                <w:spacing w:val="4"/>
                <w:sz w:val="21"/>
                <w:szCs w:val="21"/>
                <w:u w:val="single"/>
              </w:rPr>
              <w:t>0.0</w:t>
            </w:r>
            <w:r>
              <w:rPr>
                <w:rFonts w:hint="default" w:ascii="Times New Roman" w:hAnsi="Times New Roman" w:cs="Times New Roman"/>
                <w:b/>
                <w:bCs/>
                <w:color w:val="auto"/>
                <w:spacing w:val="4"/>
                <w:sz w:val="21"/>
                <w:szCs w:val="21"/>
                <w:u w:val="single"/>
                <w:lang w:val="en-US" w:eastAsia="zh-CN"/>
              </w:rPr>
              <w:t>32</w:t>
            </w:r>
            <w:r>
              <w:rPr>
                <w:rFonts w:hint="default" w:ascii="Times New Roman" w:hAnsi="Times New Roman" w:eastAsia="宋体" w:cs="Times New Roman"/>
                <w:b/>
                <w:bCs/>
                <w:color w:val="auto"/>
                <w:sz w:val="21"/>
                <w:szCs w:val="21"/>
                <w:u w:val="single"/>
                <w:lang w:val="en-US" w:eastAsia="zh-CN"/>
              </w:rPr>
              <w:t>t/a</w:t>
            </w:r>
          </w:p>
        </w:tc>
        <w:tc>
          <w:tcPr>
            <w:tcW w:w="188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840" w:hRule="exact"/>
          <w:jc w:val="center"/>
        </w:trPr>
        <w:tc>
          <w:tcPr>
            <w:tcW w:w="9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p>
        </w:tc>
        <w:tc>
          <w:tcPr>
            <w:tcW w:w="7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食堂油烟</w:t>
            </w:r>
          </w:p>
        </w:tc>
        <w:tc>
          <w:tcPr>
            <w:tcW w:w="16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油烟</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0.856mg/m</w:t>
            </w:r>
            <w:r>
              <w:rPr>
                <w:rFonts w:hint="default" w:ascii="Times New Roman" w:hAnsi="Times New Roman" w:eastAsia="宋体" w:cs="Times New Roman"/>
                <w:b/>
                <w:bCs/>
                <w:color w:val="auto"/>
                <w:sz w:val="21"/>
                <w:szCs w:val="21"/>
                <w:u w:val="single"/>
                <w:vertAlign w:val="superscript"/>
                <w:lang w:val="en-US" w:eastAsia="zh-CN"/>
              </w:rPr>
              <w:t>3</w:t>
            </w:r>
            <w:r>
              <w:rPr>
                <w:rFonts w:hint="default" w:ascii="Times New Roman" w:hAnsi="Times New Roman" w:eastAsia="宋体" w:cs="Times New Roman"/>
                <w:b/>
                <w:bCs/>
                <w:color w:val="auto"/>
                <w:sz w:val="21"/>
                <w:szCs w:val="21"/>
                <w:u w:val="single"/>
                <w:lang w:val="en-US" w:eastAsia="zh-CN"/>
              </w:rPr>
              <w:t>、0.005t/a</w:t>
            </w:r>
          </w:p>
        </w:tc>
        <w:tc>
          <w:tcPr>
            <w:tcW w:w="13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0.08mg/m</w:t>
            </w:r>
            <w:r>
              <w:rPr>
                <w:rFonts w:hint="default" w:ascii="Times New Roman" w:hAnsi="Times New Roman" w:eastAsia="宋体" w:cs="Times New Roman"/>
                <w:b/>
                <w:bCs/>
                <w:color w:val="auto"/>
                <w:sz w:val="21"/>
                <w:szCs w:val="21"/>
                <w:u w:val="single"/>
                <w:vertAlign w:val="superscript"/>
                <w:lang w:val="en-US" w:eastAsia="zh-CN"/>
              </w:rPr>
              <w:t>3</w:t>
            </w:r>
            <w:r>
              <w:rPr>
                <w:rFonts w:hint="default" w:ascii="Times New Roman" w:hAnsi="Times New Roman" w:eastAsia="宋体" w:cs="Times New Roman"/>
                <w:b/>
                <w:bCs/>
                <w:color w:val="auto"/>
                <w:sz w:val="21"/>
                <w:szCs w:val="21"/>
                <w:u w:val="single"/>
                <w:lang w:val="en-US" w:eastAsia="zh-CN"/>
              </w:rPr>
              <w:t>、</w:t>
            </w:r>
          </w:p>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0.0005t/a</w:t>
            </w:r>
          </w:p>
        </w:tc>
        <w:tc>
          <w:tcPr>
            <w:tcW w:w="18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由高于屋顶的专用烟道排放</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62" w:hRule="exact"/>
          <w:jc w:val="center"/>
        </w:trPr>
        <w:tc>
          <w:tcPr>
            <w:tcW w:w="91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固废</w:t>
            </w:r>
          </w:p>
        </w:tc>
        <w:tc>
          <w:tcPr>
            <w:tcW w:w="235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医疗固废</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0.045t/a</w:t>
            </w:r>
          </w:p>
        </w:tc>
        <w:tc>
          <w:tcPr>
            <w:tcW w:w="13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0t/a</w:t>
            </w:r>
          </w:p>
        </w:tc>
        <w:tc>
          <w:tcPr>
            <w:tcW w:w="18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定期交由有资质单位处理</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56" w:hRule="exact"/>
          <w:jc w:val="center"/>
        </w:trPr>
        <w:tc>
          <w:tcPr>
            <w:tcW w:w="9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c>
          <w:tcPr>
            <w:tcW w:w="235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病死猪</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cs="Times New Roman"/>
                <w:b/>
                <w:bCs/>
                <w:color w:val="auto"/>
                <w:sz w:val="21"/>
                <w:szCs w:val="21"/>
                <w:u w:val="single"/>
                <w:lang w:val="en-US" w:eastAsia="zh-CN"/>
              </w:rPr>
              <w:t>21.36</w:t>
            </w:r>
            <w:r>
              <w:rPr>
                <w:rFonts w:hint="default" w:ascii="Times New Roman" w:hAnsi="Times New Roman" w:eastAsia="宋体" w:cs="Times New Roman"/>
                <w:b/>
                <w:bCs/>
                <w:color w:val="auto"/>
                <w:sz w:val="21"/>
                <w:szCs w:val="21"/>
                <w:u w:val="single"/>
                <w:lang w:val="en-US" w:eastAsia="zh-CN"/>
              </w:rPr>
              <w:t>t/a</w:t>
            </w:r>
          </w:p>
        </w:tc>
        <w:tc>
          <w:tcPr>
            <w:tcW w:w="13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0t/a</w:t>
            </w:r>
          </w:p>
        </w:tc>
        <w:tc>
          <w:tcPr>
            <w:tcW w:w="18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在厂区内无害化处理后，残渣作为有机肥原料外售</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71" w:hRule="exact"/>
          <w:jc w:val="center"/>
        </w:trPr>
        <w:tc>
          <w:tcPr>
            <w:tcW w:w="9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c>
          <w:tcPr>
            <w:tcW w:w="235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猪粪</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1353.86t/a</w:t>
            </w:r>
          </w:p>
        </w:tc>
        <w:tc>
          <w:tcPr>
            <w:tcW w:w="13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0t/a</w:t>
            </w:r>
          </w:p>
        </w:tc>
        <w:tc>
          <w:tcPr>
            <w:tcW w:w="18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经发酵后作为制有机肥原料外售</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5" w:hRule="exact"/>
          <w:jc w:val="center"/>
        </w:trPr>
        <w:tc>
          <w:tcPr>
            <w:tcW w:w="9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c>
          <w:tcPr>
            <w:tcW w:w="235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废脱硫剂</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0.16t/a</w:t>
            </w:r>
          </w:p>
        </w:tc>
        <w:tc>
          <w:tcPr>
            <w:tcW w:w="13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0t/a</w:t>
            </w:r>
          </w:p>
        </w:tc>
        <w:tc>
          <w:tcPr>
            <w:tcW w:w="18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生产厂家回收处置</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64" w:hRule="exact"/>
          <w:jc w:val="center"/>
        </w:trPr>
        <w:tc>
          <w:tcPr>
            <w:tcW w:w="9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c>
          <w:tcPr>
            <w:tcW w:w="235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生活垃圾</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5.475t/a</w:t>
            </w:r>
          </w:p>
        </w:tc>
        <w:tc>
          <w:tcPr>
            <w:tcW w:w="13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0t/a</w:t>
            </w:r>
          </w:p>
        </w:tc>
        <w:tc>
          <w:tcPr>
            <w:tcW w:w="18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送交环卫部门处理</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62" w:hRule="exact"/>
          <w:jc w:val="center"/>
        </w:trPr>
        <w:tc>
          <w:tcPr>
            <w:tcW w:w="9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c>
          <w:tcPr>
            <w:tcW w:w="235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cs="Times New Roman"/>
                <w:b/>
                <w:bCs/>
                <w:color w:val="auto"/>
                <w:sz w:val="21"/>
                <w:szCs w:val="21"/>
                <w:u w:val="single"/>
                <w:lang w:val="en-US" w:eastAsia="zh-CN"/>
              </w:rPr>
              <w:t>废导热油</w:t>
            </w:r>
          </w:p>
        </w:tc>
        <w:tc>
          <w:tcPr>
            <w:tcW w:w="24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cs="Times New Roman"/>
                <w:b/>
                <w:bCs/>
                <w:color w:val="auto"/>
                <w:sz w:val="21"/>
                <w:szCs w:val="21"/>
                <w:u w:val="single"/>
                <w:lang w:val="en-US" w:eastAsia="zh-CN"/>
              </w:rPr>
              <w:t>0.125</w:t>
            </w:r>
            <w:r>
              <w:rPr>
                <w:rFonts w:hint="default" w:ascii="Times New Roman" w:hAnsi="Times New Roman" w:eastAsia="宋体" w:cs="Times New Roman"/>
                <w:b/>
                <w:bCs/>
                <w:color w:val="auto"/>
                <w:sz w:val="21"/>
                <w:szCs w:val="21"/>
                <w:u w:val="single"/>
                <w:lang w:val="en-US" w:eastAsia="zh-CN"/>
              </w:rPr>
              <w:t>t/a</w:t>
            </w:r>
          </w:p>
        </w:tc>
        <w:tc>
          <w:tcPr>
            <w:tcW w:w="13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0t/a</w:t>
            </w:r>
          </w:p>
        </w:tc>
        <w:tc>
          <w:tcPr>
            <w:tcW w:w="18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lang w:val="en-US" w:eastAsia="zh-CN"/>
              </w:rPr>
              <w:t>定期交由有资质单位处理</w:t>
            </w:r>
          </w:p>
        </w:tc>
      </w:tr>
      <w:tr>
        <w:tblPrEx>
          <w:tblBorders>
            <w:top w:val="single" w:color="000000" w:sz="2" w:space="0"/>
            <w:left w:val="none" w:color="auto" w:sz="0" w:space="0"/>
            <w:bottom w:val="single" w:color="000000" w:sz="6"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62" w:hRule="exact"/>
          <w:jc w:val="center"/>
        </w:trPr>
        <w:tc>
          <w:tcPr>
            <w:tcW w:w="9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c>
          <w:tcPr>
            <w:tcW w:w="2358" w:type="dxa"/>
            <w:gridSpan w:val="2"/>
            <w:tcBorders>
              <w:tl2br w:val="nil"/>
              <w:tr2bl w:val="nil"/>
            </w:tcBorders>
            <w:noWrap w:val="0"/>
            <w:vAlign w:val="center"/>
          </w:tcPr>
          <w:p>
            <w:pPr>
              <w:spacing w:line="240" w:lineRule="auto"/>
              <w:ind w:firstLine="0" w:firstLineChars="0"/>
              <w:jc w:val="center"/>
              <w:rPr>
                <w:rFonts w:hint="default" w:ascii="Times New Roman" w:hAnsi="Times New Roman" w:cs="Times New Roman"/>
                <w:b/>
                <w:bCs/>
                <w:color w:val="auto"/>
                <w:sz w:val="21"/>
                <w:szCs w:val="21"/>
                <w:u w:val="single"/>
                <w:lang w:val="en-US" w:eastAsia="zh-CN"/>
              </w:rPr>
            </w:pPr>
            <w:r>
              <w:rPr>
                <w:rFonts w:hint="default" w:ascii="Times New Roman" w:hAnsi="Times New Roman" w:cs="Times New Roman"/>
                <w:b/>
                <w:bCs/>
                <w:color w:val="auto"/>
                <w:sz w:val="21"/>
                <w:szCs w:val="21"/>
                <w:u w:val="single"/>
                <w:lang w:eastAsia="zh-CN"/>
              </w:rPr>
              <w:t>废</w:t>
            </w:r>
            <w:r>
              <w:rPr>
                <w:rFonts w:hint="default" w:ascii="Times New Roman" w:hAnsi="Times New Roman" w:cs="Times New Roman"/>
                <w:b/>
                <w:bCs/>
                <w:color w:val="auto"/>
                <w:sz w:val="21"/>
                <w:szCs w:val="21"/>
                <w:u w:val="single"/>
                <w:lang w:val="en-US" w:eastAsia="zh-CN"/>
              </w:rPr>
              <w:t>UV灯管</w:t>
            </w:r>
          </w:p>
        </w:tc>
        <w:tc>
          <w:tcPr>
            <w:tcW w:w="2475"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b/>
                <w:bCs/>
                <w:color w:val="auto"/>
                <w:sz w:val="21"/>
                <w:szCs w:val="21"/>
                <w:u w:val="single"/>
                <w:lang w:val="en-US" w:eastAsia="zh-CN"/>
              </w:rPr>
            </w:pPr>
            <w:r>
              <w:rPr>
                <w:rFonts w:hint="default" w:ascii="Times New Roman" w:hAnsi="Times New Roman" w:cs="Times New Roman"/>
                <w:b/>
                <w:bCs/>
                <w:color w:val="auto"/>
                <w:sz w:val="21"/>
                <w:szCs w:val="21"/>
                <w:u w:val="single"/>
                <w:lang w:val="en-US" w:eastAsia="zh-CN"/>
              </w:rPr>
              <w:t>0.01t/a</w:t>
            </w:r>
          </w:p>
        </w:tc>
        <w:tc>
          <w:tcPr>
            <w:tcW w:w="1324"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cs="Times New Roman"/>
                <w:b/>
                <w:bCs/>
                <w:color w:val="auto"/>
                <w:sz w:val="21"/>
                <w:szCs w:val="21"/>
                <w:u w:val="single"/>
              </w:rPr>
              <w:t>0t/a</w:t>
            </w:r>
          </w:p>
        </w:tc>
        <w:tc>
          <w:tcPr>
            <w:tcW w:w="1883" w:type="dxa"/>
            <w:tcBorders>
              <w:tl2br w:val="nil"/>
              <w:tr2bl w:val="nil"/>
            </w:tcBorders>
            <w:noWrap w:val="0"/>
            <w:vAlign w:val="center"/>
          </w:tcPr>
          <w:p>
            <w:pPr>
              <w:spacing w:line="240" w:lineRule="auto"/>
              <w:ind w:firstLine="0" w:firstLineChars="0"/>
              <w:jc w:val="center"/>
              <w:rPr>
                <w:rFonts w:hint="default" w:ascii="Times New Roman" w:hAnsi="Times New Roman" w:cs="Times New Roman"/>
                <w:b/>
                <w:bCs/>
                <w:color w:val="auto"/>
                <w:sz w:val="21"/>
                <w:szCs w:val="21"/>
                <w:u w:val="single"/>
              </w:rPr>
            </w:pPr>
            <w:r>
              <w:rPr>
                <w:rFonts w:hint="default" w:ascii="Times New Roman" w:hAnsi="Times New Roman" w:cs="Times New Roman"/>
                <w:b/>
                <w:bCs/>
                <w:color w:val="auto"/>
                <w:sz w:val="21"/>
                <w:szCs w:val="21"/>
                <w:u w:val="single"/>
              </w:rPr>
              <w:t>定期交由有资质单位</w:t>
            </w:r>
          </w:p>
          <w:p>
            <w:pPr>
              <w:spacing w:line="240" w:lineRule="auto"/>
              <w:ind w:firstLine="0" w:firstLineChars="0"/>
              <w:jc w:val="center"/>
              <w:rPr>
                <w:rFonts w:hint="default" w:ascii="Times New Roman" w:hAnsi="Times New Roman" w:eastAsia="宋体" w:cs="Times New Roman"/>
                <w:b/>
                <w:bCs/>
                <w:color w:val="auto"/>
                <w:sz w:val="21"/>
                <w:szCs w:val="21"/>
                <w:u w:val="single"/>
                <w:lang w:val="en-US" w:eastAsia="zh-CN"/>
              </w:rPr>
            </w:pPr>
          </w:p>
        </w:tc>
      </w:tr>
    </w:tbl>
    <w:p>
      <w:pPr>
        <w:ind w:firstLine="480"/>
        <w:rPr>
          <w:rFonts w:hint="default" w:ascii="Times New Roman" w:hAnsi="Times New Roman" w:cs="Times New Roman"/>
          <w:color w:val="auto"/>
        </w:rPr>
      </w:pPr>
      <w:r>
        <w:rPr>
          <w:rFonts w:hint="default" w:ascii="Times New Roman" w:hAnsi="Times New Roman" w:cs="Times New Roman"/>
          <w:color w:val="auto"/>
        </w:rPr>
        <w:t>9.2.4环境风险防范措施</w:t>
      </w:r>
    </w:p>
    <w:p>
      <w:pPr>
        <w:ind w:firstLine="480"/>
        <w:rPr>
          <w:rFonts w:hint="default" w:ascii="Times New Roman" w:hAnsi="Times New Roman" w:cs="Times New Roman"/>
          <w:color w:val="auto"/>
        </w:rPr>
      </w:pPr>
      <w:r>
        <w:rPr>
          <w:rFonts w:hint="default" w:ascii="Times New Roman" w:hAnsi="Times New Roman" w:cs="Times New Roman"/>
          <w:color w:val="auto"/>
        </w:rPr>
        <w:t>本项目环境风险防范措施汇总详见表9.2-5。</w:t>
      </w:r>
    </w:p>
    <w:p>
      <w:pPr>
        <w:ind w:firstLine="482"/>
        <w:jc w:val="center"/>
        <w:rPr>
          <w:rFonts w:hint="default" w:ascii="Times New Roman" w:hAnsi="Times New Roman" w:cs="Times New Roman"/>
          <w:b/>
          <w:bCs/>
          <w:color w:val="auto"/>
        </w:rPr>
      </w:pPr>
      <w:r>
        <w:rPr>
          <w:rFonts w:hint="default" w:ascii="Times New Roman" w:hAnsi="Times New Roman" w:cs="Times New Roman"/>
          <w:b/>
          <w:bCs/>
          <w:color w:val="auto"/>
        </w:rPr>
        <w:t>表9.2-5                 风险防范措施一览表</w:t>
      </w:r>
    </w:p>
    <w:tbl>
      <w:tblPr>
        <w:tblStyle w:val="25"/>
        <w:tblW w:w="8956" w:type="dxa"/>
        <w:tblInd w:w="0" w:type="dxa"/>
        <w:tblLayout w:type="fixed"/>
        <w:tblCellMar>
          <w:top w:w="0" w:type="dxa"/>
          <w:left w:w="0" w:type="dxa"/>
          <w:bottom w:w="0" w:type="dxa"/>
          <w:right w:w="0" w:type="dxa"/>
        </w:tblCellMar>
      </w:tblPr>
      <w:tblGrid>
        <w:gridCol w:w="1693"/>
        <w:gridCol w:w="7263"/>
      </w:tblGrid>
      <w:tr>
        <w:trPr>
          <w:trHeight w:val="404" w:hRule="exact"/>
        </w:trPr>
        <w:tc>
          <w:tcPr>
            <w:tcW w:w="1693" w:type="dxa"/>
            <w:tcBorders>
              <w:top w:val="single" w:color="000000" w:sz="2" w:space="0"/>
              <w:left w:val="nil"/>
              <w:bottom w:val="single" w:color="000000" w:sz="4" w:space="0"/>
              <w:right w:val="single" w:color="000000" w:sz="4"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bookmarkStart w:id="748" w:name="_Toc481047660"/>
            <w:r>
              <w:rPr>
                <w:rFonts w:hint="default" w:ascii="Times New Roman" w:hAnsi="Times New Roman" w:cs="Times New Roman"/>
                <w:color w:val="auto"/>
                <w:sz w:val="21"/>
                <w:szCs w:val="21"/>
              </w:rPr>
              <w:t>内    容</w:t>
            </w:r>
          </w:p>
        </w:tc>
        <w:tc>
          <w:tcPr>
            <w:tcW w:w="7263" w:type="dxa"/>
            <w:tcBorders>
              <w:top w:val="single" w:color="000000" w:sz="2" w:space="0"/>
              <w:left w:val="single" w:color="000000" w:sz="4" w:space="0"/>
              <w:bottom w:val="single" w:color="000000" w:sz="4" w:space="0"/>
              <w:right w:val="nil"/>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防范措施</w:t>
            </w:r>
          </w:p>
        </w:tc>
      </w:tr>
      <w:tr>
        <w:tblPrEx>
          <w:tblCellMar>
            <w:top w:w="0" w:type="dxa"/>
            <w:left w:w="0" w:type="dxa"/>
            <w:bottom w:w="0" w:type="dxa"/>
            <w:right w:w="0" w:type="dxa"/>
          </w:tblCellMar>
        </w:tblPrEx>
        <w:trPr>
          <w:trHeight w:val="625" w:hRule="exact"/>
        </w:trPr>
        <w:tc>
          <w:tcPr>
            <w:tcW w:w="1693" w:type="dxa"/>
            <w:vMerge w:val="restart"/>
            <w:tcBorders>
              <w:top w:val="single" w:color="000000" w:sz="4" w:space="0"/>
              <w:left w:val="nil"/>
              <w:right w:val="single" w:color="000000" w:sz="4"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场所、设备设计</w:t>
            </w:r>
          </w:p>
        </w:tc>
        <w:tc>
          <w:tcPr>
            <w:tcW w:w="7263" w:type="dxa"/>
            <w:tcBorders>
              <w:top w:val="single" w:color="000000" w:sz="4" w:space="0"/>
              <w:left w:val="single" w:color="000000" w:sz="4" w:space="0"/>
              <w:bottom w:val="single" w:color="000000" w:sz="4" w:space="0"/>
              <w:right w:val="nil"/>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严格执行有关防水、防爆、防中毒的规定；高温和有明火的设备尽量远离</w:t>
            </w:r>
          </w:p>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散发可燃气体的场所。</w:t>
            </w:r>
          </w:p>
        </w:tc>
      </w:tr>
      <w:tr>
        <w:tblPrEx>
          <w:tblCellMar>
            <w:top w:w="0" w:type="dxa"/>
            <w:left w:w="0" w:type="dxa"/>
            <w:bottom w:w="0" w:type="dxa"/>
            <w:right w:w="0" w:type="dxa"/>
          </w:tblCellMar>
        </w:tblPrEx>
        <w:trPr>
          <w:trHeight w:val="332" w:hRule="exact"/>
        </w:trPr>
        <w:tc>
          <w:tcPr>
            <w:tcW w:w="1693" w:type="dxa"/>
            <w:vMerge w:val="continue"/>
            <w:tcBorders>
              <w:left w:val="nil"/>
              <w:right w:val="single" w:color="000000" w:sz="4"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p>
        </w:tc>
        <w:tc>
          <w:tcPr>
            <w:tcW w:w="7263" w:type="dxa"/>
            <w:tcBorders>
              <w:top w:val="single" w:color="000000" w:sz="4" w:space="0"/>
              <w:left w:val="single" w:color="000000" w:sz="4" w:space="0"/>
              <w:bottom w:val="single" w:color="000000" w:sz="4" w:space="0"/>
              <w:right w:val="nil"/>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应有急救设施、救援通道及应急疏散通道。</w:t>
            </w:r>
          </w:p>
        </w:tc>
      </w:tr>
      <w:tr>
        <w:tblPrEx>
          <w:tblCellMar>
            <w:top w:w="0" w:type="dxa"/>
            <w:left w:w="0" w:type="dxa"/>
            <w:bottom w:w="0" w:type="dxa"/>
            <w:right w:w="0" w:type="dxa"/>
          </w:tblCellMar>
        </w:tblPrEx>
        <w:trPr>
          <w:trHeight w:val="332" w:hRule="exact"/>
        </w:trPr>
        <w:tc>
          <w:tcPr>
            <w:tcW w:w="1693" w:type="dxa"/>
            <w:vMerge w:val="continue"/>
            <w:tcBorders>
              <w:left w:val="nil"/>
              <w:right w:val="single" w:color="000000" w:sz="4"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p>
        </w:tc>
        <w:tc>
          <w:tcPr>
            <w:tcW w:w="7263" w:type="dxa"/>
            <w:tcBorders>
              <w:top w:val="single" w:color="000000" w:sz="4" w:space="0"/>
              <w:left w:val="single" w:color="000000" w:sz="4" w:space="0"/>
              <w:bottom w:val="single" w:color="000000" w:sz="4" w:space="0"/>
              <w:right w:val="nil"/>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设计应留有一定的安全系统。</w:t>
            </w:r>
          </w:p>
        </w:tc>
      </w:tr>
      <w:tr>
        <w:tblPrEx>
          <w:tblCellMar>
            <w:top w:w="0" w:type="dxa"/>
            <w:left w:w="0" w:type="dxa"/>
            <w:bottom w:w="0" w:type="dxa"/>
            <w:right w:w="0" w:type="dxa"/>
          </w:tblCellMar>
        </w:tblPrEx>
        <w:trPr>
          <w:trHeight w:val="320" w:hRule="exact"/>
        </w:trPr>
        <w:tc>
          <w:tcPr>
            <w:tcW w:w="1693" w:type="dxa"/>
            <w:vMerge w:val="continue"/>
            <w:tcBorders>
              <w:left w:val="nil"/>
              <w:right w:val="single" w:color="000000" w:sz="4"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p>
        </w:tc>
        <w:tc>
          <w:tcPr>
            <w:tcW w:w="7263" w:type="dxa"/>
            <w:tcBorders>
              <w:top w:val="single" w:color="000000" w:sz="4" w:space="0"/>
              <w:left w:val="single" w:color="000000" w:sz="4" w:space="0"/>
              <w:bottom w:val="single" w:color="000000" w:sz="4" w:space="0"/>
              <w:right w:val="nil"/>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加强对系统设备和密封单元的维护保养，严防泄漏。</w:t>
            </w:r>
          </w:p>
        </w:tc>
      </w:tr>
      <w:tr>
        <w:tblPrEx>
          <w:tblCellMar>
            <w:top w:w="0" w:type="dxa"/>
            <w:left w:w="0" w:type="dxa"/>
            <w:bottom w:w="0" w:type="dxa"/>
            <w:right w:w="0" w:type="dxa"/>
          </w:tblCellMar>
        </w:tblPrEx>
        <w:trPr>
          <w:trHeight w:val="632" w:hRule="exact"/>
        </w:trPr>
        <w:tc>
          <w:tcPr>
            <w:tcW w:w="1693" w:type="dxa"/>
            <w:vMerge w:val="continue"/>
            <w:tcBorders>
              <w:left w:val="nil"/>
              <w:right w:val="single" w:color="000000" w:sz="4"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p>
        </w:tc>
        <w:tc>
          <w:tcPr>
            <w:tcW w:w="7263" w:type="dxa"/>
            <w:tcBorders>
              <w:top w:val="single" w:color="000000" w:sz="4" w:space="0"/>
              <w:left w:val="single" w:color="000000" w:sz="4" w:space="0"/>
              <w:bottom w:val="single" w:color="000000" w:sz="4" w:space="0"/>
              <w:right w:val="nil"/>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管道设防腐层、降低管道腐蚀风险，并定期进行管道壁厚的测量，对严重</w:t>
            </w:r>
          </w:p>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管壁减薄的管段，及时维修更换，避免爆管、泄漏事故发生。</w:t>
            </w:r>
          </w:p>
        </w:tc>
      </w:tr>
      <w:tr>
        <w:tblPrEx>
          <w:tblCellMar>
            <w:top w:w="0" w:type="dxa"/>
            <w:left w:w="0" w:type="dxa"/>
            <w:bottom w:w="0" w:type="dxa"/>
            <w:right w:w="0" w:type="dxa"/>
          </w:tblCellMar>
        </w:tblPrEx>
        <w:trPr>
          <w:trHeight w:val="770" w:hRule="exact"/>
        </w:trPr>
        <w:tc>
          <w:tcPr>
            <w:tcW w:w="1693" w:type="dxa"/>
            <w:vMerge w:val="continue"/>
            <w:tcBorders>
              <w:left w:val="nil"/>
              <w:right w:val="single" w:color="000000" w:sz="4"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p>
        </w:tc>
        <w:tc>
          <w:tcPr>
            <w:tcW w:w="7263" w:type="dxa"/>
            <w:tcBorders>
              <w:top w:val="single" w:color="000000" w:sz="4" w:space="0"/>
              <w:left w:val="single" w:color="000000" w:sz="4" w:space="0"/>
              <w:bottom w:val="single" w:color="000000" w:sz="4" w:space="0"/>
              <w:right w:val="nil"/>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做好各区的防渗工作，严格按照规范要求进行防渗层的铺设，他投入运行 前对污水处理站的防渗层的防渗效果进行全面的检查</w:t>
            </w:r>
          </w:p>
        </w:tc>
      </w:tr>
      <w:tr>
        <w:tblPrEx>
          <w:tblCellMar>
            <w:top w:w="0" w:type="dxa"/>
            <w:left w:w="0" w:type="dxa"/>
            <w:bottom w:w="0" w:type="dxa"/>
            <w:right w:w="0" w:type="dxa"/>
          </w:tblCellMar>
        </w:tblPrEx>
        <w:trPr>
          <w:trHeight w:val="695" w:hRule="exact"/>
        </w:trPr>
        <w:tc>
          <w:tcPr>
            <w:tcW w:w="1693" w:type="dxa"/>
            <w:vMerge w:val="continue"/>
            <w:tcBorders>
              <w:left w:val="nil"/>
              <w:right w:val="single" w:color="000000" w:sz="4"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p>
        </w:tc>
        <w:tc>
          <w:tcPr>
            <w:tcW w:w="7263" w:type="dxa"/>
            <w:tcBorders>
              <w:top w:val="single" w:color="000000" w:sz="4" w:space="0"/>
              <w:left w:val="single" w:color="000000" w:sz="4" w:space="0"/>
              <w:bottom w:val="single" w:color="000000" w:sz="4" w:space="0"/>
              <w:right w:val="nil"/>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具有火灾、爆炸等危害的作业区，应设计事故状态时能延时工作的事故照 明灯，装置内潮湿和高温等危险环境采用安全电压。</w:t>
            </w:r>
          </w:p>
        </w:tc>
      </w:tr>
      <w:tr>
        <w:tblPrEx>
          <w:tblCellMar>
            <w:top w:w="0" w:type="dxa"/>
            <w:left w:w="0" w:type="dxa"/>
            <w:bottom w:w="0" w:type="dxa"/>
            <w:right w:w="0" w:type="dxa"/>
          </w:tblCellMar>
        </w:tblPrEx>
        <w:trPr>
          <w:trHeight w:val="321" w:hRule="exact"/>
        </w:trPr>
        <w:tc>
          <w:tcPr>
            <w:tcW w:w="1693" w:type="dxa"/>
            <w:vMerge w:val="continue"/>
            <w:tcBorders>
              <w:left w:val="nil"/>
              <w:right w:val="single" w:color="000000" w:sz="4"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p>
        </w:tc>
        <w:tc>
          <w:tcPr>
            <w:tcW w:w="7263" w:type="dxa"/>
            <w:tcBorders>
              <w:top w:val="single" w:color="000000" w:sz="4" w:space="0"/>
              <w:left w:val="single" w:color="000000" w:sz="4" w:space="0"/>
              <w:bottom w:val="single" w:color="000000" w:sz="4" w:space="0"/>
              <w:right w:val="nil"/>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配备足够的消防设施，个人防护设备。</w:t>
            </w:r>
          </w:p>
        </w:tc>
      </w:tr>
      <w:tr>
        <w:tblPrEx>
          <w:tblCellMar>
            <w:top w:w="0" w:type="dxa"/>
            <w:left w:w="0" w:type="dxa"/>
            <w:bottom w:w="0" w:type="dxa"/>
            <w:right w:w="0" w:type="dxa"/>
          </w:tblCellMar>
        </w:tblPrEx>
        <w:trPr>
          <w:trHeight w:val="347" w:hRule="exact"/>
        </w:trPr>
        <w:tc>
          <w:tcPr>
            <w:tcW w:w="1693" w:type="dxa"/>
            <w:vMerge w:val="continue"/>
            <w:tcBorders>
              <w:left w:val="nil"/>
              <w:bottom w:val="single" w:color="000000" w:sz="4" w:space="0"/>
              <w:right w:val="single" w:color="000000" w:sz="4"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p>
        </w:tc>
        <w:tc>
          <w:tcPr>
            <w:tcW w:w="7263" w:type="dxa"/>
            <w:tcBorders>
              <w:top w:val="single" w:color="000000" w:sz="4" w:space="0"/>
              <w:left w:val="single" w:color="000000" w:sz="4" w:space="0"/>
              <w:bottom w:val="single" w:color="000000" w:sz="4" w:space="0"/>
              <w:right w:val="nil"/>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建筑物采取防雷措施，安装避雷针。</w:t>
            </w:r>
          </w:p>
        </w:tc>
      </w:tr>
      <w:tr>
        <w:tblPrEx>
          <w:tblCellMar>
            <w:top w:w="0" w:type="dxa"/>
            <w:left w:w="0" w:type="dxa"/>
            <w:bottom w:w="0" w:type="dxa"/>
            <w:right w:w="0" w:type="dxa"/>
          </w:tblCellMar>
        </w:tblPrEx>
        <w:trPr>
          <w:trHeight w:val="284" w:hRule="exact"/>
        </w:trPr>
        <w:tc>
          <w:tcPr>
            <w:tcW w:w="1693" w:type="dxa"/>
            <w:vMerge w:val="restart"/>
            <w:tcBorders>
              <w:top w:val="single" w:color="000000" w:sz="4" w:space="0"/>
              <w:left w:val="nil"/>
              <w:right w:val="single" w:color="000000" w:sz="4"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工程设计</w:t>
            </w:r>
          </w:p>
        </w:tc>
        <w:tc>
          <w:tcPr>
            <w:tcW w:w="7263" w:type="dxa"/>
            <w:tcBorders>
              <w:top w:val="single" w:color="000000" w:sz="4" w:space="0"/>
              <w:left w:val="single" w:color="000000" w:sz="4" w:space="0"/>
              <w:bottom w:val="single" w:color="000000" w:sz="4" w:space="0"/>
              <w:right w:val="nil"/>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严格执行防火、防雷等设计规范。</w:t>
            </w:r>
          </w:p>
        </w:tc>
      </w:tr>
      <w:tr>
        <w:tblPrEx>
          <w:tblCellMar>
            <w:top w:w="0" w:type="dxa"/>
            <w:left w:w="0" w:type="dxa"/>
            <w:bottom w:w="0" w:type="dxa"/>
            <w:right w:w="0" w:type="dxa"/>
          </w:tblCellMar>
        </w:tblPrEx>
        <w:trPr>
          <w:trHeight w:val="309" w:hRule="exact"/>
        </w:trPr>
        <w:tc>
          <w:tcPr>
            <w:tcW w:w="1693" w:type="dxa"/>
            <w:vMerge w:val="continue"/>
            <w:tcBorders>
              <w:left w:val="nil"/>
              <w:bottom w:val="single" w:color="000000" w:sz="4" w:space="0"/>
              <w:right w:val="single" w:color="000000" w:sz="4"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p>
        </w:tc>
        <w:tc>
          <w:tcPr>
            <w:tcW w:w="7263" w:type="dxa"/>
            <w:tcBorders>
              <w:top w:val="single" w:color="000000" w:sz="4" w:space="0"/>
              <w:left w:val="single" w:color="000000" w:sz="4" w:space="0"/>
              <w:bottom w:val="single" w:color="000000" w:sz="4" w:space="0"/>
              <w:right w:val="nil"/>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严把工程质量关，验收合格后方能投入使用。</w:t>
            </w:r>
          </w:p>
        </w:tc>
      </w:tr>
      <w:tr>
        <w:tblPrEx>
          <w:tblCellMar>
            <w:top w:w="0" w:type="dxa"/>
            <w:left w:w="0" w:type="dxa"/>
            <w:bottom w:w="0" w:type="dxa"/>
            <w:right w:w="0" w:type="dxa"/>
          </w:tblCellMar>
        </w:tblPrEx>
        <w:trPr>
          <w:trHeight w:val="359" w:hRule="exact"/>
        </w:trPr>
        <w:tc>
          <w:tcPr>
            <w:tcW w:w="1693" w:type="dxa"/>
            <w:vMerge w:val="restart"/>
            <w:tcBorders>
              <w:top w:val="single" w:color="000000" w:sz="4" w:space="0"/>
              <w:left w:val="nil"/>
              <w:right w:val="single" w:color="000000" w:sz="4"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安全制度</w:t>
            </w:r>
          </w:p>
        </w:tc>
        <w:tc>
          <w:tcPr>
            <w:tcW w:w="7263" w:type="dxa"/>
            <w:tcBorders>
              <w:top w:val="single" w:color="000000" w:sz="4" w:space="0"/>
              <w:left w:val="single" w:color="000000" w:sz="4" w:space="0"/>
              <w:bottom w:val="single" w:color="000000" w:sz="4" w:space="0"/>
              <w:right w:val="nil"/>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加强岗位培训，落实规范操作及安全生产责任制。</w:t>
            </w:r>
          </w:p>
        </w:tc>
      </w:tr>
      <w:tr>
        <w:tblPrEx>
          <w:tblCellMar>
            <w:top w:w="0" w:type="dxa"/>
            <w:left w:w="0" w:type="dxa"/>
            <w:bottom w:w="0" w:type="dxa"/>
            <w:right w:w="0" w:type="dxa"/>
          </w:tblCellMar>
        </w:tblPrEx>
        <w:trPr>
          <w:trHeight w:val="328" w:hRule="exact"/>
        </w:trPr>
        <w:tc>
          <w:tcPr>
            <w:tcW w:w="1693" w:type="dxa"/>
            <w:vMerge w:val="continue"/>
            <w:tcBorders>
              <w:left w:val="nil"/>
              <w:bottom w:val="single" w:color="000000" w:sz="2" w:space="0"/>
              <w:right w:val="single" w:color="000000" w:sz="4" w:space="0"/>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p>
        </w:tc>
        <w:tc>
          <w:tcPr>
            <w:tcW w:w="7263" w:type="dxa"/>
            <w:tcBorders>
              <w:top w:val="single" w:color="000000" w:sz="4" w:space="0"/>
              <w:left w:val="single" w:color="000000" w:sz="4" w:space="0"/>
              <w:bottom w:val="single" w:color="000000" w:sz="2" w:space="0"/>
              <w:right w:val="nil"/>
            </w:tcBorders>
            <w:vAlign w:val="center"/>
          </w:tcPr>
          <w:p>
            <w:pPr>
              <w:pStyle w:val="40"/>
              <w:adjustRightInd/>
              <w:snapToGrid/>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场区内严禁烟火。</w:t>
            </w:r>
          </w:p>
        </w:tc>
      </w:tr>
    </w:tbl>
    <w:p>
      <w:pPr>
        <w:keepNext/>
        <w:keepLines/>
        <w:ind w:firstLine="480"/>
        <w:outlineLvl w:val="2"/>
        <w:rPr>
          <w:rFonts w:hint="default" w:ascii="Times New Roman" w:hAnsi="Times New Roman" w:eastAsia="黑体" w:cs="Times New Roman"/>
          <w:bCs/>
          <w:color w:val="auto"/>
        </w:rPr>
      </w:pPr>
      <w:r>
        <w:rPr>
          <w:rFonts w:hint="default" w:ascii="Times New Roman" w:hAnsi="Times New Roman" w:eastAsia="黑体" w:cs="Times New Roman"/>
          <w:bCs/>
          <w:color w:val="auto"/>
        </w:rPr>
        <w:t>9.2.5向社会公开的内容</w:t>
      </w:r>
      <w:bookmarkEnd w:id="748"/>
    </w:p>
    <w:p>
      <w:pPr>
        <w:ind w:firstLine="480"/>
        <w:rPr>
          <w:rFonts w:hint="default" w:ascii="Times New Roman" w:hAnsi="Times New Roman" w:cs="Times New Roman"/>
          <w:bCs/>
          <w:color w:val="auto"/>
        </w:rPr>
      </w:pPr>
      <w:r>
        <w:rPr>
          <w:rFonts w:hint="default" w:ascii="Times New Roman" w:hAnsi="Times New Roman" w:cs="Times New Roman"/>
          <w:bCs/>
          <w:color w:val="auto"/>
        </w:rPr>
        <w:t>牧原食品股份有限公司拟投资</w:t>
      </w:r>
      <w:r>
        <w:rPr>
          <w:rFonts w:hint="default" w:ascii="Times New Roman" w:hAnsi="Times New Roman" w:cs="Times New Roman"/>
          <w:bCs/>
          <w:iCs/>
          <w:color w:val="auto"/>
        </w:rPr>
        <w:t>9012.19</w:t>
      </w:r>
      <w:r>
        <w:rPr>
          <w:rFonts w:hint="default" w:ascii="Times New Roman" w:hAnsi="Times New Roman" w:cs="Times New Roman"/>
          <w:bCs/>
          <w:color w:val="auto"/>
        </w:rPr>
        <w:t>万元，在清丰县韩村镇杨韩村北侧征地167亩，建设牧原食品股份有限公司清丰一场生猪养殖项目，设计规模为年存栏母猪7500头。</w:t>
      </w:r>
    </w:p>
    <w:p>
      <w:pPr>
        <w:pStyle w:val="7"/>
        <w:numPr>
          <w:ilvl w:val="0"/>
          <w:numId w:val="13"/>
        </w:numPr>
        <w:ind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本项目废水主要为养殖废水和生活废水，经采取“干清粪+黑膜沼气池、沼气沼液综合利用”处理工艺，养殖废水和生活污水进入配套污水处理站，经无害化处理后，全部综合利用零排放。</w:t>
      </w:r>
    </w:p>
    <w:p>
      <w:pPr>
        <w:pStyle w:val="7"/>
        <w:numPr>
          <w:ilvl w:val="0"/>
          <w:numId w:val="13"/>
        </w:numPr>
        <w:ind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本项目大气污染物主要为养殖过程、污水处理过程、粪污处理过程、</w:t>
      </w:r>
      <w:r>
        <w:rPr>
          <w:rFonts w:hint="default" w:ascii="Times New Roman" w:hAnsi="Times New Roman" w:cs="Times New Roman"/>
          <w:bCs/>
          <w:color w:val="auto"/>
          <w:sz w:val="24"/>
          <w:szCs w:val="24"/>
          <w:lang w:eastAsia="zh-CN"/>
        </w:rPr>
        <w:t>沼液存储池</w:t>
      </w:r>
      <w:r>
        <w:rPr>
          <w:rFonts w:hint="default" w:ascii="Times New Roman" w:hAnsi="Times New Roman" w:cs="Times New Roman"/>
          <w:bCs/>
          <w:color w:val="auto"/>
          <w:sz w:val="24"/>
          <w:szCs w:val="24"/>
        </w:rPr>
        <w:t>产生的恶臭气体、</w:t>
      </w:r>
      <w:r>
        <w:rPr>
          <w:rFonts w:hint="default" w:ascii="Times New Roman" w:hAnsi="Times New Roman" w:cs="Times New Roman"/>
          <w:bCs/>
          <w:color w:val="auto"/>
          <w:sz w:val="24"/>
          <w:szCs w:val="24"/>
          <w:lang w:eastAsia="zh-CN"/>
        </w:rPr>
        <w:t>无害化处理机、沼气燃烧废气</w:t>
      </w:r>
      <w:r>
        <w:rPr>
          <w:rFonts w:hint="default" w:ascii="Times New Roman" w:hAnsi="Times New Roman" w:cs="Times New Roman"/>
          <w:bCs/>
          <w:color w:val="auto"/>
          <w:sz w:val="24"/>
          <w:szCs w:val="24"/>
        </w:rPr>
        <w:t>及食堂油烟。</w:t>
      </w:r>
    </w:p>
    <w:p>
      <w:pPr>
        <w:pStyle w:val="7"/>
        <w:numPr>
          <w:ilvl w:val="0"/>
          <w:numId w:val="0"/>
        </w:numPr>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恶臭气体根据不同产生单元，采取相应的处理方式，</w:t>
      </w:r>
      <w:r>
        <w:rPr>
          <w:rFonts w:hint="default" w:ascii="Times New Roman" w:hAnsi="Times New Roman" w:cs="Times New Roman"/>
          <w:color w:val="auto"/>
          <w:sz w:val="24"/>
          <w:szCs w:val="24"/>
        </w:rPr>
        <w:t>①猪舍：采用节水型饮水器、全漏缝地板并及时清粪</w:t>
      </w:r>
      <w:r>
        <w:rPr>
          <w:rFonts w:hint="default" w:ascii="Times New Roman" w:hAnsi="Times New Roman" w:cs="Times New Roman"/>
          <w:color w:val="auto"/>
          <w:sz w:val="24"/>
          <w:szCs w:val="24"/>
          <w:lang w:eastAsia="zh-CN"/>
        </w:rPr>
        <w:t>，在猪舍出风口安装过滤吸附除臭装置</w:t>
      </w:r>
      <w:r>
        <w:rPr>
          <w:rFonts w:hint="default" w:ascii="Times New Roman" w:hAnsi="Times New Roman" w:cs="Times New Roman"/>
          <w:color w:val="auto"/>
          <w:sz w:val="24"/>
          <w:szCs w:val="24"/>
        </w:rPr>
        <w:t>；②污水前处理系统收集调节池喷洒除臭剂；③</w:t>
      </w:r>
      <w:r>
        <w:rPr>
          <w:rFonts w:hint="default" w:ascii="Times New Roman" w:hAnsi="Times New Roman" w:cs="Times New Roman"/>
          <w:color w:val="auto"/>
          <w:sz w:val="24"/>
          <w:szCs w:val="24"/>
          <w:lang w:eastAsia="zh-CN"/>
        </w:rPr>
        <w:t>固粪处理区</w:t>
      </w:r>
      <w:r>
        <w:rPr>
          <w:rFonts w:hint="default" w:ascii="Times New Roman" w:hAnsi="Times New Roman" w:cs="Times New Roman"/>
          <w:color w:val="auto"/>
          <w:sz w:val="24"/>
          <w:szCs w:val="24"/>
        </w:rPr>
        <w:t>：</w:t>
      </w:r>
      <w:r>
        <w:rPr>
          <w:rFonts w:hint="default" w:ascii="Times New Roman" w:hAnsi="Times New Roman" w:cs="Times New Roman"/>
          <w:bCs/>
          <w:color w:val="auto"/>
          <w:kern w:val="0"/>
          <w:sz w:val="24"/>
          <w:szCs w:val="24"/>
        </w:rPr>
        <w:t>固粪处理区由UV光解+水帘除臭装置处理</w:t>
      </w:r>
      <w:r>
        <w:rPr>
          <w:rFonts w:hint="default" w:ascii="Times New Roman" w:hAnsi="Times New Roman" w:cs="Times New Roman"/>
          <w:b w:val="0"/>
          <w:bCs w:val="0"/>
          <w:color w:val="auto"/>
          <w:kern w:val="0"/>
          <w:sz w:val="24"/>
          <w:szCs w:val="24"/>
          <w:u w:val="none"/>
          <w:lang w:eastAsia="zh-CN"/>
        </w:rPr>
        <w:t>，定期喷洒除臭剂</w:t>
      </w:r>
      <w:r>
        <w:rPr>
          <w:rFonts w:hint="default" w:ascii="Times New Roman" w:hAnsi="Times New Roman" w:cs="Times New Roman"/>
          <w:b w:val="0"/>
          <w:bCs w:val="0"/>
          <w:color w:val="auto"/>
          <w:sz w:val="24"/>
          <w:szCs w:val="24"/>
          <w:u w:val="none"/>
        </w:rPr>
        <w:t>；</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4 \* GB3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④</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lang w:eastAsia="zh-CN"/>
        </w:rPr>
        <w:t>沼液存储池</w:t>
      </w:r>
      <w:r>
        <w:rPr>
          <w:rFonts w:hint="default" w:ascii="Times New Roman" w:hAnsi="Times New Roman" w:cs="Times New Roman"/>
          <w:color w:val="auto"/>
          <w:sz w:val="24"/>
          <w:szCs w:val="24"/>
        </w:rPr>
        <w:t>周围加强绿化工作。⑤病死猪高温无害化处理废气经</w:t>
      </w:r>
      <w:r>
        <w:rPr>
          <w:rFonts w:hint="default" w:ascii="Times New Roman" w:hAnsi="Times New Roman" w:eastAsia="Times New Roman" w:cs="Times New Roman"/>
          <w:color w:val="auto"/>
          <w:sz w:val="24"/>
          <w:szCs w:val="24"/>
        </w:rPr>
        <w:t>UV</w:t>
      </w:r>
      <w:r>
        <w:rPr>
          <w:rFonts w:hint="default" w:ascii="Times New Roman" w:hAnsi="Times New Roman" w:cs="Times New Roman"/>
          <w:color w:val="auto"/>
          <w:sz w:val="24"/>
          <w:szCs w:val="24"/>
        </w:rPr>
        <w:t>光解催化氧化设备处理后排放。</w:t>
      </w:r>
      <w:r>
        <w:rPr>
          <w:rFonts w:hint="default" w:ascii="Times New Roman" w:hAnsi="Times New Roman" w:cs="Times New Roman"/>
          <w:bCs/>
          <w:color w:val="auto"/>
          <w:sz w:val="24"/>
          <w:szCs w:val="24"/>
        </w:rPr>
        <w:t>通过各项防护措施后，预测场界废气均能达标排放，场区周围各敏感目标处可</w:t>
      </w:r>
      <w:r>
        <w:rPr>
          <w:rFonts w:hint="default" w:ascii="Times New Roman" w:hAnsi="Times New Roman" w:cs="Times New Roman"/>
          <w:color w:val="auto"/>
          <w:sz w:val="24"/>
          <w:szCs w:val="24"/>
        </w:rPr>
        <w:t xml:space="preserve">满足《环境影响评价技术导则 </w:t>
      </w:r>
      <w:r>
        <w:rPr>
          <w:rFonts w:hint="default" w:ascii="Times New Roman" w:hAnsi="Times New Roman" w:cs="Times New Roman"/>
          <w:color w:val="auto"/>
          <w:spacing w:val="-7"/>
          <w:sz w:val="24"/>
          <w:szCs w:val="24"/>
        </w:rPr>
        <w:t>大气环境》（</w:t>
      </w:r>
      <w:r>
        <w:rPr>
          <w:rFonts w:hint="default" w:ascii="Times New Roman" w:hAnsi="Times New Roman" w:eastAsia="Times New Roman" w:cs="Times New Roman"/>
          <w:color w:val="auto"/>
          <w:spacing w:val="-7"/>
          <w:sz w:val="24"/>
          <w:szCs w:val="24"/>
        </w:rPr>
        <w:t>HJ2.2-2018</w:t>
      </w:r>
      <w:r>
        <w:rPr>
          <w:rFonts w:hint="default" w:ascii="Times New Roman" w:hAnsi="Times New Roman" w:cs="Times New Roman"/>
          <w:color w:val="auto"/>
          <w:spacing w:val="-7"/>
          <w:sz w:val="24"/>
          <w:szCs w:val="24"/>
        </w:rPr>
        <w:t>）附录</w:t>
      </w:r>
      <w:r>
        <w:rPr>
          <w:rFonts w:hint="default" w:ascii="Times New Roman" w:hAnsi="Times New Roman" w:cs="Times New Roman"/>
          <w:color w:val="auto"/>
          <w:spacing w:val="-60"/>
          <w:sz w:val="24"/>
          <w:szCs w:val="24"/>
        </w:rPr>
        <w:t xml:space="preserve"> </w:t>
      </w:r>
      <w:r>
        <w:rPr>
          <w:rFonts w:hint="default" w:ascii="Times New Roman" w:hAnsi="Times New Roman" w:eastAsia="Times New Roman" w:cs="Times New Roman"/>
          <w:color w:val="auto"/>
          <w:sz w:val="24"/>
          <w:szCs w:val="24"/>
        </w:rPr>
        <w:t>D</w:t>
      </w:r>
      <w:r>
        <w:rPr>
          <w:rFonts w:hint="default" w:ascii="Times New Roman" w:hAnsi="Times New Roman" w:cs="Times New Roman"/>
          <w:color w:val="auto"/>
          <w:sz w:val="24"/>
          <w:szCs w:val="24"/>
        </w:rPr>
        <w:t>，其他污染物空气质量浓度参考限值浓度要求</w:t>
      </w:r>
      <w:r>
        <w:rPr>
          <w:rFonts w:hint="default" w:ascii="Times New Roman" w:hAnsi="Times New Roman" w:cs="Times New Roman"/>
          <w:bCs/>
          <w:color w:val="auto"/>
          <w:sz w:val="24"/>
          <w:szCs w:val="24"/>
        </w:rPr>
        <w:t>。</w:t>
      </w:r>
    </w:p>
    <w:p>
      <w:pPr>
        <w:pStyle w:val="7"/>
        <w:numPr>
          <w:ilvl w:val="0"/>
          <w:numId w:val="0"/>
        </w:numPr>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项目沼气通过脱硫处理后H</w:t>
      </w:r>
      <w:r>
        <w:rPr>
          <w:rFonts w:hint="default" w:ascii="Times New Roman" w:hAnsi="Times New Roman" w:cs="Times New Roman"/>
          <w:bCs/>
          <w:color w:val="auto"/>
          <w:sz w:val="24"/>
          <w:szCs w:val="24"/>
          <w:vertAlign w:val="subscript"/>
        </w:rPr>
        <w:t>2</w:t>
      </w:r>
      <w:r>
        <w:rPr>
          <w:rFonts w:hint="default" w:ascii="Times New Roman" w:hAnsi="Times New Roman" w:cs="Times New Roman"/>
          <w:bCs/>
          <w:color w:val="auto"/>
          <w:sz w:val="24"/>
          <w:szCs w:val="24"/>
        </w:rPr>
        <w:t>S含量较低，沼气主要成分为CH</w:t>
      </w:r>
      <w:r>
        <w:rPr>
          <w:rFonts w:hint="default" w:ascii="Times New Roman" w:hAnsi="Times New Roman" w:cs="Times New Roman"/>
          <w:bCs/>
          <w:color w:val="auto"/>
          <w:sz w:val="24"/>
          <w:szCs w:val="24"/>
          <w:vertAlign w:val="subscript"/>
        </w:rPr>
        <w:t>4</w:t>
      </w:r>
      <w:r>
        <w:rPr>
          <w:rFonts w:hint="default" w:ascii="Times New Roman" w:hAnsi="Times New Roman" w:cs="Times New Roman"/>
          <w:bCs/>
          <w:color w:val="auto"/>
          <w:sz w:val="24"/>
          <w:szCs w:val="24"/>
        </w:rPr>
        <w:t>，属于清洁能源，燃烧后主要产物为CO</w:t>
      </w:r>
      <w:r>
        <w:rPr>
          <w:rFonts w:hint="default" w:ascii="Times New Roman" w:hAnsi="Times New Roman" w:cs="Times New Roman"/>
          <w:bCs/>
          <w:color w:val="auto"/>
          <w:sz w:val="24"/>
          <w:szCs w:val="24"/>
          <w:vertAlign w:val="subscript"/>
        </w:rPr>
        <w:t>2</w:t>
      </w:r>
      <w:r>
        <w:rPr>
          <w:rFonts w:hint="default" w:ascii="Times New Roman" w:hAnsi="Times New Roman" w:cs="Times New Roman"/>
          <w:bCs/>
          <w:color w:val="auto"/>
          <w:sz w:val="24"/>
          <w:szCs w:val="24"/>
        </w:rPr>
        <w:t>、H</w:t>
      </w:r>
      <w:r>
        <w:rPr>
          <w:rFonts w:hint="default" w:ascii="Times New Roman" w:hAnsi="Times New Roman" w:cs="Times New Roman"/>
          <w:bCs/>
          <w:color w:val="auto"/>
          <w:sz w:val="24"/>
          <w:szCs w:val="24"/>
          <w:vertAlign w:val="subscript"/>
        </w:rPr>
        <w:t>2</w:t>
      </w:r>
      <w:r>
        <w:rPr>
          <w:rFonts w:hint="default" w:ascii="Times New Roman" w:hAnsi="Times New Roman" w:cs="Times New Roman"/>
          <w:bCs/>
          <w:color w:val="auto"/>
          <w:sz w:val="24"/>
          <w:szCs w:val="24"/>
        </w:rPr>
        <w:t>O。</w:t>
      </w:r>
    </w:p>
    <w:p>
      <w:pPr>
        <w:pStyle w:val="11"/>
        <w:spacing w:before="7" w:line="367" w:lineRule="auto"/>
        <w:ind w:left="217" w:right="109" w:firstLine="480"/>
        <w:jc w:val="left"/>
        <w:rPr>
          <w:rFonts w:hint="default" w:ascii="Times New Roman" w:hAnsi="Times New Roman" w:cs="Times New Roman"/>
          <w:color w:val="auto"/>
        </w:rPr>
      </w:pPr>
      <w:r>
        <w:rPr>
          <w:rFonts w:hint="default" w:ascii="Times New Roman" w:hAnsi="Times New Roman" w:cs="Times New Roman"/>
          <w:color w:val="auto"/>
        </w:rPr>
        <w:t>食堂烹饪过程中产生油烟的废气</w:t>
      </w:r>
      <w:r>
        <w:rPr>
          <w:rFonts w:hint="default" w:ascii="Times New Roman" w:hAnsi="Times New Roman" w:cs="Times New Roman"/>
          <w:color w:val="auto"/>
          <w:spacing w:val="-46"/>
        </w:rPr>
        <w:t>，</w:t>
      </w:r>
      <w:r>
        <w:rPr>
          <w:rFonts w:hint="default" w:ascii="Times New Roman" w:hAnsi="Times New Roman" w:cs="Times New Roman"/>
          <w:color w:val="auto"/>
        </w:rPr>
        <w:t>经油烟净化器处理满</w:t>
      </w:r>
      <w:r>
        <w:rPr>
          <w:rFonts w:hint="default" w:ascii="Times New Roman" w:hAnsi="Times New Roman" w:cs="Times New Roman"/>
          <w:color w:val="auto"/>
          <w:spacing w:val="-44"/>
        </w:rPr>
        <w:t>足</w:t>
      </w:r>
      <w:r>
        <w:rPr>
          <w:rFonts w:hint="default" w:ascii="Times New Roman" w:hAnsi="Times New Roman" w:cs="Times New Roman"/>
          <w:color w:val="auto"/>
        </w:rPr>
        <w:t>《餐饮业油烟污染 物排放标准</w:t>
      </w:r>
      <w:r>
        <w:rPr>
          <w:rFonts w:hint="default" w:ascii="Times New Roman" w:hAnsi="Times New Roman" w:cs="Times New Roman"/>
          <w:color w:val="auto"/>
          <w:spacing w:val="-197"/>
        </w:rPr>
        <w:t>》</w:t>
      </w:r>
      <w:r>
        <w:rPr>
          <w:rFonts w:hint="default" w:ascii="Times New Roman" w:hAnsi="Times New Roman" w:cs="Times New Roman"/>
          <w:color w:val="auto"/>
        </w:rPr>
        <w:t>（试行</w:t>
      </w:r>
      <w:r>
        <w:rPr>
          <w:rFonts w:hint="default" w:ascii="Times New Roman" w:hAnsi="Times New Roman" w:cs="Times New Roman"/>
          <w:color w:val="auto"/>
          <w:spacing w:val="-195"/>
        </w:rPr>
        <w:t>）</w:t>
      </w:r>
      <w:r>
        <w:rPr>
          <w:rFonts w:hint="default" w:ascii="Times New Roman" w:hAnsi="Times New Roman" w:cs="Times New Roman"/>
          <w:color w:val="auto"/>
        </w:rPr>
        <w:t>（</w:t>
      </w:r>
      <w:r>
        <w:rPr>
          <w:rFonts w:hint="default" w:ascii="Times New Roman" w:hAnsi="Times New Roman" w:eastAsia="Times New Roman" w:cs="Times New Roman"/>
          <w:color w:val="auto"/>
          <w:spacing w:val="-1"/>
        </w:rPr>
        <w:t>D</w:t>
      </w:r>
      <w:r>
        <w:rPr>
          <w:rFonts w:hint="default" w:ascii="Times New Roman" w:hAnsi="Times New Roman" w:eastAsia="Times New Roman" w:cs="Times New Roman"/>
          <w:color w:val="auto"/>
          <w:spacing w:val="-2"/>
          <w:w w:val="99"/>
        </w:rPr>
        <w:t>B</w:t>
      </w:r>
      <w:r>
        <w:rPr>
          <w:rFonts w:hint="default" w:ascii="Times New Roman" w:hAnsi="Times New Roman" w:eastAsia="Times New Roman" w:cs="Times New Roman"/>
          <w:color w:val="auto"/>
        </w:rPr>
        <w:t>41</w:t>
      </w:r>
      <w:r>
        <w:rPr>
          <w:rFonts w:hint="default" w:ascii="Times New Roman" w:hAnsi="Times New Roman" w:eastAsia="Times New Roman" w:cs="Times New Roman"/>
          <w:color w:val="auto"/>
          <w:w w:val="99"/>
        </w:rPr>
        <w:t>/</w:t>
      </w:r>
      <w:r>
        <w:rPr>
          <w:rFonts w:hint="default" w:ascii="Times New Roman" w:hAnsi="Times New Roman" w:eastAsia="Times New Roman" w:cs="Times New Roman"/>
          <w:color w:val="auto"/>
        </w:rPr>
        <w:t>1604</w:t>
      </w:r>
      <w:r>
        <w:rPr>
          <w:rFonts w:hint="default" w:ascii="Times New Roman" w:hAnsi="Times New Roman" w:eastAsia="Times New Roman" w:cs="Times New Roman"/>
          <w:color w:val="auto"/>
          <w:spacing w:val="-1"/>
        </w:rPr>
        <w:t>-</w:t>
      </w:r>
      <w:r>
        <w:rPr>
          <w:rFonts w:hint="default" w:ascii="Times New Roman" w:hAnsi="Times New Roman" w:eastAsia="Times New Roman" w:cs="Times New Roman"/>
          <w:color w:val="auto"/>
        </w:rPr>
        <w:t>201</w:t>
      </w:r>
      <w:r>
        <w:rPr>
          <w:rFonts w:hint="default" w:ascii="Times New Roman" w:hAnsi="Times New Roman" w:eastAsia="Times New Roman" w:cs="Times New Roman"/>
          <w:color w:val="auto"/>
          <w:spacing w:val="2"/>
        </w:rPr>
        <w:t>8</w:t>
      </w:r>
      <w:r>
        <w:rPr>
          <w:rFonts w:hint="default" w:ascii="Times New Roman" w:hAnsi="Times New Roman" w:cs="Times New Roman"/>
          <w:color w:val="auto"/>
          <w:spacing w:val="-75"/>
        </w:rPr>
        <w:t>）</w:t>
      </w:r>
      <w:r>
        <w:rPr>
          <w:rFonts w:hint="default" w:ascii="Times New Roman" w:hAnsi="Times New Roman" w:cs="Times New Roman"/>
          <w:color w:val="auto"/>
        </w:rPr>
        <w:t>油烟最高</w:t>
      </w:r>
      <w:r>
        <w:rPr>
          <w:rFonts w:hint="default" w:ascii="Times New Roman" w:hAnsi="Times New Roman" w:cs="Times New Roman"/>
          <w:color w:val="auto"/>
          <w:spacing w:val="2"/>
        </w:rPr>
        <w:t>允</w:t>
      </w:r>
      <w:r>
        <w:rPr>
          <w:rFonts w:hint="default" w:ascii="Times New Roman" w:hAnsi="Times New Roman" w:cs="Times New Roman"/>
          <w:color w:val="auto"/>
        </w:rPr>
        <w:t>许排放浓度标</w:t>
      </w:r>
      <w:r>
        <w:rPr>
          <w:rFonts w:hint="default" w:ascii="Times New Roman" w:hAnsi="Times New Roman" w:cs="Times New Roman"/>
          <w:color w:val="auto"/>
          <w:spacing w:val="-77"/>
        </w:rPr>
        <w:t>准</w:t>
      </w:r>
      <w:r>
        <w:rPr>
          <w:rFonts w:hint="default" w:ascii="Times New Roman" w:hAnsi="Times New Roman" w:cs="Times New Roman"/>
          <w:color w:val="auto"/>
        </w:rPr>
        <w:t>（</w:t>
      </w:r>
      <w:r>
        <w:rPr>
          <w:rFonts w:hint="default" w:ascii="Times New Roman" w:hAnsi="Times New Roman" w:eastAsia="Times New Roman" w:cs="Times New Roman"/>
          <w:color w:val="auto"/>
        </w:rPr>
        <w:t>1.5</w:t>
      </w:r>
      <w:r>
        <w:rPr>
          <w:rFonts w:hint="default" w:ascii="Times New Roman" w:hAnsi="Times New Roman" w:eastAsia="Times New Roman" w:cs="Times New Roman"/>
          <w:color w:val="auto"/>
          <w:w w:val="99"/>
        </w:rPr>
        <w:t>m</w:t>
      </w:r>
      <w:r>
        <w:rPr>
          <w:rFonts w:hint="default" w:ascii="Times New Roman" w:hAnsi="Times New Roman" w:eastAsia="Times New Roman" w:cs="Times New Roman"/>
          <w:color w:val="auto"/>
          <w:spacing w:val="-3"/>
        </w:rPr>
        <w:t>g</w:t>
      </w:r>
      <w:r>
        <w:rPr>
          <w:rFonts w:hint="default" w:ascii="Times New Roman" w:hAnsi="Times New Roman" w:eastAsia="Times New Roman" w:cs="Times New Roman"/>
          <w:color w:val="auto"/>
          <w:w w:val="99"/>
        </w:rPr>
        <w:t>/m</w:t>
      </w:r>
      <w:r>
        <w:rPr>
          <w:rFonts w:hint="default" w:ascii="Times New Roman" w:hAnsi="Times New Roman" w:eastAsia="Times New Roman" w:cs="Times New Roman"/>
          <w:color w:val="auto"/>
          <w:spacing w:val="1"/>
          <w:w w:val="104"/>
          <w:position w:val="8"/>
          <w:sz w:val="15"/>
          <w:szCs w:val="15"/>
        </w:rPr>
        <w:t>3</w:t>
      </w:r>
      <w:r>
        <w:rPr>
          <w:rFonts w:hint="default" w:ascii="Times New Roman" w:hAnsi="Times New Roman" w:cs="Times New Roman"/>
          <w:color w:val="auto"/>
          <w:spacing w:val="-120"/>
        </w:rPr>
        <w:t>）</w:t>
      </w:r>
      <w:r>
        <w:rPr>
          <w:rFonts w:hint="default" w:ascii="Times New Roman" w:hAnsi="Times New Roman" w:cs="Times New Roman"/>
          <w:color w:val="auto"/>
        </w:rPr>
        <w:t>，油烟去除效率大于等于</w:t>
      </w:r>
      <w:r>
        <w:rPr>
          <w:rFonts w:hint="default" w:ascii="Times New Roman" w:hAnsi="Times New Roman" w:cs="Times New Roman"/>
          <w:color w:val="auto"/>
          <w:spacing w:val="-43"/>
        </w:rPr>
        <w:t xml:space="preserve"> </w:t>
      </w:r>
      <w:r>
        <w:rPr>
          <w:rFonts w:hint="default" w:ascii="Times New Roman" w:hAnsi="Times New Roman" w:eastAsia="Times New Roman" w:cs="Times New Roman"/>
          <w:color w:val="auto"/>
          <w:spacing w:val="-5"/>
        </w:rPr>
        <w:t>90%</w:t>
      </w:r>
      <w:r>
        <w:rPr>
          <w:rFonts w:hint="default" w:ascii="Times New Roman" w:hAnsi="Times New Roman" w:cs="Times New Roman"/>
          <w:color w:val="auto"/>
          <w:spacing w:val="-5"/>
        </w:rPr>
        <w:t>的去除效率的要求，可实现达标排放，对周边环境影</w:t>
      </w:r>
      <w:r>
        <w:rPr>
          <w:rFonts w:hint="default" w:ascii="Times New Roman" w:hAnsi="Times New Roman" w:cs="Times New Roman"/>
          <w:color w:val="auto"/>
          <w:spacing w:val="-118"/>
        </w:rPr>
        <w:t xml:space="preserve"> </w:t>
      </w:r>
      <w:r>
        <w:rPr>
          <w:rFonts w:hint="default" w:ascii="Times New Roman" w:hAnsi="Times New Roman" w:cs="Times New Roman"/>
          <w:color w:val="auto"/>
        </w:rPr>
        <w:t>响不大。</w:t>
      </w:r>
    </w:p>
    <w:p>
      <w:pPr>
        <w:pStyle w:val="7"/>
        <w:numPr>
          <w:ilvl w:val="0"/>
          <w:numId w:val="0"/>
        </w:numPr>
        <w:ind w:firstLine="464" w:firstLineChars="200"/>
        <w:rPr>
          <w:rFonts w:hint="default" w:ascii="Times New Roman" w:hAnsi="Times New Roman" w:cs="Times New Roman"/>
          <w:bCs/>
          <w:color w:val="auto"/>
          <w:sz w:val="24"/>
          <w:szCs w:val="24"/>
        </w:rPr>
      </w:pPr>
      <w:r>
        <w:rPr>
          <w:rFonts w:hint="default" w:ascii="Times New Roman" w:hAnsi="Times New Roman" w:cs="Times New Roman"/>
          <w:bCs/>
          <w:color w:val="auto"/>
          <w:spacing w:val="-4"/>
          <w:sz w:val="24"/>
          <w:szCs w:val="24"/>
        </w:rPr>
        <w:t>（3）</w:t>
      </w:r>
      <w:r>
        <w:rPr>
          <w:rFonts w:hint="default" w:ascii="Times New Roman" w:hAnsi="Times New Roman" w:cs="Times New Roman"/>
          <w:bCs/>
          <w:color w:val="auto"/>
          <w:sz w:val="24"/>
          <w:szCs w:val="24"/>
        </w:rPr>
        <w:t>噪声主要为猪叫声、猪舍降温配套负压风机、粪污处理设施等设备运行时产生的噪声，根据类比调查，其源强为70～95dB(A)。在采取相应的隔声减振措施后，经距离衰减各场界噪声均能够满足《工业企业厂界环境噪声排放标准》（GB12348-2008）2类标准（昼间60dB(A)；夜间50dB(A)）要求。</w:t>
      </w:r>
    </w:p>
    <w:p>
      <w:pPr>
        <w:pStyle w:val="7"/>
        <w:numPr>
          <w:ilvl w:val="0"/>
          <w:numId w:val="0"/>
        </w:numPr>
        <w:ind w:firstLine="464" w:firstLineChars="200"/>
        <w:rPr>
          <w:rFonts w:hint="default" w:ascii="Times New Roman" w:hAnsi="Times New Roman" w:cs="Times New Roman"/>
          <w:bCs/>
          <w:color w:val="auto"/>
          <w:sz w:val="24"/>
          <w:szCs w:val="24"/>
        </w:rPr>
      </w:pPr>
      <w:r>
        <w:rPr>
          <w:rFonts w:hint="default" w:ascii="Times New Roman" w:hAnsi="Times New Roman" w:cs="Times New Roman"/>
          <w:bCs/>
          <w:color w:val="auto"/>
          <w:spacing w:val="-4"/>
          <w:sz w:val="24"/>
          <w:szCs w:val="24"/>
        </w:rPr>
        <w:t>（4）</w:t>
      </w:r>
      <w:r>
        <w:rPr>
          <w:rFonts w:hint="default" w:ascii="Times New Roman" w:hAnsi="Times New Roman" w:cs="Times New Roman"/>
          <w:bCs/>
          <w:color w:val="auto"/>
          <w:sz w:val="24"/>
          <w:szCs w:val="24"/>
        </w:rPr>
        <w:t>本项目产生的固体废物主要包括疾病防疫产生的医疗废物、养殖过程产生的少量病死猪尸和母猪胎盘、猪粪固形物、</w:t>
      </w:r>
      <w:r>
        <w:rPr>
          <w:rFonts w:hint="default" w:ascii="Times New Roman" w:hAnsi="Times New Roman" w:cs="Times New Roman"/>
          <w:bCs/>
          <w:color w:val="auto"/>
          <w:sz w:val="24"/>
          <w:szCs w:val="24"/>
          <w:lang w:eastAsia="zh-CN"/>
        </w:rPr>
        <w:t>废导热油</w:t>
      </w:r>
      <w:r>
        <w:rPr>
          <w:rFonts w:hint="default" w:ascii="Times New Roman" w:hAnsi="Times New Roman" w:cs="Times New Roman"/>
          <w:bCs/>
          <w:color w:val="auto"/>
          <w:sz w:val="24"/>
          <w:szCs w:val="24"/>
        </w:rPr>
        <w:t>、</w:t>
      </w:r>
      <w:r>
        <w:rPr>
          <w:rFonts w:hint="default" w:ascii="Times New Roman" w:hAnsi="Times New Roman" w:cs="Times New Roman"/>
          <w:bCs/>
          <w:color w:val="auto"/>
          <w:sz w:val="24"/>
          <w:szCs w:val="24"/>
          <w:lang w:eastAsia="zh-CN"/>
        </w:rPr>
        <w:t>废</w:t>
      </w:r>
      <w:r>
        <w:rPr>
          <w:rFonts w:hint="default" w:ascii="Times New Roman" w:hAnsi="Times New Roman" w:cs="Times New Roman"/>
          <w:bCs/>
          <w:color w:val="auto"/>
          <w:sz w:val="24"/>
          <w:szCs w:val="24"/>
          <w:lang w:val="en-US" w:eastAsia="zh-CN"/>
        </w:rPr>
        <w:t>UV灯管、</w:t>
      </w:r>
      <w:r>
        <w:rPr>
          <w:rFonts w:hint="default" w:ascii="Times New Roman" w:hAnsi="Times New Roman" w:cs="Times New Roman"/>
          <w:bCs/>
          <w:color w:val="auto"/>
          <w:sz w:val="24"/>
          <w:szCs w:val="24"/>
        </w:rPr>
        <w:t>废脱硫剂及职工生活垃圾等。其中医疗废物定期交由有资质单位处置；病死猪尸体和母猪胎盘</w:t>
      </w:r>
      <w:r>
        <w:rPr>
          <w:rFonts w:hint="default" w:ascii="Times New Roman" w:hAnsi="Times New Roman" w:cs="Times New Roman"/>
          <w:bCs/>
          <w:color w:val="auto"/>
          <w:spacing w:val="3"/>
          <w:sz w:val="24"/>
          <w:szCs w:val="24"/>
        </w:rPr>
        <w:t>处理后残渣外售给有机肥</w:t>
      </w:r>
      <w:r>
        <w:rPr>
          <w:rFonts w:hint="default" w:ascii="Times New Roman" w:hAnsi="Times New Roman" w:cs="Times New Roman"/>
          <w:bCs/>
          <w:color w:val="auto"/>
          <w:spacing w:val="-3"/>
          <w:sz w:val="24"/>
          <w:szCs w:val="24"/>
        </w:rPr>
        <w:t>厂</w:t>
      </w:r>
      <w:r>
        <w:rPr>
          <w:rFonts w:hint="default" w:ascii="Times New Roman" w:hAnsi="Times New Roman" w:cs="Times New Roman"/>
          <w:bCs/>
          <w:color w:val="auto"/>
          <w:sz w:val="24"/>
          <w:szCs w:val="24"/>
        </w:rPr>
        <w:t>；猪粪固形物经发酵处理后制成有机肥</w:t>
      </w:r>
      <w:r>
        <w:rPr>
          <w:rFonts w:hint="default" w:ascii="Times New Roman" w:hAnsi="Times New Roman" w:cs="Times New Roman"/>
          <w:bCs/>
          <w:color w:val="auto"/>
          <w:sz w:val="24"/>
          <w:szCs w:val="24"/>
          <w:lang w:eastAsia="zh-CN"/>
        </w:rPr>
        <w:t>基料</w:t>
      </w:r>
      <w:r>
        <w:rPr>
          <w:rFonts w:hint="default" w:ascii="Times New Roman" w:hAnsi="Times New Roman" w:cs="Times New Roman"/>
          <w:bCs/>
          <w:color w:val="auto"/>
          <w:sz w:val="24"/>
          <w:szCs w:val="24"/>
        </w:rPr>
        <w:t>外售；废脱硫剂</w:t>
      </w:r>
      <w:r>
        <w:rPr>
          <w:rFonts w:hint="default" w:ascii="Times New Roman" w:hAnsi="Times New Roman" w:cs="Times New Roman"/>
          <w:bCs/>
          <w:color w:val="auto"/>
          <w:sz w:val="24"/>
          <w:szCs w:val="24"/>
          <w:lang w:eastAsia="zh-CN"/>
        </w:rPr>
        <w:t>由厂家回收，废导热油、废</w:t>
      </w:r>
      <w:r>
        <w:rPr>
          <w:rFonts w:hint="default" w:ascii="Times New Roman" w:hAnsi="Times New Roman" w:cs="Times New Roman"/>
          <w:bCs/>
          <w:color w:val="auto"/>
          <w:sz w:val="24"/>
          <w:szCs w:val="24"/>
          <w:lang w:val="en-US" w:eastAsia="zh-CN"/>
        </w:rPr>
        <w:t>UV灯管</w:t>
      </w:r>
      <w:r>
        <w:rPr>
          <w:rFonts w:hint="default" w:ascii="Times New Roman" w:hAnsi="Times New Roman" w:cs="Times New Roman"/>
          <w:bCs/>
          <w:color w:val="auto"/>
          <w:sz w:val="24"/>
          <w:szCs w:val="24"/>
        </w:rPr>
        <w:t>由有资质单位集中处置；职工生活垃圾集中收集后送当地垃圾处理厂集中处置。</w:t>
      </w:r>
    </w:p>
    <w:p>
      <w:pPr>
        <w:ind w:firstLine="480"/>
        <w:rPr>
          <w:rFonts w:hint="default" w:ascii="Times New Roman" w:hAnsi="Times New Roman" w:cs="Times New Roman"/>
          <w:bCs/>
          <w:color w:val="auto"/>
        </w:rPr>
      </w:pPr>
      <w:r>
        <w:rPr>
          <w:rFonts w:hint="default" w:ascii="Times New Roman" w:hAnsi="Times New Roman" w:cs="Times New Roman"/>
          <w:bCs/>
          <w:color w:val="auto"/>
        </w:rPr>
        <w:t>综上所述，项目产生的各类污染物均能得到有效处理，实现达标排放或综合利用。</w:t>
      </w:r>
    </w:p>
    <w:p>
      <w:pPr>
        <w:pStyle w:val="4"/>
        <w:numPr>
          <w:ilvl w:val="1"/>
          <w:numId w:val="0"/>
        </w:numPr>
        <w:tabs>
          <w:tab w:val="left" w:pos="105"/>
        </w:tabs>
        <w:spacing w:before="0" w:after="0"/>
        <w:jc w:val="left"/>
        <w:textAlignment w:val="baseline"/>
        <w:rPr>
          <w:rFonts w:hint="default" w:ascii="Times New Roman" w:hAnsi="Times New Roman" w:cs="Times New Roman"/>
          <w:color w:val="auto"/>
          <w:sz w:val="24"/>
          <w:szCs w:val="24"/>
        </w:rPr>
      </w:pPr>
      <w:bookmarkStart w:id="749" w:name="_Toc413834602"/>
      <w:bookmarkStart w:id="750" w:name="_Toc17362"/>
      <w:bookmarkStart w:id="751" w:name="_Toc468115484"/>
      <w:bookmarkStart w:id="752" w:name="_Toc485580808"/>
      <w:bookmarkStart w:id="753" w:name="_Toc31268"/>
      <w:bookmarkStart w:id="754" w:name="_Toc445457761"/>
      <w:bookmarkStart w:id="755" w:name="_Toc19151"/>
      <w:bookmarkStart w:id="756" w:name="_Toc17201"/>
      <w:r>
        <w:rPr>
          <w:rFonts w:hint="default" w:ascii="Times New Roman" w:hAnsi="Times New Roman" w:cs="Times New Roman"/>
          <w:color w:val="auto"/>
          <w:sz w:val="24"/>
          <w:szCs w:val="24"/>
        </w:rPr>
        <w:t>9.3 环境监测制度建议</w:t>
      </w:r>
      <w:bookmarkEnd w:id="749"/>
      <w:bookmarkEnd w:id="750"/>
      <w:bookmarkEnd w:id="751"/>
      <w:bookmarkEnd w:id="752"/>
      <w:bookmarkEnd w:id="753"/>
      <w:bookmarkEnd w:id="754"/>
      <w:bookmarkEnd w:id="755"/>
      <w:bookmarkEnd w:id="756"/>
    </w:p>
    <w:p>
      <w:pPr>
        <w:keepNext/>
        <w:keepLines/>
        <w:ind w:firstLine="480"/>
        <w:outlineLvl w:val="2"/>
        <w:rPr>
          <w:rFonts w:hint="default" w:ascii="Times New Roman" w:hAnsi="Times New Roman" w:eastAsia="黑体" w:cs="Times New Roman"/>
          <w:bCs/>
          <w:color w:val="auto"/>
        </w:rPr>
      </w:pPr>
      <w:bookmarkStart w:id="757" w:name="_Toc468115485"/>
      <w:bookmarkStart w:id="758" w:name="_Toc27375"/>
      <w:r>
        <w:rPr>
          <w:rFonts w:hint="default" w:ascii="Times New Roman" w:hAnsi="Times New Roman" w:eastAsia="黑体" w:cs="Times New Roman"/>
          <w:bCs/>
          <w:color w:val="auto"/>
        </w:rPr>
        <w:t>9.3.1 环境监测目的</w:t>
      </w:r>
      <w:bookmarkEnd w:id="757"/>
      <w:bookmarkEnd w:id="758"/>
    </w:p>
    <w:p>
      <w:pPr>
        <w:ind w:firstLine="480"/>
        <w:rPr>
          <w:rFonts w:hint="default" w:ascii="Times New Roman" w:hAnsi="Times New Roman" w:cs="Times New Roman"/>
          <w:bCs/>
          <w:color w:val="auto"/>
        </w:rPr>
      </w:pPr>
      <w:r>
        <w:rPr>
          <w:rFonts w:hint="default" w:ascii="Times New Roman" w:hAnsi="Times New Roman" w:cs="Times New Roman"/>
          <w:bCs/>
          <w:color w:val="auto"/>
        </w:rPr>
        <w:t>环境监测是环境管理技术的支持。同时，环境监测还是企业搞好环境管理，促进污染治理设施正常运行的主要保障。通过定期的环境监测，了解当地的环境质量状况，可以及时发现问题、解决问题，从而有利于监督各项环保措施的落实，并根据监测结果适时调整环境保护计划。</w:t>
      </w:r>
    </w:p>
    <w:p>
      <w:pPr>
        <w:keepNext/>
        <w:keepLines/>
        <w:ind w:firstLine="480"/>
        <w:outlineLvl w:val="2"/>
        <w:rPr>
          <w:rFonts w:hint="default" w:ascii="Times New Roman" w:hAnsi="Times New Roman" w:eastAsia="黑体" w:cs="Times New Roman"/>
          <w:bCs/>
          <w:color w:val="auto"/>
        </w:rPr>
      </w:pPr>
      <w:bookmarkStart w:id="759" w:name="_Toc468115486"/>
      <w:bookmarkStart w:id="760" w:name="_Toc9129"/>
      <w:r>
        <w:rPr>
          <w:rFonts w:hint="default" w:ascii="Times New Roman" w:hAnsi="Times New Roman" w:eastAsia="黑体" w:cs="Times New Roman"/>
          <w:bCs/>
          <w:color w:val="auto"/>
        </w:rPr>
        <w:t>9.3.2 环境监测机构</w:t>
      </w:r>
      <w:bookmarkEnd w:id="759"/>
      <w:bookmarkEnd w:id="760"/>
    </w:p>
    <w:p>
      <w:pPr>
        <w:ind w:firstLine="480"/>
        <w:rPr>
          <w:rFonts w:hint="default" w:ascii="Times New Roman" w:hAnsi="Times New Roman" w:cs="Times New Roman"/>
          <w:bCs/>
          <w:color w:val="auto"/>
        </w:rPr>
      </w:pPr>
      <w:r>
        <w:rPr>
          <w:rFonts w:hint="default" w:ascii="Times New Roman" w:hAnsi="Times New Roman" w:cs="Times New Roman"/>
          <w:bCs/>
          <w:color w:val="auto"/>
        </w:rPr>
        <w:t>建议该项目营运期的环境监测工作委托有资质的环境监测站承担，日常的生产例行监测则由企业内部执行。评价建议养殖场配备1名专职环境监测人员，负责养殖场运行期环境监测工作，仪器设备配置污水计量装置、污水比例采样器、COD检测仪、生化培养箱等。</w:t>
      </w:r>
    </w:p>
    <w:p>
      <w:pPr>
        <w:keepNext/>
        <w:keepLines/>
        <w:ind w:firstLine="480"/>
        <w:outlineLvl w:val="2"/>
        <w:rPr>
          <w:rFonts w:hint="default" w:ascii="Times New Roman" w:hAnsi="Times New Roman" w:eastAsia="黑体" w:cs="Times New Roman"/>
          <w:bCs/>
          <w:color w:val="auto"/>
        </w:rPr>
      </w:pPr>
      <w:bookmarkStart w:id="761" w:name="_Toc5084"/>
      <w:bookmarkStart w:id="762" w:name="_Toc468115487"/>
      <w:r>
        <w:rPr>
          <w:rFonts w:hint="default" w:ascii="Times New Roman" w:hAnsi="Times New Roman" w:eastAsia="黑体" w:cs="Times New Roman"/>
          <w:bCs/>
          <w:color w:val="auto"/>
        </w:rPr>
        <w:t>9.3.3 监测项目及监测计划</w:t>
      </w:r>
      <w:bookmarkEnd w:id="761"/>
      <w:bookmarkEnd w:id="762"/>
    </w:p>
    <w:p>
      <w:pPr>
        <w:ind w:firstLine="480"/>
        <w:rPr>
          <w:rFonts w:hint="default" w:ascii="Times New Roman" w:hAnsi="Times New Roman" w:cs="Times New Roman"/>
          <w:bCs/>
          <w:color w:val="auto"/>
        </w:rPr>
      </w:pPr>
      <w:r>
        <w:rPr>
          <w:rFonts w:hint="default" w:ascii="Times New Roman" w:hAnsi="Times New Roman" w:cs="Times New Roman"/>
          <w:bCs/>
          <w:color w:val="auto"/>
        </w:rPr>
        <w:t>本项目环境监测主要包括废气、废水、噪声、固体废物等污染源监测及场区周围环境质量的定期监测。环境监测内容一览表见表9.3-1。</w:t>
      </w:r>
    </w:p>
    <w:p>
      <w:pPr>
        <w:ind w:firstLine="482"/>
        <w:jc w:val="left"/>
        <w:rPr>
          <w:rFonts w:hint="default" w:ascii="Times New Roman" w:hAnsi="Times New Roman" w:cs="Times New Roman"/>
          <w:b/>
          <w:color w:val="auto"/>
          <w:szCs w:val="21"/>
        </w:rPr>
      </w:pPr>
      <w:r>
        <w:rPr>
          <w:rFonts w:hint="default" w:ascii="Times New Roman" w:hAnsi="Times New Roman" w:cs="Times New Roman"/>
          <w:b/>
          <w:color w:val="auto"/>
          <w:szCs w:val="21"/>
        </w:rPr>
        <w:t>表9.3-1                  环境监测内容一览表</w:t>
      </w:r>
    </w:p>
    <w:tbl>
      <w:tblPr>
        <w:tblStyle w:val="25"/>
        <w:tblW w:w="9039" w:type="dxa"/>
        <w:tblInd w:w="0" w:type="dxa"/>
        <w:tblBorders>
          <w:top w:val="single" w:color="auto" w:sz="2" w:space="0"/>
          <w:left w:val="none" w:color="auto" w:sz="0" w:space="0"/>
          <w:bottom w:val="single" w:color="auto" w:sz="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5"/>
        <w:gridCol w:w="3431"/>
        <w:gridCol w:w="2835"/>
        <w:gridCol w:w="2128"/>
      </w:tblGrid>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项目</w:t>
            </w:r>
          </w:p>
        </w:tc>
        <w:tc>
          <w:tcPr>
            <w:tcW w:w="34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监测点位</w:t>
            </w:r>
          </w:p>
        </w:tc>
        <w:tc>
          <w:tcPr>
            <w:tcW w:w="28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监测内容</w:t>
            </w:r>
          </w:p>
        </w:tc>
        <w:tc>
          <w:tcPr>
            <w:tcW w:w="21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监测频次</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tblHeader/>
        </w:trPr>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废气</w:t>
            </w:r>
          </w:p>
        </w:tc>
        <w:tc>
          <w:tcPr>
            <w:tcW w:w="3431" w:type="dxa"/>
            <w:tcBorders>
              <w:bottom w:val="single" w:color="000000"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场区四周场界</w:t>
            </w:r>
          </w:p>
        </w:tc>
        <w:tc>
          <w:tcPr>
            <w:tcW w:w="28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H</w:t>
            </w:r>
            <w:r>
              <w:rPr>
                <w:rFonts w:hint="default" w:ascii="Times New Roman" w:hAnsi="Times New Roman" w:cs="Times New Roman"/>
                <w:b w:val="0"/>
                <w:bCs/>
                <w:color w:val="auto"/>
                <w:sz w:val="21"/>
                <w:szCs w:val="21"/>
                <w:u w:val="none"/>
                <w:vertAlign w:val="subscript"/>
              </w:rPr>
              <w:t>2</w:t>
            </w:r>
            <w:r>
              <w:rPr>
                <w:rFonts w:hint="default" w:ascii="Times New Roman" w:hAnsi="Times New Roman" w:cs="Times New Roman"/>
                <w:b w:val="0"/>
                <w:bCs/>
                <w:color w:val="auto"/>
                <w:sz w:val="21"/>
                <w:szCs w:val="21"/>
                <w:u w:val="none"/>
              </w:rPr>
              <w:t>S、NH</w:t>
            </w:r>
            <w:r>
              <w:rPr>
                <w:rFonts w:hint="default" w:ascii="Times New Roman" w:hAnsi="Times New Roman" w:cs="Times New Roman"/>
                <w:b w:val="0"/>
                <w:bCs/>
                <w:color w:val="auto"/>
                <w:sz w:val="21"/>
                <w:szCs w:val="21"/>
                <w:u w:val="none"/>
                <w:vertAlign w:val="subscript"/>
              </w:rPr>
              <w:t>3</w:t>
            </w:r>
          </w:p>
        </w:tc>
        <w:tc>
          <w:tcPr>
            <w:tcW w:w="21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eastAsia="宋体" w:cs="Times New Roman"/>
                <w:b w:val="0"/>
                <w:bCs/>
                <w:color w:val="auto"/>
                <w:sz w:val="21"/>
                <w:szCs w:val="21"/>
                <w:u w:val="none"/>
              </w:rPr>
              <w:t>建议每年监测一次</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废水</w:t>
            </w:r>
          </w:p>
        </w:tc>
        <w:tc>
          <w:tcPr>
            <w:tcW w:w="34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养殖场污水处理设施进、出口</w:t>
            </w:r>
          </w:p>
        </w:tc>
        <w:tc>
          <w:tcPr>
            <w:tcW w:w="28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sz w:val="21"/>
                <w:szCs w:val="21"/>
                <w:u w:val="none"/>
                <w:lang w:eastAsia="zh-CN"/>
              </w:rPr>
            </w:pPr>
            <w:r>
              <w:rPr>
                <w:rFonts w:hint="default" w:ascii="Times New Roman" w:hAnsi="Times New Roman" w:cs="Times New Roman"/>
                <w:b w:val="0"/>
                <w:bCs/>
                <w:color w:val="auto"/>
                <w:sz w:val="21"/>
                <w:szCs w:val="21"/>
                <w:u w:val="none"/>
              </w:rPr>
              <w:t>pH、BOD</w:t>
            </w:r>
            <w:r>
              <w:rPr>
                <w:rFonts w:hint="default" w:ascii="Times New Roman" w:hAnsi="Times New Roman" w:cs="Times New Roman"/>
                <w:b w:val="0"/>
                <w:bCs/>
                <w:color w:val="auto"/>
                <w:sz w:val="21"/>
                <w:szCs w:val="21"/>
                <w:u w:val="none"/>
                <w:vertAlign w:val="subscript"/>
              </w:rPr>
              <w:t>5</w:t>
            </w:r>
            <w:r>
              <w:rPr>
                <w:rFonts w:hint="default" w:ascii="Times New Roman" w:hAnsi="Times New Roman" w:cs="Times New Roman"/>
                <w:b w:val="0"/>
                <w:bCs/>
                <w:color w:val="auto"/>
                <w:sz w:val="21"/>
                <w:szCs w:val="21"/>
                <w:u w:val="none"/>
              </w:rPr>
              <w:t>、COD、氨氮、粪大肠菌群</w:t>
            </w:r>
          </w:p>
        </w:tc>
        <w:tc>
          <w:tcPr>
            <w:tcW w:w="21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eastAsia="宋体" w:cs="Times New Roman"/>
                <w:b w:val="0"/>
                <w:bCs/>
                <w:color w:val="auto"/>
                <w:sz w:val="21"/>
                <w:szCs w:val="21"/>
                <w:u w:val="none"/>
              </w:rPr>
              <w:t>建议每年监测一次</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tblHeader/>
        </w:trPr>
        <w:tc>
          <w:tcPr>
            <w:tcW w:w="64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地下水</w:t>
            </w:r>
          </w:p>
        </w:tc>
        <w:tc>
          <w:tcPr>
            <w:tcW w:w="34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沼液消纳地上游、下游各一处</w:t>
            </w:r>
          </w:p>
        </w:tc>
        <w:tc>
          <w:tcPr>
            <w:tcW w:w="283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pH、高锰酸盐指数、氨氮、总硬度、硝酸盐、亚硝酸盐、总大肠菌群等</w:t>
            </w:r>
          </w:p>
        </w:tc>
        <w:tc>
          <w:tcPr>
            <w:tcW w:w="212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21"/>
                <w:szCs w:val="21"/>
                <w:u w:val="single"/>
              </w:rPr>
            </w:pPr>
            <w:r>
              <w:rPr>
                <w:rFonts w:hint="default" w:ascii="Times New Roman" w:hAnsi="Times New Roman" w:eastAsia="宋体" w:cs="Times New Roman"/>
                <w:b/>
                <w:bCs w:val="0"/>
                <w:color w:val="auto"/>
                <w:sz w:val="21"/>
                <w:szCs w:val="21"/>
                <w:u w:val="single"/>
              </w:rPr>
              <w:t>建议每年监测一次</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tblHeader/>
        </w:trPr>
        <w:tc>
          <w:tcPr>
            <w:tcW w:w="64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21"/>
                <w:szCs w:val="21"/>
                <w:u w:val="single"/>
              </w:rPr>
            </w:pPr>
          </w:p>
        </w:tc>
        <w:tc>
          <w:tcPr>
            <w:tcW w:w="34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val="0"/>
                <w:color w:val="auto"/>
                <w:sz w:val="21"/>
                <w:szCs w:val="21"/>
                <w:u w:val="single"/>
              </w:rPr>
            </w:pPr>
            <w:r>
              <w:rPr>
                <w:rFonts w:hint="default" w:ascii="Times New Roman" w:hAnsi="Times New Roman" w:cs="Times New Roman"/>
                <w:b/>
                <w:bCs w:val="0"/>
                <w:color w:val="auto"/>
                <w:sz w:val="21"/>
                <w:szCs w:val="21"/>
                <w:u w:val="single"/>
              </w:rPr>
              <w:t>厂址（场区下游位置）</w:t>
            </w:r>
          </w:p>
        </w:tc>
        <w:tc>
          <w:tcPr>
            <w:tcW w:w="283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21"/>
                <w:szCs w:val="21"/>
                <w:u w:val="single"/>
              </w:rPr>
            </w:pPr>
          </w:p>
        </w:tc>
        <w:tc>
          <w:tcPr>
            <w:tcW w:w="21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21"/>
                <w:szCs w:val="21"/>
                <w:u w:val="single"/>
              </w:rPr>
            </w:pP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4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21"/>
                <w:szCs w:val="21"/>
                <w:u w:val="single"/>
              </w:rPr>
            </w:pPr>
          </w:p>
        </w:tc>
        <w:tc>
          <w:tcPr>
            <w:tcW w:w="34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sz w:val="21"/>
                <w:szCs w:val="21"/>
                <w:u w:val="single"/>
                <w:lang w:eastAsia="zh-CN"/>
              </w:rPr>
            </w:pPr>
            <w:r>
              <w:rPr>
                <w:rFonts w:hint="default" w:ascii="Times New Roman" w:hAnsi="Times New Roman" w:eastAsia="宋体" w:cs="Times New Roman"/>
                <w:b/>
                <w:bCs w:val="0"/>
                <w:color w:val="auto"/>
                <w:sz w:val="21"/>
                <w:szCs w:val="21"/>
                <w:u w:val="single"/>
                <w:lang w:eastAsia="zh-CN"/>
              </w:rPr>
              <w:t>贺庄村</w:t>
            </w:r>
          </w:p>
        </w:tc>
        <w:tc>
          <w:tcPr>
            <w:tcW w:w="283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21"/>
                <w:szCs w:val="21"/>
                <w:u w:val="single"/>
              </w:rPr>
            </w:pPr>
          </w:p>
        </w:tc>
        <w:tc>
          <w:tcPr>
            <w:tcW w:w="212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val="0"/>
                <w:color w:val="auto"/>
                <w:sz w:val="21"/>
                <w:szCs w:val="21"/>
                <w:u w:val="single"/>
              </w:rPr>
            </w:pP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噪声</w:t>
            </w:r>
          </w:p>
        </w:tc>
        <w:tc>
          <w:tcPr>
            <w:tcW w:w="34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四周场界外1m</w:t>
            </w:r>
          </w:p>
        </w:tc>
        <w:tc>
          <w:tcPr>
            <w:tcW w:w="28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噪声值</w:t>
            </w:r>
          </w:p>
        </w:tc>
        <w:tc>
          <w:tcPr>
            <w:tcW w:w="21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eastAsia="宋体" w:cs="Times New Roman"/>
                <w:b w:val="0"/>
                <w:bCs/>
                <w:color w:val="auto"/>
                <w:sz w:val="21"/>
                <w:szCs w:val="21"/>
                <w:u w:val="none"/>
              </w:rPr>
              <w:t>建议每年监测一次</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土壤</w:t>
            </w:r>
          </w:p>
        </w:tc>
        <w:tc>
          <w:tcPr>
            <w:tcW w:w="34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配套农田</w:t>
            </w:r>
          </w:p>
        </w:tc>
        <w:tc>
          <w:tcPr>
            <w:tcW w:w="28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cs="Times New Roman"/>
                <w:b w:val="0"/>
                <w:bCs/>
                <w:color w:val="auto"/>
                <w:sz w:val="21"/>
                <w:szCs w:val="21"/>
                <w:u w:val="none"/>
              </w:rPr>
              <w:t>pH、镉、汞、铜、砷、锌等重金属及氮、磷、钾等土壤养分的跟踪监测</w:t>
            </w:r>
          </w:p>
        </w:tc>
        <w:tc>
          <w:tcPr>
            <w:tcW w:w="21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color w:val="auto"/>
                <w:sz w:val="21"/>
                <w:szCs w:val="21"/>
                <w:u w:val="none"/>
              </w:rPr>
            </w:pPr>
            <w:r>
              <w:rPr>
                <w:rFonts w:hint="default" w:ascii="Times New Roman" w:hAnsi="Times New Roman" w:eastAsia="宋体" w:cs="Times New Roman"/>
                <w:b w:val="0"/>
                <w:bCs/>
                <w:color w:val="auto"/>
                <w:sz w:val="21"/>
                <w:szCs w:val="21"/>
                <w:u w:val="none"/>
              </w:rPr>
              <w:t>建议每</w:t>
            </w:r>
            <w:r>
              <w:rPr>
                <w:rFonts w:hint="default" w:ascii="Times New Roman" w:hAnsi="Times New Roman" w:cs="Times New Roman"/>
                <w:b w:val="0"/>
                <w:bCs/>
                <w:color w:val="auto"/>
                <w:sz w:val="21"/>
                <w:szCs w:val="21"/>
                <w:u w:val="none"/>
                <w:lang w:val="en-US" w:eastAsia="zh-CN"/>
              </w:rPr>
              <w:t>5</w:t>
            </w:r>
            <w:r>
              <w:rPr>
                <w:rFonts w:hint="default" w:ascii="Times New Roman" w:hAnsi="Times New Roman" w:eastAsia="宋体" w:cs="Times New Roman"/>
                <w:b w:val="0"/>
                <w:bCs/>
                <w:color w:val="auto"/>
                <w:sz w:val="21"/>
                <w:szCs w:val="21"/>
                <w:u w:val="none"/>
              </w:rPr>
              <w:t>年监测一次</w:t>
            </w:r>
          </w:p>
        </w:tc>
      </w:tr>
    </w:tbl>
    <w:p>
      <w:pPr>
        <w:ind w:firstLine="480"/>
        <w:rPr>
          <w:rFonts w:hint="default" w:ascii="Times New Roman" w:hAnsi="Times New Roman" w:cs="Times New Roman"/>
          <w:bCs/>
          <w:color w:val="auto"/>
        </w:rPr>
      </w:pPr>
      <w:r>
        <w:rPr>
          <w:rFonts w:hint="default" w:ascii="Times New Roman" w:hAnsi="Times New Roman" w:cs="Times New Roman"/>
          <w:bCs/>
          <w:color w:val="auto"/>
        </w:rPr>
        <w:t>上述监测任务也可委托当地有资质的单位进行监测。本项目应有专人负责联系监测和保存监测资料。对于本项目沼液消纳地还需跟踪监测土壤养分变化范围及变化规律，分析养料供需平衡，以达到沼液长期施用、增加土壤养分含量的目的。</w:t>
      </w:r>
    </w:p>
    <w:p>
      <w:pPr>
        <w:pStyle w:val="4"/>
        <w:numPr>
          <w:ilvl w:val="1"/>
          <w:numId w:val="0"/>
        </w:numPr>
        <w:tabs>
          <w:tab w:val="left" w:pos="105"/>
        </w:tabs>
        <w:spacing w:before="0" w:after="0"/>
        <w:jc w:val="left"/>
        <w:textAlignment w:val="baseline"/>
        <w:rPr>
          <w:rFonts w:hint="default" w:ascii="Times New Roman" w:hAnsi="Times New Roman" w:cs="Times New Roman"/>
          <w:color w:val="auto"/>
          <w:sz w:val="24"/>
          <w:szCs w:val="24"/>
        </w:rPr>
      </w:pPr>
      <w:bookmarkStart w:id="763" w:name="_Toc23763"/>
      <w:bookmarkStart w:id="764" w:name="_Toc485580809"/>
      <w:bookmarkStart w:id="765" w:name="_Toc468115488"/>
      <w:bookmarkStart w:id="766" w:name="_Toc29006"/>
      <w:bookmarkStart w:id="767" w:name="_Toc413834603"/>
      <w:bookmarkStart w:id="768" w:name="_Toc27087"/>
      <w:bookmarkStart w:id="769" w:name="_Toc22379"/>
      <w:bookmarkStart w:id="770" w:name="_Toc445457762"/>
      <w:r>
        <w:rPr>
          <w:rFonts w:hint="default" w:ascii="Times New Roman" w:hAnsi="Times New Roman" w:cs="Times New Roman"/>
          <w:color w:val="auto"/>
          <w:sz w:val="24"/>
          <w:szCs w:val="24"/>
        </w:rPr>
        <w:t>9.4 环保竣工验收内容</w:t>
      </w:r>
      <w:bookmarkEnd w:id="763"/>
      <w:bookmarkEnd w:id="764"/>
      <w:bookmarkEnd w:id="765"/>
      <w:bookmarkEnd w:id="766"/>
      <w:bookmarkEnd w:id="767"/>
      <w:bookmarkEnd w:id="768"/>
      <w:bookmarkEnd w:id="769"/>
      <w:bookmarkEnd w:id="770"/>
    </w:p>
    <w:p>
      <w:pPr>
        <w:ind w:firstLine="480"/>
        <w:rPr>
          <w:rFonts w:hint="default" w:ascii="Times New Roman" w:hAnsi="Times New Roman" w:cs="Times New Roman"/>
          <w:color w:val="auto"/>
          <w:kern w:val="0"/>
        </w:rPr>
      </w:pPr>
      <w:r>
        <w:rPr>
          <w:rFonts w:hint="default" w:ascii="Times New Roman" w:hAnsi="Times New Roman" w:cs="Times New Roman"/>
          <w:color w:val="auto"/>
          <w:kern w:val="0"/>
        </w:rPr>
        <w:t>项目“三同时”环保竣工验收见表 9.4-1。</w:t>
      </w:r>
    </w:p>
    <w:p>
      <w:pPr>
        <w:ind w:firstLine="482"/>
        <w:rPr>
          <w:rFonts w:hint="default" w:ascii="Times New Roman" w:hAnsi="Times New Roman" w:cs="Times New Roman"/>
          <w:b/>
          <w:color w:val="auto"/>
          <w:szCs w:val="21"/>
        </w:rPr>
      </w:pPr>
      <w:r>
        <w:rPr>
          <w:rFonts w:hint="default" w:ascii="Times New Roman" w:hAnsi="Times New Roman" w:cs="Times New Roman"/>
          <w:b/>
          <w:color w:val="auto"/>
          <w:szCs w:val="21"/>
        </w:rPr>
        <w:t>表9.4-1                     环境保护“三同时”验收一览表</w:t>
      </w:r>
    </w:p>
    <w:bookmarkEnd w:id="735"/>
    <w:bookmarkEnd w:id="736"/>
    <w:bookmarkEnd w:id="737"/>
    <w:bookmarkEnd w:id="738"/>
    <w:bookmarkEnd w:id="739"/>
    <w:tbl>
      <w:tblPr>
        <w:tblStyle w:val="25"/>
        <w:tblW w:w="8958" w:type="dxa"/>
        <w:jc w:val="center"/>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Layout w:type="fixed"/>
        <w:tblCellMar>
          <w:top w:w="0" w:type="dxa"/>
          <w:left w:w="0" w:type="dxa"/>
          <w:bottom w:w="0" w:type="dxa"/>
          <w:right w:w="0" w:type="dxa"/>
        </w:tblCellMar>
      </w:tblPr>
      <w:tblGrid>
        <w:gridCol w:w="431"/>
        <w:gridCol w:w="493"/>
        <w:gridCol w:w="682"/>
        <w:gridCol w:w="1786"/>
        <w:gridCol w:w="835"/>
        <w:gridCol w:w="2399"/>
        <w:gridCol w:w="2332"/>
      </w:tblGrid>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705" w:hRule="exact"/>
          <w:jc w:val="center"/>
        </w:trPr>
        <w:tc>
          <w:tcPr>
            <w:tcW w:w="4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bookmarkStart w:id="771" w:name="_Toc485580810"/>
            <w:bookmarkStart w:id="772" w:name="_Toc476923088"/>
            <w:bookmarkStart w:id="773" w:name="_Toc477187662"/>
            <w:bookmarkStart w:id="774" w:name="_Toc477187614"/>
            <w:bookmarkStart w:id="775" w:name="_Toc13257"/>
            <w:bookmarkStart w:id="776" w:name="_Toc19362"/>
            <w:bookmarkStart w:id="777" w:name="_Toc366760522"/>
            <w:bookmarkStart w:id="778" w:name="_Toc295122029"/>
            <w:r>
              <w:rPr>
                <w:rFonts w:hint="default" w:ascii="Times New Roman" w:hAnsi="Times New Roman" w:eastAsia="宋体" w:cs="Times New Roman"/>
                <w:b/>
                <w:bCs/>
                <w:color w:val="auto"/>
                <w:sz w:val="21"/>
                <w:szCs w:val="21"/>
                <w:u w:val="single"/>
              </w:rPr>
              <w:t>项</w:t>
            </w:r>
            <w:r>
              <w:rPr>
                <w:rFonts w:hint="default" w:ascii="Times New Roman" w:hAnsi="Times New Roman" w:eastAsia="宋体" w:cs="Times New Roman"/>
                <w:b/>
                <w:bCs/>
                <w:color w:val="auto"/>
                <w:w w:val="99"/>
                <w:sz w:val="21"/>
                <w:szCs w:val="21"/>
                <w:u w:val="single"/>
              </w:rPr>
              <w:t xml:space="preserve"> </w:t>
            </w:r>
            <w:r>
              <w:rPr>
                <w:rFonts w:hint="default" w:ascii="Times New Roman" w:hAnsi="Times New Roman" w:eastAsia="宋体" w:cs="Times New Roman"/>
                <w:b/>
                <w:bCs/>
                <w:color w:val="auto"/>
                <w:sz w:val="21"/>
                <w:szCs w:val="21"/>
                <w:u w:val="single"/>
              </w:rPr>
              <w:t>目</w:t>
            </w:r>
          </w:p>
        </w:tc>
        <w:tc>
          <w:tcPr>
            <w:tcW w:w="1175"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产污</w:t>
            </w:r>
            <w:r>
              <w:rPr>
                <w:rFonts w:hint="default" w:ascii="Times New Roman" w:hAnsi="Times New Roman" w:eastAsia="宋体" w:cs="Times New Roman"/>
                <w:b/>
                <w:bCs/>
                <w:color w:val="auto"/>
                <w:w w:val="99"/>
                <w:sz w:val="21"/>
                <w:szCs w:val="21"/>
                <w:u w:val="single"/>
              </w:rPr>
              <w:t xml:space="preserve"> </w:t>
            </w:r>
            <w:r>
              <w:rPr>
                <w:rFonts w:hint="default" w:ascii="Times New Roman" w:hAnsi="Times New Roman" w:eastAsia="宋体" w:cs="Times New Roman"/>
                <w:b/>
                <w:bCs/>
                <w:color w:val="auto"/>
                <w:sz w:val="21"/>
                <w:szCs w:val="21"/>
                <w:u w:val="single"/>
              </w:rPr>
              <w:t>环节</w:t>
            </w:r>
          </w:p>
        </w:tc>
        <w:tc>
          <w:tcPr>
            <w:tcW w:w="178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防治措施</w:t>
            </w:r>
          </w:p>
        </w:tc>
        <w:tc>
          <w:tcPr>
            <w:tcW w:w="3234"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验收内容</w:t>
            </w:r>
          </w:p>
        </w:tc>
        <w:tc>
          <w:tcPr>
            <w:tcW w:w="233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满足标准</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1482" w:hRule="exact"/>
          <w:jc w:val="center"/>
        </w:trPr>
        <w:tc>
          <w:tcPr>
            <w:tcW w:w="431"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废水</w:t>
            </w:r>
          </w:p>
        </w:tc>
        <w:tc>
          <w:tcPr>
            <w:tcW w:w="1175" w:type="dxa"/>
            <w:gridSpan w:val="2"/>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养殖废水生活污水</w:t>
            </w:r>
          </w:p>
        </w:tc>
        <w:tc>
          <w:tcPr>
            <w:tcW w:w="1786"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养殖废水与生活污水混合后经场区黑膜沼气工程处理，定期经过配套农肥系统用于农田综合利用</w:t>
            </w:r>
          </w:p>
        </w:tc>
        <w:tc>
          <w:tcPr>
            <w:tcW w:w="83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污水处理设施</w:t>
            </w:r>
          </w:p>
        </w:tc>
        <w:tc>
          <w:tcPr>
            <w:tcW w:w="2399"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lang w:eastAsia="zh-CN"/>
              </w:rPr>
            </w:pPr>
            <w:r>
              <w:rPr>
                <w:rFonts w:hint="default" w:ascii="Times New Roman" w:hAnsi="Times New Roman" w:cs="Times New Roman"/>
                <w:b/>
                <w:bCs/>
                <w:color w:val="auto"/>
                <w:sz w:val="21"/>
                <w:szCs w:val="21"/>
                <w:u w:val="single"/>
              </w:rPr>
              <w:t>收集池</w:t>
            </w:r>
            <w:r>
              <w:rPr>
                <w:rFonts w:hint="default" w:ascii="Times New Roman" w:hAnsi="Times New Roman" w:cs="Times New Roman"/>
                <w:b/>
                <w:bCs/>
                <w:color w:val="auto"/>
                <w:sz w:val="21"/>
                <w:szCs w:val="21"/>
                <w:u w:val="single"/>
                <w:lang w:eastAsia="zh-CN"/>
              </w:rPr>
              <w:t>：</w:t>
            </w:r>
            <w:r>
              <w:rPr>
                <w:rFonts w:hint="default" w:ascii="Times New Roman" w:hAnsi="Times New Roman" w:cs="Times New Roman"/>
                <w:b/>
                <w:bCs/>
                <w:color w:val="auto"/>
                <w:sz w:val="21"/>
                <w:szCs w:val="21"/>
                <w:u w:val="single"/>
              </w:rPr>
              <w:t>直径</w:t>
            </w:r>
            <w:r>
              <w:rPr>
                <w:rFonts w:hint="default" w:ascii="Times New Roman" w:hAnsi="Times New Roman" w:cs="Times New Roman"/>
                <w:b/>
                <w:bCs/>
                <w:color w:val="auto"/>
                <w:sz w:val="21"/>
                <w:szCs w:val="21"/>
                <w:u w:val="single"/>
                <w:lang w:val="en-US" w:eastAsia="zh-CN"/>
              </w:rPr>
              <w:t>20</w:t>
            </w:r>
            <w:r>
              <w:rPr>
                <w:rFonts w:hint="default" w:ascii="Times New Roman" w:hAnsi="Times New Roman" w:cs="Times New Roman"/>
                <w:b/>
                <w:bCs/>
                <w:color w:val="auto"/>
                <w:sz w:val="21"/>
                <w:szCs w:val="21"/>
                <w:u w:val="single"/>
              </w:rPr>
              <w:t>m，深</w:t>
            </w:r>
            <w:r>
              <w:rPr>
                <w:rFonts w:hint="default" w:ascii="Times New Roman" w:hAnsi="Times New Roman" w:cs="Times New Roman"/>
                <w:b/>
                <w:bCs/>
                <w:color w:val="auto"/>
                <w:sz w:val="21"/>
                <w:szCs w:val="21"/>
                <w:u w:val="single"/>
                <w:lang w:val="en-US" w:eastAsia="zh-CN"/>
              </w:rPr>
              <w:t>4</w:t>
            </w:r>
            <w:r>
              <w:rPr>
                <w:rFonts w:hint="default" w:ascii="Times New Roman" w:hAnsi="Times New Roman" w:cs="Times New Roman"/>
                <w:b/>
                <w:bCs/>
                <w:color w:val="auto"/>
                <w:sz w:val="21"/>
                <w:szCs w:val="21"/>
                <w:u w:val="single"/>
              </w:rPr>
              <w:t>m</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黑膜沼气池：</w:t>
            </w:r>
            <w:r>
              <w:rPr>
                <w:rFonts w:hint="default" w:ascii="Times New Roman" w:hAnsi="Times New Roman" w:eastAsia="Times New Roman" w:cs="Times New Roman"/>
                <w:b/>
                <w:bCs/>
                <w:color w:val="auto"/>
                <w:sz w:val="21"/>
                <w:szCs w:val="21"/>
                <w:u w:val="single"/>
              </w:rPr>
              <w:t>1</w:t>
            </w:r>
            <w:r>
              <w:rPr>
                <w:rFonts w:hint="default" w:ascii="Times New Roman" w:hAnsi="Times New Roman" w:eastAsia="宋体" w:cs="Times New Roman"/>
                <w:b/>
                <w:bCs/>
                <w:color w:val="auto"/>
                <w:sz w:val="21"/>
                <w:szCs w:val="21"/>
                <w:u w:val="single"/>
              </w:rPr>
              <w:t>座</w:t>
            </w:r>
            <w:r>
              <w:rPr>
                <w:rFonts w:hint="default" w:ascii="Times New Roman" w:hAnsi="Times New Roman" w:eastAsia="宋体" w:cs="Times New Roman"/>
                <w:b/>
                <w:bCs/>
                <w:color w:val="auto"/>
                <w:sz w:val="21"/>
                <w:szCs w:val="21"/>
                <w:u w:val="single"/>
                <w:lang w:val="en-US" w:eastAsia="zh-CN"/>
              </w:rPr>
              <w:t>12293</w:t>
            </w:r>
            <w:r>
              <w:rPr>
                <w:rFonts w:hint="default" w:ascii="Times New Roman" w:hAnsi="Times New Roman" w:eastAsia="Times New Roman" w:cs="Times New Roman"/>
                <w:b/>
                <w:bCs/>
                <w:color w:val="auto"/>
                <w:sz w:val="21"/>
                <w:szCs w:val="21"/>
                <w:u w:val="single"/>
              </w:rPr>
              <w:t>m</w:t>
            </w:r>
            <w:r>
              <w:rPr>
                <w:rFonts w:hint="default" w:ascii="Times New Roman" w:hAnsi="Times New Roman" w:eastAsia="宋体" w:cs="Times New Roman"/>
                <w:b/>
                <w:bCs/>
                <w:color w:val="auto"/>
                <w:sz w:val="21"/>
                <w:szCs w:val="21"/>
                <w:u w:val="single"/>
                <w:vertAlign w:val="superscript"/>
                <w:lang w:val="en-US" w:eastAsia="zh-CN"/>
              </w:rPr>
              <w:t>3</w:t>
            </w:r>
            <w:r>
              <w:rPr>
                <w:rFonts w:hint="default" w:ascii="Times New Roman" w:hAnsi="Times New Roman" w:eastAsia="宋体" w:cs="Times New Roman"/>
                <w:b/>
                <w:bCs/>
                <w:color w:val="auto"/>
                <w:sz w:val="21"/>
                <w:szCs w:val="21"/>
                <w:u w:val="single"/>
              </w:rPr>
              <w:t>；</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cs="Times New Roman"/>
                <w:b/>
                <w:bCs/>
                <w:color w:val="auto"/>
                <w:sz w:val="21"/>
                <w:szCs w:val="21"/>
                <w:u w:val="single"/>
                <w:lang w:eastAsia="zh-CN"/>
              </w:rPr>
              <w:t>沼液存储池</w:t>
            </w:r>
            <w:r>
              <w:rPr>
                <w:rFonts w:hint="default" w:ascii="Times New Roman" w:hAnsi="Times New Roman" w:eastAsia="宋体" w:cs="Times New Roman"/>
                <w:b/>
                <w:bCs/>
                <w:color w:val="auto"/>
                <w:sz w:val="21"/>
                <w:szCs w:val="21"/>
                <w:u w:val="single"/>
              </w:rPr>
              <w:t>：</w:t>
            </w:r>
            <w:r>
              <w:rPr>
                <w:rFonts w:hint="default" w:ascii="Times New Roman" w:hAnsi="Times New Roman" w:eastAsia="Times New Roman" w:cs="Times New Roman"/>
                <w:b/>
                <w:bCs/>
                <w:color w:val="auto"/>
                <w:sz w:val="21"/>
                <w:szCs w:val="21"/>
                <w:u w:val="single"/>
              </w:rPr>
              <w:t>1</w:t>
            </w:r>
            <w:r>
              <w:rPr>
                <w:rFonts w:hint="default" w:ascii="Times New Roman" w:hAnsi="Times New Roman" w:eastAsia="宋体" w:cs="Times New Roman"/>
                <w:b/>
                <w:bCs/>
                <w:color w:val="auto"/>
                <w:sz w:val="21"/>
                <w:szCs w:val="21"/>
                <w:u w:val="single"/>
              </w:rPr>
              <w:t>个</w:t>
            </w:r>
            <w:r>
              <w:rPr>
                <w:rFonts w:hint="default" w:ascii="Times New Roman" w:hAnsi="Times New Roman" w:eastAsia="宋体" w:cs="Times New Roman"/>
                <w:b/>
                <w:bCs/>
                <w:color w:val="auto"/>
                <w:sz w:val="21"/>
                <w:szCs w:val="21"/>
                <w:u w:val="single"/>
                <w:lang w:val="en-US" w:eastAsia="zh-CN"/>
              </w:rPr>
              <w:t>41500</w:t>
            </w:r>
            <w:r>
              <w:rPr>
                <w:rFonts w:hint="default" w:ascii="Times New Roman" w:hAnsi="Times New Roman" w:eastAsia="Times New Roman" w:cs="Times New Roman"/>
                <w:b/>
                <w:bCs/>
                <w:color w:val="auto"/>
                <w:sz w:val="21"/>
                <w:szCs w:val="21"/>
                <w:u w:val="single"/>
              </w:rPr>
              <w:t>m</w:t>
            </w:r>
            <w:r>
              <w:rPr>
                <w:rFonts w:hint="default" w:ascii="Times New Roman" w:hAnsi="Times New Roman" w:eastAsia="宋体" w:cs="Times New Roman"/>
                <w:b/>
                <w:bCs/>
                <w:color w:val="auto"/>
                <w:sz w:val="21"/>
                <w:szCs w:val="21"/>
                <w:u w:val="single"/>
                <w:vertAlign w:val="superscript"/>
                <w:lang w:val="en-US" w:eastAsia="zh-CN"/>
              </w:rPr>
              <w:t>3</w:t>
            </w:r>
            <w:r>
              <w:rPr>
                <w:rFonts w:hint="default" w:ascii="Times New Roman" w:hAnsi="Times New Roman" w:eastAsia="宋体" w:cs="Times New Roman"/>
                <w:b/>
                <w:bCs/>
                <w:color w:val="auto"/>
                <w:sz w:val="21"/>
                <w:szCs w:val="21"/>
                <w:u w:val="single"/>
              </w:rPr>
              <w:t>；</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固液分离机：</w:t>
            </w:r>
            <w:r>
              <w:rPr>
                <w:rFonts w:hint="default" w:ascii="Times New Roman" w:hAnsi="Times New Roman" w:eastAsia="Times New Roman" w:cs="Times New Roman"/>
                <w:b/>
                <w:bCs/>
                <w:color w:val="auto"/>
                <w:sz w:val="21"/>
                <w:szCs w:val="21"/>
                <w:u w:val="single"/>
              </w:rPr>
              <w:t>1</w:t>
            </w:r>
            <w:r>
              <w:rPr>
                <w:rFonts w:hint="default" w:ascii="Times New Roman" w:hAnsi="Times New Roman" w:eastAsia="宋体" w:cs="Times New Roman"/>
                <w:b/>
                <w:bCs/>
                <w:color w:val="auto"/>
                <w:sz w:val="21"/>
                <w:szCs w:val="21"/>
                <w:u w:val="single"/>
              </w:rPr>
              <w:t>台</w:t>
            </w:r>
          </w:p>
        </w:tc>
        <w:tc>
          <w:tcPr>
            <w:tcW w:w="2332"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全部综合利用，不外排</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2024" w:hRule="exact"/>
          <w:jc w:val="center"/>
        </w:trPr>
        <w:tc>
          <w:tcPr>
            <w:tcW w:w="43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c>
          <w:tcPr>
            <w:tcW w:w="1175"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c>
          <w:tcPr>
            <w:tcW w:w="17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c>
          <w:tcPr>
            <w:tcW w:w="83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施肥系统</w:t>
            </w:r>
          </w:p>
        </w:tc>
        <w:tc>
          <w:tcPr>
            <w:tcW w:w="2399"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主干管长度为</w:t>
            </w:r>
            <w:r>
              <w:rPr>
                <w:rFonts w:hint="default" w:ascii="Times New Roman" w:hAnsi="Times New Roman" w:eastAsia="宋体" w:cs="Times New Roman"/>
                <w:b/>
                <w:bCs/>
                <w:color w:val="auto"/>
                <w:sz w:val="21"/>
                <w:szCs w:val="21"/>
                <w:u w:val="single"/>
                <w:lang w:val="en-US" w:eastAsia="zh-CN"/>
              </w:rPr>
              <w:t>1275</w:t>
            </w:r>
            <w:r>
              <w:rPr>
                <w:rFonts w:hint="default" w:ascii="Times New Roman" w:hAnsi="Times New Roman" w:eastAsia="宋体" w:cs="Times New Roman"/>
                <w:b/>
                <w:bCs/>
                <w:color w:val="auto"/>
                <w:sz w:val="21"/>
                <w:szCs w:val="21"/>
                <w:u w:val="single"/>
              </w:rPr>
              <w:t>m，支管长度为</w:t>
            </w:r>
            <w:r>
              <w:rPr>
                <w:rFonts w:hint="default" w:ascii="Times New Roman" w:hAnsi="Times New Roman" w:eastAsia="宋体" w:cs="Times New Roman"/>
                <w:b/>
                <w:bCs/>
                <w:color w:val="auto"/>
                <w:sz w:val="21"/>
                <w:szCs w:val="21"/>
                <w:u w:val="single"/>
                <w:lang w:val="en-US" w:eastAsia="zh-CN"/>
              </w:rPr>
              <w:t>430</w:t>
            </w:r>
            <w:r>
              <w:rPr>
                <w:rFonts w:hint="default" w:ascii="Times New Roman" w:hAnsi="Times New Roman" w:eastAsia="宋体" w:cs="Times New Roman"/>
                <w:b/>
                <w:bCs/>
                <w:color w:val="auto"/>
                <w:sz w:val="21"/>
                <w:szCs w:val="21"/>
                <w:u w:val="single"/>
              </w:rPr>
              <w:t>m，主干管直径为160mm，支管直径分别为110mm和75mm。</w:t>
            </w:r>
          </w:p>
        </w:tc>
        <w:tc>
          <w:tcPr>
            <w:tcW w:w="23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992" w:hRule="exact"/>
          <w:jc w:val="center"/>
        </w:trPr>
        <w:tc>
          <w:tcPr>
            <w:tcW w:w="43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c>
          <w:tcPr>
            <w:tcW w:w="1175"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雨水</w:t>
            </w:r>
          </w:p>
        </w:tc>
        <w:tc>
          <w:tcPr>
            <w:tcW w:w="178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color w:val="auto"/>
                <w:sz w:val="21"/>
                <w:szCs w:val="21"/>
                <w:u w:val="single"/>
              </w:rPr>
            </w:pPr>
            <w:r>
              <w:rPr>
                <w:rFonts w:hint="default" w:ascii="Times New Roman" w:hAnsi="Times New Roman" w:cs="Times New Roman"/>
                <w:b/>
                <w:bCs/>
                <w:color w:val="auto"/>
                <w:w w:val="99"/>
                <w:sz w:val="21"/>
                <w:szCs w:val="21"/>
                <w:u w:val="single"/>
              </w:rPr>
              <w:t>/</w:t>
            </w:r>
          </w:p>
        </w:tc>
        <w:tc>
          <w:tcPr>
            <w:tcW w:w="835"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雨水管理</w:t>
            </w:r>
          </w:p>
        </w:tc>
        <w:tc>
          <w:tcPr>
            <w:tcW w:w="2399"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场区内设置雨、污分流管网</w:t>
            </w:r>
          </w:p>
        </w:tc>
        <w:tc>
          <w:tcPr>
            <w:tcW w:w="233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《畜禽养殖业污染防治</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pacing w:val="-4"/>
                <w:sz w:val="21"/>
                <w:szCs w:val="21"/>
                <w:u w:val="single"/>
              </w:rPr>
              <w:t>技术规范》</w:t>
            </w:r>
            <w:r>
              <w:rPr>
                <w:rFonts w:hint="default" w:ascii="Times New Roman" w:hAnsi="Times New Roman" w:eastAsia="Times New Roman" w:cs="Times New Roman"/>
                <w:b/>
                <w:bCs/>
                <w:color w:val="auto"/>
                <w:spacing w:val="-4"/>
                <w:sz w:val="21"/>
                <w:szCs w:val="21"/>
                <w:u w:val="single"/>
              </w:rPr>
              <w:t>HJ/T81-2001</w:t>
            </w:r>
            <w:r>
              <w:rPr>
                <w:rFonts w:hint="default" w:ascii="Times New Roman" w:hAnsi="Times New Roman" w:eastAsia="Times New Roman" w:cs="Times New Roman"/>
                <w:b/>
                <w:bCs/>
                <w:color w:val="auto"/>
                <w:w w:val="99"/>
                <w:sz w:val="21"/>
                <w:szCs w:val="21"/>
                <w:u w:val="single"/>
              </w:rPr>
              <w:t xml:space="preserve"> </w:t>
            </w:r>
            <w:r>
              <w:rPr>
                <w:rFonts w:hint="default" w:ascii="Times New Roman" w:hAnsi="Times New Roman" w:eastAsia="宋体" w:cs="Times New Roman"/>
                <w:b/>
                <w:bCs/>
                <w:color w:val="auto"/>
                <w:sz w:val="21"/>
                <w:szCs w:val="21"/>
                <w:u w:val="single"/>
              </w:rPr>
              <w:t>要求</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1674" w:hRule="exact"/>
          <w:jc w:val="center"/>
        </w:trPr>
        <w:tc>
          <w:tcPr>
            <w:tcW w:w="431"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废气</w:t>
            </w:r>
          </w:p>
        </w:tc>
        <w:tc>
          <w:tcPr>
            <w:tcW w:w="1175"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猪舍</w:t>
            </w:r>
          </w:p>
        </w:tc>
        <w:tc>
          <w:tcPr>
            <w:tcW w:w="178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定期冲圈、采用节水型饮水器、全漏缝地板并及时清粪</w:t>
            </w:r>
          </w:p>
        </w:tc>
        <w:tc>
          <w:tcPr>
            <w:tcW w:w="3234"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color w:val="auto"/>
                <w:sz w:val="21"/>
                <w:szCs w:val="21"/>
                <w:u w:val="single"/>
              </w:rPr>
            </w:pPr>
            <w:r>
              <w:rPr>
                <w:rFonts w:hint="default" w:ascii="Times New Roman" w:hAnsi="Times New Roman" w:eastAsia="Times New Roman" w:cs="Times New Roman"/>
                <w:b/>
                <w:bCs/>
                <w:color w:val="auto"/>
                <w:sz w:val="21"/>
                <w:szCs w:val="21"/>
                <w:u w:val="single"/>
              </w:rPr>
              <w:t>控制饲养密度、调整饲料配方、喷洒除臭剂、猪舍出风口处安装过滤吸附除臭装置，全漏缝地板并及时清粪，去除效率可达到70%</w:t>
            </w:r>
          </w:p>
        </w:tc>
        <w:tc>
          <w:tcPr>
            <w:tcW w:w="2332"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rPr>
              <w:t>《恶臭污染物排放标</w:t>
            </w:r>
            <w:r>
              <w:rPr>
                <w:rFonts w:hint="default" w:ascii="Times New Roman" w:hAnsi="Times New Roman" w:eastAsia="宋体" w:cs="Times New Roman"/>
                <w:b/>
                <w:bCs/>
                <w:color w:val="auto"/>
                <w:spacing w:val="-13"/>
                <w:sz w:val="21"/>
                <w:szCs w:val="21"/>
                <w:u w:val="single"/>
              </w:rPr>
              <w:t>准》（</w:t>
            </w:r>
            <w:r>
              <w:rPr>
                <w:rFonts w:hint="default" w:ascii="Times New Roman" w:hAnsi="Times New Roman" w:eastAsia="Times New Roman" w:cs="Times New Roman"/>
                <w:b/>
                <w:bCs/>
                <w:color w:val="auto"/>
                <w:spacing w:val="-13"/>
                <w:sz w:val="21"/>
                <w:szCs w:val="21"/>
                <w:u w:val="single"/>
              </w:rPr>
              <w:t>GB14554-93</w:t>
            </w:r>
            <w:r>
              <w:rPr>
                <w:rFonts w:hint="default" w:ascii="Times New Roman" w:hAnsi="Times New Roman" w:eastAsia="宋体" w:cs="Times New Roman"/>
                <w:b/>
                <w:bCs/>
                <w:color w:val="auto"/>
                <w:spacing w:val="-13"/>
                <w:sz w:val="21"/>
                <w:szCs w:val="21"/>
                <w:u w:val="single"/>
              </w:rPr>
              <w:t>）表</w:t>
            </w:r>
            <w:r>
              <w:rPr>
                <w:rFonts w:hint="default" w:ascii="Times New Roman" w:hAnsi="Times New Roman" w:eastAsia="宋体" w:cs="Times New Roman"/>
                <w:b/>
                <w:bCs/>
                <w:color w:val="auto"/>
                <w:spacing w:val="-56"/>
                <w:sz w:val="21"/>
                <w:szCs w:val="21"/>
                <w:u w:val="single"/>
              </w:rPr>
              <w:t xml:space="preserve"> </w:t>
            </w:r>
            <w:r>
              <w:rPr>
                <w:rFonts w:hint="default" w:ascii="Times New Roman" w:hAnsi="Times New Roman" w:eastAsia="Times New Roman" w:cs="Times New Roman"/>
                <w:b/>
                <w:bCs/>
                <w:color w:val="auto"/>
                <w:sz w:val="21"/>
                <w:szCs w:val="21"/>
                <w:u w:val="single"/>
              </w:rPr>
              <w:t>1</w:t>
            </w:r>
            <w:r>
              <w:rPr>
                <w:rFonts w:hint="default" w:ascii="Times New Roman" w:hAnsi="Times New Roman" w:eastAsia="宋体" w:cs="Times New Roman"/>
                <w:b/>
                <w:bCs/>
                <w:color w:val="auto"/>
                <w:sz w:val="21"/>
                <w:szCs w:val="21"/>
                <w:u w:val="single"/>
              </w:rPr>
              <w:t>厂界标准值中二级标准</w:t>
            </w:r>
            <w:r>
              <w:rPr>
                <w:rFonts w:hint="default" w:ascii="Times New Roman" w:hAnsi="Times New Roman" w:eastAsia="宋体" w:cs="Times New Roman"/>
                <w:b/>
                <w:bCs/>
                <w:color w:val="auto"/>
                <w:spacing w:val="-13"/>
                <w:sz w:val="21"/>
                <w:szCs w:val="21"/>
                <w:u w:val="single"/>
              </w:rPr>
              <w:t>要求（无组织）：</w:t>
            </w:r>
            <w:r>
              <w:rPr>
                <w:rFonts w:hint="default" w:ascii="Times New Roman" w:hAnsi="Times New Roman" w:eastAsia="Times New Roman" w:cs="Times New Roman"/>
                <w:b/>
                <w:bCs/>
                <w:color w:val="auto"/>
                <w:position w:val="2"/>
                <w:sz w:val="21"/>
                <w:szCs w:val="21"/>
                <w:u w:val="single"/>
              </w:rPr>
              <w:t>NH</w:t>
            </w:r>
            <w:r>
              <w:rPr>
                <w:rFonts w:hint="default" w:ascii="Times New Roman" w:hAnsi="Times New Roman" w:eastAsia="Times New Roman" w:cs="Times New Roman"/>
                <w:b/>
                <w:bCs/>
                <w:color w:val="auto"/>
                <w:sz w:val="21"/>
                <w:szCs w:val="21"/>
                <w:u w:val="single"/>
              </w:rPr>
              <w:t>3</w:t>
            </w:r>
            <w:r>
              <w:rPr>
                <w:rFonts w:hint="default" w:ascii="Times New Roman" w:hAnsi="Times New Roman" w:eastAsia="Times New Roman" w:cs="Times New Roman"/>
                <w:b/>
                <w:bCs/>
                <w:color w:val="auto"/>
                <w:position w:val="2"/>
                <w:sz w:val="21"/>
                <w:szCs w:val="21"/>
                <w:u w:val="single"/>
              </w:rPr>
              <w:t>≤1.5mg/m</w:t>
            </w:r>
            <w:r>
              <w:rPr>
                <w:rFonts w:hint="default" w:ascii="Times New Roman" w:hAnsi="Times New Roman" w:eastAsia="宋体" w:cs="Times New Roman"/>
                <w:b/>
                <w:bCs/>
                <w:color w:val="auto"/>
                <w:position w:val="2"/>
                <w:sz w:val="21"/>
                <w:szCs w:val="21"/>
                <w:u w:val="single"/>
                <w:vertAlign w:val="superscript"/>
                <w:lang w:val="en-US" w:eastAsia="zh-CN"/>
              </w:rPr>
              <w:t>3</w:t>
            </w:r>
            <w:r>
              <w:rPr>
                <w:rFonts w:hint="default" w:ascii="Times New Roman" w:hAnsi="Times New Roman" w:eastAsia="宋体" w:cs="Times New Roman"/>
                <w:b/>
                <w:bCs/>
                <w:color w:val="auto"/>
                <w:position w:val="2"/>
                <w:sz w:val="21"/>
                <w:szCs w:val="21"/>
                <w:u w:val="single"/>
              </w:rPr>
              <w:t>、</w:t>
            </w:r>
            <w:r>
              <w:rPr>
                <w:rFonts w:hint="default" w:ascii="Times New Roman" w:hAnsi="Times New Roman" w:eastAsia="宋体" w:cs="Times New Roman"/>
                <w:b/>
                <w:bCs/>
                <w:color w:val="auto"/>
                <w:w w:val="99"/>
                <w:position w:val="2"/>
                <w:sz w:val="21"/>
                <w:szCs w:val="21"/>
                <w:u w:val="single"/>
              </w:rPr>
              <w:t xml:space="preserve"> </w:t>
            </w:r>
            <w:r>
              <w:rPr>
                <w:rFonts w:hint="default" w:ascii="Times New Roman" w:hAnsi="Times New Roman" w:eastAsia="Times New Roman" w:cs="Times New Roman"/>
                <w:b/>
                <w:bCs/>
                <w:color w:val="auto"/>
                <w:position w:val="2"/>
                <w:sz w:val="21"/>
                <w:szCs w:val="21"/>
                <w:u w:val="single"/>
              </w:rPr>
              <w:t>H</w:t>
            </w:r>
            <w:r>
              <w:rPr>
                <w:rFonts w:hint="default" w:ascii="Times New Roman" w:hAnsi="Times New Roman" w:eastAsia="Times New Roman" w:cs="Times New Roman"/>
                <w:b/>
                <w:bCs/>
                <w:color w:val="auto"/>
                <w:sz w:val="21"/>
                <w:szCs w:val="21"/>
                <w:u w:val="single"/>
              </w:rPr>
              <w:t>2</w:t>
            </w:r>
            <w:r>
              <w:rPr>
                <w:rFonts w:hint="default" w:ascii="Times New Roman" w:hAnsi="Times New Roman" w:eastAsia="Times New Roman" w:cs="Times New Roman"/>
                <w:b/>
                <w:bCs/>
                <w:color w:val="auto"/>
                <w:position w:val="2"/>
                <w:sz w:val="21"/>
                <w:szCs w:val="21"/>
                <w:u w:val="single"/>
              </w:rPr>
              <w:t>S≤0.06mg/m</w:t>
            </w:r>
            <w:r>
              <w:rPr>
                <w:rFonts w:hint="default" w:ascii="Times New Roman" w:hAnsi="Times New Roman" w:eastAsia="宋体" w:cs="Times New Roman"/>
                <w:b/>
                <w:bCs/>
                <w:color w:val="auto"/>
                <w:position w:val="2"/>
                <w:sz w:val="21"/>
                <w:szCs w:val="21"/>
                <w:u w:val="single"/>
                <w:vertAlign w:val="superscript"/>
                <w:lang w:val="en-US" w:eastAsia="zh-CN"/>
              </w:rPr>
              <w:t>3</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979" w:hRule="exact"/>
          <w:jc w:val="center"/>
        </w:trPr>
        <w:tc>
          <w:tcPr>
            <w:tcW w:w="43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c>
          <w:tcPr>
            <w:tcW w:w="1175"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污水处理系统</w:t>
            </w:r>
          </w:p>
        </w:tc>
        <w:tc>
          <w:tcPr>
            <w:tcW w:w="178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收集池密闭，喷洒除臭剂</w:t>
            </w:r>
          </w:p>
        </w:tc>
        <w:tc>
          <w:tcPr>
            <w:tcW w:w="3234"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pacing w:val="-6"/>
                <w:sz w:val="21"/>
                <w:szCs w:val="21"/>
                <w:u w:val="single"/>
              </w:rPr>
              <w:t>各处理池进行密闭，喷洒除臭</w:t>
            </w:r>
            <w:r>
              <w:rPr>
                <w:rFonts w:hint="default" w:ascii="Times New Roman" w:hAnsi="Times New Roman" w:eastAsia="宋体" w:cs="Times New Roman"/>
                <w:b/>
                <w:bCs/>
                <w:color w:val="auto"/>
                <w:sz w:val="21"/>
                <w:szCs w:val="21"/>
                <w:u w:val="single"/>
              </w:rPr>
              <w:t>剂</w:t>
            </w:r>
          </w:p>
        </w:tc>
        <w:tc>
          <w:tcPr>
            <w:tcW w:w="23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914" w:hRule="exact"/>
          <w:jc w:val="center"/>
        </w:trPr>
        <w:tc>
          <w:tcPr>
            <w:tcW w:w="43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c>
          <w:tcPr>
            <w:tcW w:w="1175"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固粪处理区</w:t>
            </w:r>
          </w:p>
        </w:tc>
        <w:tc>
          <w:tcPr>
            <w:tcW w:w="178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cs="Times New Roman"/>
                <w:b/>
                <w:bCs/>
                <w:color w:val="auto"/>
                <w:sz w:val="21"/>
                <w:szCs w:val="21"/>
                <w:u w:val="single"/>
                <w:lang w:eastAsia="zh-CN"/>
              </w:rPr>
              <w:t>加强管理，周边绿化</w:t>
            </w:r>
            <w:r>
              <w:rPr>
                <w:rFonts w:hint="default" w:ascii="Times New Roman" w:hAnsi="Times New Roman" w:eastAsia="宋体" w:cs="Times New Roman"/>
                <w:b/>
                <w:bCs/>
                <w:color w:val="auto"/>
                <w:sz w:val="21"/>
                <w:szCs w:val="21"/>
                <w:u w:val="single"/>
              </w:rPr>
              <w:t>，定期</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喷洒除臭剂</w:t>
            </w:r>
          </w:p>
        </w:tc>
        <w:tc>
          <w:tcPr>
            <w:tcW w:w="3234"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cs="Times New Roman"/>
                <w:b/>
                <w:bCs/>
                <w:color w:val="auto"/>
                <w:sz w:val="21"/>
                <w:szCs w:val="21"/>
                <w:u w:val="single"/>
                <w:lang w:val="en-US" w:eastAsia="zh-CN"/>
              </w:rPr>
              <w:t>UV光氧+</w:t>
            </w:r>
            <w:r>
              <w:rPr>
                <w:rFonts w:hint="default" w:ascii="Times New Roman" w:hAnsi="Times New Roman" w:eastAsia="宋体" w:cs="Times New Roman"/>
                <w:b/>
                <w:bCs/>
                <w:color w:val="auto"/>
                <w:sz w:val="21"/>
                <w:szCs w:val="21"/>
                <w:u w:val="single"/>
              </w:rPr>
              <w:t>水帘除臭装置，定期喷洒除臭剂</w:t>
            </w:r>
          </w:p>
        </w:tc>
        <w:tc>
          <w:tcPr>
            <w:tcW w:w="23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615" w:hRule="exact"/>
          <w:jc w:val="center"/>
        </w:trPr>
        <w:tc>
          <w:tcPr>
            <w:tcW w:w="43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c>
          <w:tcPr>
            <w:tcW w:w="1175"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lang w:eastAsia="zh-CN"/>
              </w:rPr>
            </w:pPr>
            <w:r>
              <w:rPr>
                <w:rFonts w:hint="default" w:ascii="Times New Roman" w:hAnsi="Times New Roman" w:cs="Times New Roman"/>
                <w:b/>
                <w:bCs/>
                <w:color w:val="auto"/>
                <w:sz w:val="21"/>
                <w:szCs w:val="21"/>
                <w:u w:val="single"/>
                <w:lang w:eastAsia="zh-CN"/>
              </w:rPr>
              <w:t>沼液存储池</w:t>
            </w:r>
          </w:p>
        </w:tc>
        <w:tc>
          <w:tcPr>
            <w:tcW w:w="178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周边绿化</w:t>
            </w:r>
          </w:p>
        </w:tc>
        <w:tc>
          <w:tcPr>
            <w:tcW w:w="3234"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草地、灌木、乔木等间隔立体</w:t>
            </w:r>
            <w:r>
              <w:rPr>
                <w:rFonts w:hint="default" w:ascii="Times New Roman" w:hAnsi="Times New Roman" w:eastAsia="宋体" w:cs="Times New Roman"/>
                <w:b/>
                <w:bCs/>
                <w:color w:val="auto"/>
                <w:w w:val="99"/>
                <w:sz w:val="21"/>
                <w:szCs w:val="21"/>
                <w:u w:val="single"/>
              </w:rPr>
              <w:t xml:space="preserve"> </w:t>
            </w:r>
            <w:r>
              <w:rPr>
                <w:rFonts w:hint="default" w:ascii="Times New Roman" w:hAnsi="Times New Roman" w:eastAsia="宋体" w:cs="Times New Roman"/>
                <w:b/>
                <w:bCs/>
                <w:color w:val="auto"/>
                <w:sz w:val="21"/>
                <w:szCs w:val="21"/>
                <w:u w:val="single"/>
              </w:rPr>
              <w:t>绿化</w:t>
            </w:r>
          </w:p>
        </w:tc>
        <w:tc>
          <w:tcPr>
            <w:tcW w:w="23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1077" w:hRule="exact"/>
          <w:jc w:val="center"/>
        </w:trPr>
        <w:tc>
          <w:tcPr>
            <w:tcW w:w="43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c>
          <w:tcPr>
            <w:tcW w:w="1175"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病死猪无</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害化高温处理机</w:t>
            </w:r>
          </w:p>
        </w:tc>
        <w:tc>
          <w:tcPr>
            <w:tcW w:w="178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经</w:t>
            </w:r>
            <w:r>
              <w:rPr>
                <w:rFonts w:hint="default" w:ascii="Times New Roman" w:hAnsi="Times New Roman" w:eastAsia="宋体" w:cs="Times New Roman"/>
                <w:b/>
                <w:bCs/>
                <w:color w:val="auto"/>
                <w:spacing w:val="-56"/>
                <w:sz w:val="21"/>
                <w:szCs w:val="21"/>
                <w:u w:val="single"/>
              </w:rPr>
              <w:t xml:space="preserve"> </w:t>
            </w:r>
            <w:r>
              <w:rPr>
                <w:rFonts w:hint="default" w:ascii="Times New Roman" w:hAnsi="Times New Roman" w:eastAsia="Times New Roman" w:cs="Times New Roman"/>
                <w:b/>
                <w:bCs/>
                <w:color w:val="auto"/>
                <w:sz w:val="21"/>
                <w:szCs w:val="21"/>
                <w:u w:val="single"/>
              </w:rPr>
              <w:t xml:space="preserve">UV </w:t>
            </w:r>
            <w:r>
              <w:rPr>
                <w:rFonts w:hint="default" w:ascii="Times New Roman" w:hAnsi="Times New Roman" w:eastAsia="宋体" w:cs="Times New Roman"/>
                <w:b/>
                <w:bCs/>
                <w:color w:val="auto"/>
                <w:sz w:val="21"/>
                <w:szCs w:val="21"/>
                <w:u w:val="single"/>
              </w:rPr>
              <w:t>光解催化</w:t>
            </w:r>
            <w:r>
              <w:rPr>
                <w:rFonts w:hint="default" w:ascii="Times New Roman" w:hAnsi="Times New Roman" w:eastAsia="宋体" w:cs="Times New Roman"/>
                <w:b/>
                <w:bCs/>
                <w:color w:val="auto"/>
                <w:w w:val="99"/>
                <w:sz w:val="21"/>
                <w:szCs w:val="21"/>
                <w:u w:val="single"/>
              </w:rPr>
              <w:t xml:space="preserve"> </w:t>
            </w:r>
            <w:r>
              <w:rPr>
                <w:rFonts w:hint="default" w:ascii="Times New Roman" w:hAnsi="Times New Roman" w:eastAsia="宋体" w:cs="Times New Roman"/>
                <w:b/>
                <w:bCs/>
                <w:color w:val="auto"/>
                <w:sz w:val="21"/>
                <w:szCs w:val="21"/>
                <w:u w:val="single"/>
              </w:rPr>
              <w:t>氧化处理后排放</w:t>
            </w:r>
          </w:p>
        </w:tc>
        <w:tc>
          <w:tcPr>
            <w:tcW w:w="3234"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color w:val="auto"/>
                <w:sz w:val="21"/>
                <w:szCs w:val="21"/>
                <w:u w:val="single"/>
              </w:rPr>
            </w:pPr>
            <w:r>
              <w:rPr>
                <w:rFonts w:hint="default" w:ascii="Times New Roman" w:hAnsi="Times New Roman" w:eastAsia="Times New Roman" w:cs="Times New Roman"/>
                <w:b/>
                <w:bCs/>
                <w:color w:val="auto"/>
                <w:sz w:val="21"/>
                <w:szCs w:val="21"/>
                <w:u w:val="single"/>
              </w:rPr>
              <w:t xml:space="preserve">UV </w:t>
            </w:r>
            <w:r>
              <w:rPr>
                <w:rFonts w:hint="default" w:ascii="Times New Roman" w:hAnsi="Times New Roman" w:eastAsia="宋体" w:cs="Times New Roman"/>
                <w:b/>
                <w:bCs/>
                <w:color w:val="auto"/>
                <w:sz w:val="21"/>
                <w:szCs w:val="21"/>
                <w:u w:val="single"/>
              </w:rPr>
              <w:t>光解催化氧化处理装置</w:t>
            </w:r>
            <w:r>
              <w:rPr>
                <w:rFonts w:hint="default" w:ascii="Times New Roman" w:hAnsi="Times New Roman" w:eastAsia="Times New Roman" w:cs="Times New Roman"/>
                <w:b/>
                <w:bCs/>
                <w:color w:val="auto"/>
                <w:sz w:val="21"/>
                <w:szCs w:val="21"/>
                <w:u w:val="single"/>
              </w:rPr>
              <w:t>1</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Times New Roman" w:cs="Times New Roman"/>
                <w:b/>
                <w:bCs/>
                <w:color w:val="auto"/>
                <w:w w:val="100"/>
                <w:sz w:val="21"/>
                <w:szCs w:val="21"/>
                <w:u w:val="single"/>
              </w:rPr>
              <w:t>套</w:t>
            </w:r>
          </w:p>
        </w:tc>
        <w:tc>
          <w:tcPr>
            <w:tcW w:w="23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841" w:hRule="exact"/>
          <w:jc w:val="center"/>
        </w:trPr>
        <w:tc>
          <w:tcPr>
            <w:tcW w:w="43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c>
          <w:tcPr>
            <w:tcW w:w="1175"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食堂油烟</w:t>
            </w:r>
          </w:p>
        </w:tc>
        <w:tc>
          <w:tcPr>
            <w:tcW w:w="178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油烟净化装置</w:t>
            </w:r>
            <w:r>
              <w:rPr>
                <w:rFonts w:hint="default" w:ascii="Times New Roman" w:hAnsi="Times New Roman" w:eastAsia="Times New Roman" w:cs="Times New Roman"/>
                <w:b/>
                <w:bCs/>
                <w:color w:val="auto"/>
                <w:sz w:val="21"/>
                <w:szCs w:val="21"/>
                <w:u w:val="single"/>
              </w:rPr>
              <w:t>+</w:t>
            </w:r>
            <w:r>
              <w:rPr>
                <w:rFonts w:hint="default" w:ascii="Times New Roman" w:hAnsi="Times New Roman" w:eastAsia="宋体" w:cs="Times New Roman"/>
                <w:b/>
                <w:bCs/>
                <w:color w:val="auto"/>
                <w:sz w:val="21"/>
                <w:szCs w:val="21"/>
                <w:u w:val="single"/>
              </w:rPr>
              <w:t>高于屋顶的专用烟道</w:t>
            </w:r>
          </w:p>
        </w:tc>
        <w:tc>
          <w:tcPr>
            <w:tcW w:w="3234"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bCs/>
                <w:color w:val="auto"/>
                <w:w w:val="99"/>
                <w:sz w:val="21"/>
                <w:szCs w:val="21"/>
                <w:u w:val="single"/>
              </w:rPr>
            </w:pPr>
            <w:r>
              <w:rPr>
                <w:rFonts w:hint="default" w:ascii="Times New Roman" w:hAnsi="Times New Roman" w:eastAsia="宋体" w:cs="Times New Roman"/>
                <w:b/>
                <w:bCs/>
                <w:color w:val="auto"/>
                <w:sz w:val="21"/>
                <w:szCs w:val="21"/>
                <w:u w:val="single"/>
              </w:rPr>
              <w:t>处理效率</w:t>
            </w:r>
            <w:r>
              <w:rPr>
                <w:rFonts w:hint="default" w:ascii="Times New Roman" w:hAnsi="Times New Roman" w:eastAsia="宋体" w:cs="Times New Roman"/>
                <w:b/>
                <w:bCs/>
                <w:color w:val="auto"/>
                <w:spacing w:val="-56"/>
                <w:sz w:val="21"/>
                <w:szCs w:val="21"/>
                <w:u w:val="single"/>
              </w:rPr>
              <w:t xml:space="preserve"> </w:t>
            </w:r>
            <w:r>
              <w:rPr>
                <w:rFonts w:hint="default" w:ascii="Times New Roman" w:hAnsi="Times New Roman" w:eastAsia="Times New Roman" w:cs="Times New Roman"/>
                <w:b/>
                <w:bCs/>
                <w:color w:val="auto"/>
                <w:sz w:val="21"/>
                <w:szCs w:val="21"/>
                <w:u w:val="single"/>
              </w:rPr>
              <w:t>90%</w:t>
            </w:r>
            <w:r>
              <w:rPr>
                <w:rFonts w:hint="default" w:ascii="Times New Roman" w:hAnsi="Times New Roman" w:eastAsia="宋体" w:cs="Times New Roman"/>
                <w:b/>
                <w:bCs/>
                <w:color w:val="auto"/>
                <w:sz w:val="21"/>
                <w:szCs w:val="21"/>
                <w:u w:val="single"/>
              </w:rPr>
              <w:t>的油烟净化器</w:t>
            </w:r>
            <w:r>
              <w:rPr>
                <w:rFonts w:hint="default" w:ascii="Times New Roman" w:hAnsi="Times New Roman" w:eastAsia="宋体" w:cs="Times New Roman"/>
                <w:b/>
                <w:bCs/>
                <w:color w:val="auto"/>
                <w:spacing w:val="-56"/>
                <w:sz w:val="21"/>
                <w:szCs w:val="21"/>
                <w:u w:val="single"/>
              </w:rPr>
              <w:t xml:space="preserve"> </w:t>
            </w:r>
            <w:r>
              <w:rPr>
                <w:rFonts w:hint="default" w:ascii="Times New Roman" w:hAnsi="Times New Roman" w:eastAsia="Times New Roman" w:cs="Times New Roman"/>
                <w:b/>
                <w:bCs/>
                <w:color w:val="auto"/>
                <w:sz w:val="21"/>
                <w:szCs w:val="21"/>
                <w:u w:val="single"/>
              </w:rPr>
              <w:t>1</w:t>
            </w:r>
            <w:r>
              <w:rPr>
                <w:rFonts w:hint="default" w:ascii="Times New Roman" w:hAnsi="Times New Roman" w:eastAsia="宋体" w:cs="Times New Roman"/>
                <w:b/>
                <w:bCs/>
                <w:color w:val="auto"/>
                <w:sz w:val="21"/>
                <w:szCs w:val="21"/>
                <w:u w:val="single"/>
              </w:rPr>
              <w:t>套</w:t>
            </w:r>
            <w:r>
              <w:rPr>
                <w:rFonts w:hint="default" w:ascii="Times New Roman" w:hAnsi="Times New Roman" w:eastAsia="Times New Roman" w:cs="Times New Roman"/>
                <w:b/>
                <w:bCs/>
                <w:color w:val="auto"/>
                <w:sz w:val="21"/>
                <w:szCs w:val="21"/>
                <w:u w:val="single"/>
              </w:rPr>
              <w:t>+1</w:t>
            </w:r>
            <w:r>
              <w:rPr>
                <w:rFonts w:hint="default" w:ascii="Times New Roman" w:hAnsi="Times New Roman" w:eastAsia="宋体" w:cs="Times New Roman"/>
                <w:b/>
                <w:bCs/>
                <w:color w:val="auto"/>
                <w:sz w:val="21"/>
                <w:szCs w:val="21"/>
                <w:u w:val="single"/>
              </w:rPr>
              <w:t>根高于屋顶的专用烟道</w:t>
            </w:r>
          </w:p>
        </w:tc>
        <w:tc>
          <w:tcPr>
            <w:tcW w:w="2332" w:type="dxa"/>
            <w:tcBorders>
              <w:tl2br w:val="nil"/>
              <w:tr2bl w:val="nil"/>
            </w:tcBorders>
            <w:noWrap w:val="0"/>
            <w:vAlign w:val="top"/>
          </w:tcPr>
          <w:p>
            <w:pPr>
              <w:pStyle w:val="40"/>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w w:val="100"/>
                <w:sz w:val="21"/>
                <w:szCs w:val="21"/>
                <w:u w:val="single"/>
              </w:rPr>
              <w:t>《餐饮业油烟污染物排</w:t>
            </w:r>
            <w:r>
              <w:rPr>
                <w:rFonts w:hint="default" w:ascii="Times New Roman" w:hAnsi="Times New Roman" w:eastAsia="宋体" w:cs="Times New Roman"/>
                <w:b/>
                <w:bCs/>
                <w:color w:val="auto"/>
                <w:spacing w:val="0"/>
                <w:w w:val="100"/>
                <w:sz w:val="21"/>
                <w:szCs w:val="21"/>
                <w:u w:val="single"/>
              </w:rPr>
              <w:t xml:space="preserve"> </w:t>
            </w:r>
            <w:r>
              <w:rPr>
                <w:rFonts w:hint="default" w:ascii="Times New Roman" w:hAnsi="Times New Roman" w:eastAsia="宋体" w:cs="Times New Roman"/>
                <w:b/>
                <w:bCs/>
                <w:color w:val="auto"/>
                <w:spacing w:val="0"/>
                <w:sz w:val="21"/>
                <w:szCs w:val="21"/>
                <w:u w:val="single"/>
              </w:rPr>
              <w:t>放标准》（试行）</w:t>
            </w:r>
          </w:p>
          <w:p>
            <w:pPr>
              <w:pStyle w:val="40"/>
              <w:keepNext w:val="0"/>
              <w:keepLines w:val="0"/>
              <w:pageBreakBefore w:val="0"/>
              <w:widowControl w:val="0"/>
              <w:kinsoku/>
              <w:wordWrap/>
              <w:overflowPunct/>
              <w:topLinePunct w:val="0"/>
              <w:autoSpaceDE/>
              <w:autoSpaceDN/>
              <w:bidi w:val="0"/>
              <w:spacing w:line="240" w:lineRule="auto"/>
              <w:ind w:left="0" w:right="0" w:rightChars="0" w:firstLine="0" w:firstLineChars="0"/>
              <w:jc w:val="center"/>
              <w:textAlignment w:val="auto"/>
              <w:rPr>
                <w:rFonts w:hint="default" w:ascii="Times New Roman" w:hAnsi="Times New Roman" w:cs="Times New Roman"/>
                <w:b/>
                <w:bCs/>
                <w:color w:val="auto"/>
                <w:sz w:val="21"/>
                <w:szCs w:val="21"/>
                <w:u w:val="single"/>
              </w:rPr>
            </w:pPr>
            <w:r>
              <w:rPr>
                <w:rFonts w:hint="default" w:ascii="Times New Roman" w:hAnsi="Times New Roman" w:eastAsia="宋体" w:cs="Times New Roman"/>
                <w:b/>
                <w:bCs/>
                <w:color w:val="auto"/>
                <w:sz w:val="21"/>
                <w:szCs w:val="21"/>
                <w:u w:val="single"/>
              </w:rPr>
              <w:t>（DB41/1604-2018）</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1207" w:hRule="exact"/>
          <w:jc w:val="center"/>
        </w:trPr>
        <w:tc>
          <w:tcPr>
            <w:tcW w:w="431"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固废</w:t>
            </w:r>
          </w:p>
        </w:tc>
        <w:tc>
          <w:tcPr>
            <w:tcW w:w="1175"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猪粪</w:t>
            </w:r>
          </w:p>
        </w:tc>
        <w:tc>
          <w:tcPr>
            <w:tcW w:w="178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粪便送至</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固粪处理区堆肥处理</w:t>
            </w:r>
          </w:p>
        </w:tc>
        <w:tc>
          <w:tcPr>
            <w:tcW w:w="3234"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pacing w:val="-10"/>
                <w:sz w:val="21"/>
                <w:szCs w:val="21"/>
                <w:u w:val="single"/>
              </w:rPr>
              <w:t>固粪处理区</w:t>
            </w:r>
            <w:r>
              <w:rPr>
                <w:rFonts w:hint="default" w:ascii="Times New Roman" w:hAnsi="Times New Roman" w:eastAsia="Times New Roman" w:cs="Times New Roman"/>
                <w:b/>
                <w:bCs/>
                <w:color w:val="auto"/>
                <w:sz w:val="21"/>
                <w:szCs w:val="21"/>
                <w:u w:val="single"/>
              </w:rPr>
              <w:t>1</w:t>
            </w:r>
            <w:r>
              <w:rPr>
                <w:rFonts w:hint="default" w:ascii="Times New Roman" w:hAnsi="Times New Roman" w:eastAsia="宋体" w:cs="Times New Roman"/>
                <w:b/>
                <w:bCs/>
                <w:color w:val="auto"/>
                <w:spacing w:val="-13"/>
                <w:sz w:val="21"/>
                <w:szCs w:val="21"/>
                <w:u w:val="single"/>
              </w:rPr>
              <w:t>个。地面进行混凝</w:t>
            </w:r>
            <w:r>
              <w:rPr>
                <w:rFonts w:hint="default" w:ascii="Times New Roman" w:hAnsi="Times New Roman" w:eastAsia="宋体" w:cs="Times New Roman"/>
                <w:b/>
                <w:bCs/>
                <w:color w:val="auto"/>
                <w:spacing w:val="-9"/>
                <w:sz w:val="21"/>
                <w:szCs w:val="21"/>
                <w:u w:val="single"/>
              </w:rPr>
              <w:t>土防渗</w:t>
            </w:r>
          </w:p>
        </w:tc>
        <w:tc>
          <w:tcPr>
            <w:tcW w:w="233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发酵后作为有机肥半成品外售</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662" w:hRule="exact"/>
          <w:jc w:val="center"/>
        </w:trPr>
        <w:tc>
          <w:tcPr>
            <w:tcW w:w="43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c>
          <w:tcPr>
            <w:tcW w:w="1175"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废脱硫剂</w:t>
            </w:r>
          </w:p>
        </w:tc>
        <w:tc>
          <w:tcPr>
            <w:tcW w:w="178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在场区暂存后定</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期交由厂家回收</w:t>
            </w:r>
          </w:p>
        </w:tc>
        <w:tc>
          <w:tcPr>
            <w:tcW w:w="3234"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生产厂家统一回收处置</w:t>
            </w:r>
          </w:p>
        </w:tc>
        <w:tc>
          <w:tcPr>
            <w:tcW w:w="2332"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w w:val="100"/>
                <w:sz w:val="21"/>
                <w:szCs w:val="21"/>
                <w:u w:val="single"/>
              </w:rPr>
              <w:t>《一般工业固体废物贮</w:t>
            </w:r>
            <w:r>
              <w:rPr>
                <w:rFonts w:hint="default" w:ascii="Times New Roman" w:hAnsi="Times New Roman" w:eastAsia="宋体" w:cs="Times New Roman"/>
                <w:b/>
                <w:bCs/>
                <w:color w:val="auto"/>
                <w:spacing w:val="0"/>
                <w:w w:val="100"/>
                <w:sz w:val="21"/>
                <w:szCs w:val="21"/>
                <w:u w:val="single"/>
              </w:rPr>
              <w:t xml:space="preserve"> </w:t>
            </w:r>
            <w:r>
              <w:rPr>
                <w:rFonts w:hint="default" w:ascii="Times New Roman" w:hAnsi="Times New Roman" w:eastAsia="宋体" w:cs="Times New Roman"/>
                <w:b/>
                <w:bCs/>
                <w:color w:val="auto"/>
                <w:sz w:val="21"/>
                <w:szCs w:val="21"/>
                <w:u w:val="single"/>
              </w:rPr>
              <w:t>存、污染控制标准》</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（GB18599-2001)</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700" w:hRule="exact"/>
          <w:jc w:val="center"/>
        </w:trPr>
        <w:tc>
          <w:tcPr>
            <w:tcW w:w="43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c>
          <w:tcPr>
            <w:tcW w:w="1175"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生活垃圾</w:t>
            </w:r>
          </w:p>
        </w:tc>
        <w:tc>
          <w:tcPr>
            <w:tcW w:w="178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生活区设置若干</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垃圾桶</w:t>
            </w:r>
          </w:p>
        </w:tc>
        <w:tc>
          <w:tcPr>
            <w:tcW w:w="3234"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场区设置垃圾桶，定期由当地</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环卫部门收运</w:t>
            </w:r>
          </w:p>
        </w:tc>
        <w:tc>
          <w:tcPr>
            <w:tcW w:w="23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1302" w:hRule="exact"/>
          <w:jc w:val="center"/>
        </w:trPr>
        <w:tc>
          <w:tcPr>
            <w:tcW w:w="43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c>
          <w:tcPr>
            <w:tcW w:w="1175"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病死猪</w:t>
            </w:r>
          </w:p>
        </w:tc>
        <w:tc>
          <w:tcPr>
            <w:tcW w:w="178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23"/>
                <w:sz w:val="21"/>
                <w:szCs w:val="21"/>
                <w:u w:val="single"/>
              </w:rPr>
            </w:pPr>
            <w:r>
              <w:rPr>
                <w:rFonts w:hint="default" w:ascii="Times New Roman" w:hAnsi="Times New Roman" w:eastAsia="宋体" w:cs="Times New Roman"/>
                <w:b/>
                <w:bCs/>
                <w:color w:val="auto"/>
                <w:spacing w:val="-23"/>
                <w:sz w:val="21"/>
                <w:szCs w:val="21"/>
                <w:u w:val="single"/>
              </w:rPr>
              <w:t>集中收集，无害化</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pacing w:val="-14"/>
                <w:sz w:val="21"/>
                <w:szCs w:val="21"/>
                <w:u w:val="single"/>
              </w:rPr>
              <w:t>处理后定期外售</w:t>
            </w:r>
          </w:p>
        </w:tc>
        <w:tc>
          <w:tcPr>
            <w:tcW w:w="3234"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Times New Roman" w:cs="Times New Roman"/>
                <w:b/>
                <w:bCs/>
                <w:color w:val="auto"/>
                <w:sz w:val="21"/>
                <w:szCs w:val="21"/>
                <w:u w:val="single"/>
              </w:rPr>
              <w:t>30m</w:t>
            </w:r>
            <w:r>
              <w:rPr>
                <w:rFonts w:hint="default" w:ascii="Times New Roman" w:hAnsi="Times New Roman" w:eastAsia="宋体" w:cs="Times New Roman"/>
                <w:b/>
                <w:bCs/>
                <w:color w:val="auto"/>
                <w:sz w:val="21"/>
                <w:szCs w:val="21"/>
                <w:u w:val="single"/>
                <w:vertAlign w:val="superscript"/>
                <w:lang w:val="en-US" w:eastAsia="zh-CN"/>
              </w:rPr>
              <w:t>3</w:t>
            </w:r>
            <w:r>
              <w:rPr>
                <w:rFonts w:hint="default" w:ascii="Times New Roman" w:hAnsi="Times New Roman" w:eastAsia="Times New Roman" w:cs="Times New Roman"/>
                <w:b/>
                <w:bCs/>
                <w:color w:val="auto"/>
                <w:spacing w:val="-2"/>
                <w:position w:val="7"/>
                <w:sz w:val="21"/>
                <w:szCs w:val="21"/>
                <w:u w:val="single"/>
              </w:rPr>
              <w:t xml:space="preserve"> </w:t>
            </w:r>
            <w:r>
              <w:rPr>
                <w:rFonts w:hint="default" w:ascii="Times New Roman" w:hAnsi="Times New Roman" w:eastAsia="宋体" w:cs="Times New Roman"/>
                <w:b/>
                <w:bCs/>
                <w:color w:val="auto"/>
                <w:sz w:val="21"/>
                <w:szCs w:val="21"/>
                <w:u w:val="single"/>
              </w:rPr>
              <w:t>病死猪暂存间</w:t>
            </w:r>
            <w:r>
              <w:rPr>
                <w:rFonts w:hint="default" w:ascii="Times New Roman" w:hAnsi="Times New Roman" w:eastAsia="Times New Roman" w:cs="Times New Roman"/>
                <w:b/>
                <w:bCs/>
                <w:color w:val="auto"/>
                <w:sz w:val="21"/>
                <w:szCs w:val="21"/>
                <w:u w:val="single"/>
              </w:rPr>
              <w:t>1</w:t>
            </w:r>
            <w:r>
              <w:rPr>
                <w:rFonts w:hint="default" w:ascii="Times New Roman" w:hAnsi="Times New Roman" w:eastAsia="宋体" w:cs="Times New Roman"/>
                <w:b/>
                <w:bCs/>
                <w:color w:val="auto"/>
                <w:spacing w:val="-8"/>
                <w:sz w:val="21"/>
                <w:szCs w:val="21"/>
                <w:u w:val="single"/>
              </w:rPr>
              <w:t>间，</w:t>
            </w:r>
            <w:r>
              <w:rPr>
                <w:rFonts w:hint="default" w:ascii="Times New Roman" w:hAnsi="Times New Roman" w:eastAsia="Times New Roman" w:cs="Times New Roman"/>
                <w:b/>
                <w:bCs/>
                <w:color w:val="auto"/>
                <w:spacing w:val="-8"/>
                <w:sz w:val="21"/>
                <w:szCs w:val="21"/>
                <w:u w:val="single"/>
              </w:rPr>
              <w:t>15m</w:t>
            </w:r>
            <w:r>
              <w:rPr>
                <w:rFonts w:hint="default" w:ascii="Times New Roman" w:hAnsi="Times New Roman" w:eastAsia="宋体" w:cs="Times New Roman"/>
                <w:b/>
                <w:bCs/>
                <w:color w:val="auto"/>
                <w:spacing w:val="-8"/>
                <w:sz w:val="21"/>
                <w:szCs w:val="21"/>
                <w:u w:val="single"/>
                <w:vertAlign w:val="superscript"/>
                <w:lang w:val="en-US" w:eastAsia="zh-CN"/>
              </w:rPr>
              <w:t>3</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病死猪处理间</w:t>
            </w:r>
            <w:r>
              <w:rPr>
                <w:rFonts w:hint="default" w:ascii="Times New Roman" w:hAnsi="Times New Roman" w:eastAsia="Times New Roman" w:cs="Times New Roman"/>
                <w:b/>
                <w:bCs/>
                <w:color w:val="auto"/>
                <w:sz w:val="21"/>
                <w:szCs w:val="21"/>
                <w:u w:val="single"/>
              </w:rPr>
              <w:t>1</w:t>
            </w:r>
            <w:r>
              <w:rPr>
                <w:rFonts w:hint="default" w:ascii="Times New Roman" w:hAnsi="Times New Roman" w:eastAsia="宋体" w:cs="Times New Roman"/>
                <w:b/>
                <w:bCs/>
                <w:color w:val="auto"/>
                <w:sz w:val="21"/>
                <w:szCs w:val="21"/>
                <w:u w:val="single"/>
              </w:rPr>
              <w:t>间，高温无害化处理机</w:t>
            </w:r>
            <w:r>
              <w:rPr>
                <w:rFonts w:hint="default" w:ascii="Times New Roman" w:hAnsi="Times New Roman" w:eastAsia="Times New Roman" w:cs="Times New Roman"/>
                <w:b/>
                <w:bCs/>
                <w:color w:val="auto"/>
                <w:sz w:val="21"/>
                <w:szCs w:val="21"/>
                <w:u w:val="single"/>
              </w:rPr>
              <w:t>1</w:t>
            </w:r>
            <w:r>
              <w:rPr>
                <w:rFonts w:hint="default" w:ascii="Times New Roman" w:hAnsi="Times New Roman" w:eastAsia="宋体" w:cs="Times New Roman"/>
                <w:b/>
                <w:bCs/>
                <w:color w:val="auto"/>
                <w:sz w:val="21"/>
                <w:szCs w:val="21"/>
                <w:u w:val="single"/>
              </w:rPr>
              <w:t>台，设备安装</w:t>
            </w:r>
            <w:r>
              <w:rPr>
                <w:rFonts w:hint="default" w:ascii="Times New Roman" w:hAnsi="Times New Roman" w:eastAsia="Times New Roman" w:cs="Times New Roman"/>
                <w:b/>
                <w:bCs/>
                <w:color w:val="auto"/>
                <w:sz w:val="21"/>
                <w:szCs w:val="21"/>
                <w:u w:val="single"/>
              </w:rPr>
              <w:t>UV</w:t>
            </w:r>
            <w:r>
              <w:rPr>
                <w:rFonts w:hint="default" w:ascii="Times New Roman" w:hAnsi="Times New Roman" w:eastAsia="宋体" w:cs="Times New Roman"/>
                <w:b/>
                <w:bCs/>
                <w:color w:val="auto"/>
                <w:sz w:val="21"/>
                <w:szCs w:val="21"/>
                <w:u w:val="single"/>
              </w:rPr>
              <w:t>光解催化氧化废气处理装置</w:t>
            </w:r>
          </w:p>
        </w:tc>
        <w:tc>
          <w:tcPr>
            <w:tcW w:w="2332"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w w:val="100"/>
                <w:sz w:val="21"/>
                <w:szCs w:val="21"/>
                <w:u w:val="single"/>
              </w:rPr>
              <w:t>《危险废物贮存污染控</w:t>
            </w:r>
            <w:r>
              <w:rPr>
                <w:rFonts w:hint="default" w:ascii="Times New Roman" w:hAnsi="Times New Roman" w:eastAsia="宋体" w:cs="Times New Roman"/>
                <w:b/>
                <w:bCs/>
                <w:color w:val="auto"/>
                <w:spacing w:val="0"/>
                <w:w w:val="100"/>
                <w:sz w:val="21"/>
                <w:szCs w:val="21"/>
                <w:u w:val="single"/>
              </w:rPr>
              <w:t xml:space="preserve"> </w:t>
            </w:r>
            <w:r>
              <w:rPr>
                <w:rFonts w:hint="default" w:ascii="Times New Roman" w:hAnsi="Times New Roman" w:eastAsia="宋体" w:cs="Times New Roman"/>
                <w:b/>
                <w:bCs/>
                <w:color w:val="auto"/>
                <w:sz w:val="21"/>
                <w:szCs w:val="21"/>
                <w:u w:val="single"/>
              </w:rPr>
              <w:t>制标准》</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（GB18597-2001）</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1104" w:hRule="exact"/>
          <w:jc w:val="center"/>
        </w:trPr>
        <w:tc>
          <w:tcPr>
            <w:tcW w:w="43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c>
          <w:tcPr>
            <w:tcW w:w="1175"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lang w:val="en-US" w:eastAsia="zh-CN"/>
              </w:rPr>
            </w:pPr>
            <w:r>
              <w:rPr>
                <w:rFonts w:hint="default" w:ascii="Times New Roman" w:hAnsi="Times New Roman" w:eastAsia="宋体" w:cs="Times New Roman"/>
                <w:b/>
                <w:bCs/>
                <w:color w:val="auto"/>
                <w:sz w:val="21"/>
                <w:szCs w:val="21"/>
                <w:u w:val="single"/>
              </w:rPr>
              <w:t>医疗固废</w:t>
            </w:r>
            <w:r>
              <w:rPr>
                <w:rFonts w:hint="default" w:ascii="Times New Roman" w:hAnsi="Times New Roman" w:cs="Times New Roman"/>
                <w:b/>
                <w:bCs/>
                <w:color w:val="auto"/>
                <w:sz w:val="21"/>
                <w:szCs w:val="21"/>
                <w:u w:val="single"/>
                <w:lang w:eastAsia="zh-CN"/>
              </w:rPr>
              <w:t>、废导热油</w:t>
            </w:r>
            <w:r>
              <w:rPr>
                <w:rFonts w:hint="eastAsia" w:cs="Times New Roman"/>
                <w:b/>
                <w:bCs/>
                <w:color w:val="auto"/>
                <w:sz w:val="21"/>
                <w:szCs w:val="21"/>
                <w:u w:val="single"/>
                <w:lang w:eastAsia="zh-CN"/>
              </w:rPr>
              <w:t>、废</w:t>
            </w:r>
            <w:r>
              <w:rPr>
                <w:rFonts w:hint="eastAsia" w:cs="Times New Roman"/>
                <w:b/>
                <w:bCs/>
                <w:color w:val="auto"/>
                <w:sz w:val="21"/>
                <w:szCs w:val="21"/>
                <w:u w:val="single"/>
                <w:lang w:val="en-US" w:eastAsia="zh-CN"/>
              </w:rPr>
              <w:t>UV灯管</w:t>
            </w:r>
          </w:p>
        </w:tc>
        <w:tc>
          <w:tcPr>
            <w:tcW w:w="178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pacing w:val="-11"/>
                <w:sz w:val="21"/>
                <w:szCs w:val="21"/>
                <w:u w:val="single"/>
              </w:rPr>
              <w:t>暂存于危废暂存间，定期交有资</w:t>
            </w:r>
            <w:r>
              <w:rPr>
                <w:rFonts w:hint="default" w:ascii="Times New Roman" w:hAnsi="Times New Roman" w:eastAsia="宋体" w:cs="Times New Roman"/>
                <w:b/>
                <w:bCs/>
                <w:color w:val="auto"/>
                <w:spacing w:val="-4"/>
                <w:sz w:val="21"/>
                <w:szCs w:val="21"/>
                <w:u w:val="single"/>
              </w:rPr>
              <w:t>质处置</w:t>
            </w:r>
          </w:p>
        </w:tc>
        <w:tc>
          <w:tcPr>
            <w:tcW w:w="3234"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危废暂存间</w:t>
            </w:r>
            <w:r>
              <w:rPr>
                <w:rFonts w:hint="default" w:ascii="Times New Roman" w:hAnsi="Times New Roman" w:eastAsia="Times New Roman" w:cs="Times New Roman"/>
                <w:b/>
                <w:bCs/>
                <w:color w:val="auto"/>
                <w:sz w:val="21"/>
                <w:szCs w:val="21"/>
                <w:u w:val="single"/>
              </w:rPr>
              <w:t>1</w:t>
            </w:r>
            <w:r>
              <w:rPr>
                <w:rFonts w:hint="default" w:ascii="Times New Roman" w:hAnsi="Times New Roman" w:eastAsia="宋体" w:cs="Times New Roman"/>
                <w:b/>
                <w:bCs/>
                <w:color w:val="auto"/>
                <w:sz w:val="21"/>
                <w:szCs w:val="21"/>
                <w:u w:val="single"/>
              </w:rPr>
              <w:t>个</w:t>
            </w:r>
            <w:r>
              <w:rPr>
                <w:rFonts w:hint="default" w:ascii="Times New Roman" w:hAnsi="Times New Roman" w:eastAsia="宋体" w:cs="Times New Roman"/>
                <w:b/>
                <w:bCs/>
                <w:color w:val="auto"/>
                <w:sz w:val="21"/>
                <w:szCs w:val="21"/>
                <w:u w:val="single"/>
                <w:lang w:val="en-US" w:eastAsia="zh-CN"/>
              </w:rPr>
              <w:t>20</w:t>
            </w:r>
            <w:r>
              <w:rPr>
                <w:rFonts w:hint="default" w:ascii="Times New Roman" w:hAnsi="Times New Roman" w:eastAsia="Times New Roman" w:cs="Times New Roman"/>
                <w:b/>
                <w:bCs/>
                <w:color w:val="auto"/>
                <w:spacing w:val="-12"/>
                <w:sz w:val="21"/>
                <w:szCs w:val="21"/>
                <w:u w:val="single"/>
              </w:rPr>
              <w:t>m</w:t>
            </w:r>
            <w:r>
              <w:rPr>
                <w:rFonts w:hint="default" w:ascii="Times New Roman" w:hAnsi="Times New Roman" w:eastAsia="宋体" w:cs="Times New Roman"/>
                <w:b/>
                <w:bCs/>
                <w:color w:val="auto"/>
                <w:spacing w:val="-12"/>
                <w:sz w:val="21"/>
                <w:szCs w:val="21"/>
                <w:u w:val="single"/>
                <w:vertAlign w:val="superscript"/>
                <w:lang w:val="en-US" w:eastAsia="zh-CN"/>
              </w:rPr>
              <w:t>2</w:t>
            </w:r>
            <w:r>
              <w:rPr>
                <w:rFonts w:hint="default" w:ascii="Times New Roman" w:hAnsi="Times New Roman" w:eastAsia="宋体" w:cs="Times New Roman"/>
                <w:b/>
                <w:bCs/>
                <w:color w:val="auto"/>
                <w:spacing w:val="-12"/>
                <w:sz w:val="21"/>
                <w:szCs w:val="21"/>
                <w:u w:val="single"/>
              </w:rPr>
              <w:t>，具备</w:t>
            </w:r>
            <w:r>
              <w:rPr>
                <w:rFonts w:hint="default" w:ascii="Times New Roman" w:hAnsi="Times New Roman" w:eastAsia="Times New Roman" w:cs="Times New Roman"/>
                <w:b/>
                <w:bCs/>
                <w:color w:val="auto"/>
                <w:spacing w:val="-12"/>
                <w:sz w:val="21"/>
                <w:szCs w:val="21"/>
                <w:u w:val="single"/>
              </w:rPr>
              <w:t>“</w:t>
            </w:r>
            <w:r>
              <w:rPr>
                <w:rFonts w:hint="default" w:ascii="Times New Roman" w:hAnsi="Times New Roman" w:eastAsia="宋体" w:cs="Times New Roman"/>
                <w:b/>
                <w:bCs/>
                <w:color w:val="auto"/>
                <w:spacing w:val="-12"/>
                <w:sz w:val="21"/>
                <w:szCs w:val="21"/>
                <w:u w:val="single"/>
              </w:rPr>
              <w:t>防</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pacing w:val="-5"/>
                <w:sz w:val="21"/>
                <w:szCs w:val="21"/>
                <w:u w:val="single"/>
              </w:rPr>
              <w:t>渗漏、防扬散、防流失</w:t>
            </w:r>
            <w:r>
              <w:rPr>
                <w:rFonts w:hint="default" w:ascii="Times New Roman" w:hAnsi="Times New Roman" w:eastAsia="Times New Roman" w:cs="Times New Roman"/>
                <w:b/>
                <w:bCs/>
                <w:color w:val="auto"/>
                <w:spacing w:val="-5"/>
                <w:sz w:val="21"/>
                <w:szCs w:val="21"/>
                <w:u w:val="single"/>
              </w:rPr>
              <w:t>”</w:t>
            </w:r>
            <w:r>
              <w:rPr>
                <w:rFonts w:hint="default" w:ascii="Times New Roman" w:hAnsi="Times New Roman" w:eastAsia="宋体" w:cs="Times New Roman"/>
                <w:b/>
                <w:bCs/>
                <w:color w:val="auto"/>
                <w:spacing w:val="-5"/>
                <w:sz w:val="21"/>
                <w:szCs w:val="21"/>
                <w:u w:val="single"/>
              </w:rPr>
              <w:t>三防措</w:t>
            </w:r>
            <w:r>
              <w:rPr>
                <w:rFonts w:hint="default" w:ascii="Times New Roman" w:hAnsi="Times New Roman" w:eastAsia="宋体" w:cs="Times New Roman"/>
                <w:b/>
                <w:bCs/>
                <w:color w:val="auto"/>
                <w:sz w:val="21"/>
                <w:szCs w:val="21"/>
                <w:u w:val="single"/>
              </w:rPr>
              <w:t>施，在明显处设置危险废物的警示标志</w:t>
            </w:r>
          </w:p>
        </w:tc>
        <w:tc>
          <w:tcPr>
            <w:tcW w:w="23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1668" w:hRule="exact"/>
          <w:jc w:val="center"/>
        </w:trPr>
        <w:tc>
          <w:tcPr>
            <w:tcW w:w="4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噪</w:t>
            </w:r>
            <w:r>
              <w:rPr>
                <w:rFonts w:hint="default" w:ascii="Times New Roman" w:hAnsi="Times New Roman" w:eastAsia="宋体" w:cs="Times New Roman"/>
                <w:b/>
                <w:bCs/>
                <w:color w:val="auto"/>
                <w:w w:val="99"/>
                <w:sz w:val="21"/>
                <w:szCs w:val="21"/>
                <w:u w:val="single"/>
              </w:rPr>
              <w:t xml:space="preserve"> </w:t>
            </w:r>
            <w:r>
              <w:rPr>
                <w:rFonts w:hint="default" w:ascii="Times New Roman" w:hAnsi="Times New Roman" w:eastAsia="宋体" w:cs="Times New Roman"/>
                <w:b/>
                <w:bCs/>
                <w:color w:val="auto"/>
                <w:sz w:val="21"/>
                <w:szCs w:val="21"/>
                <w:u w:val="single"/>
              </w:rPr>
              <w:t>声</w:t>
            </w:r>
          </w:p>
        </w:tc>
        <w:tc>
          <w:tcPr>
            <w:tcW w:w="1175"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粪污处理</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区</w:t>
            </w:r>
          </w:p>
        </w:tc>
        <w:tc>
          <w:tcPr>
            <w:tcW w:w="178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隔声、减振</w:t>
            </w:r>
          </w:p>
        </w:tc>
        <w:tc>
          <w:tcPr>
            <w:tcW w:w="3234"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5"/>
                <w:sz w:val="21"/>
                <w:szCs w:val="21"/>
                <w:u w:val="single"/>
              </w:rPr>
            </w:pPr>
            <w:r>
              <w:rPr>
                <w:rFonts w:hint="default" w:ascii="Times New Roman" w:hAnsi="Times New Roman" w:eastAsia="宋体" w:cs="Times New Roman"/>
                <w:b/>
                <w:bCs/>
                <w:color w:val="auto"/>
                <w:spacing w:val="-5"/>
                <w:sz w:val="21"/>
                <w:szCs w:val="21"/>
                <w:u w:val="single"/>
              </w:rPr>
              <w:t>设备基础减振，隔声消声降噪，</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草地、灌木、乔木等间隔立体</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绿化</w:t>
            </w:r>
          </w:p>
        </w:tc>
        <w:tc>
          <w:tcPr>
            <w:tcW w:w="233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pacing w:val="-19"/>
                <w:sz w:val="21"/>
                <w:szCs w:val="21"/>
                <w:u w:val="single"/>
              </w:rPr>
            </w:pPr>
            <w:r>
              <w:rPr>
                <w:rFonts w:hint="default" w:ascii="Times New Roman" w:hAnsi="Times New Roman" w:eastAsia="宋体" w:cs="Times New Roman"/>
                <w:b/>
                <w:bCs/>
                <w:color w:val="auto"/>
                <w:spacing w:val="-19"/>
                <w:sz w:val="21"/>
                <w:szCs w:val="21"/>
                <w:u w:val="single"/>
              </w:rPr>
              <w:t>《工业企业厂界环境噪声</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pacing w:val="-17"/>
                <w:sz w:val="21"/>
                <w:szCs w:val="21"/>
                <w:u w:val="single"/>
              </w:rPr>
              <w:t>排放标准》</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pacing w:val="-12"/>
                <w:sz w:val="21"/>
                <w:szCs w:val="21"/>
                <w:u w:val="single"/>
              </w:rPr>
              <w:t>（</w:t>
            </w:r>
            <w:r>
              <w:rPr>
                <w:rFonts w:hint="default" w:ascii="Times New Roman" w:hAnsi="Times New Roman" w:eastAsia="Times New Roman" w:cs="Times New Roman"/>
                <w:b/>
                <w:bCs/>
                <w:color w:val="auto"/>
                <w:spacing w:val="-12"/>
                <w:sz w:val="21"/>
                <w:szCs w:val="21"/>
                <w:u w:val="single"/>
              </w:rPr>
              <w:t>GB12348—2008</w:t>
            </w:r>
            <w:r>
              <w:rPr>
                <w:rFonts w:hint="default" w:ascii="Times New Roman" w:hAnsi="Times New Roman" w:eastAsia="宋体" w:cs="Times New Roman"/>
                <w:b/>
                <w:bCs/>
                <w:color w:val="auto"/>
                <w:spacing w:val="-12"/>
                <w:sz w:val="21"/>
                <w:szCs w:val="21"/>
                <w:u w:val="single"/>
              </w:rPr>
              <w:t>）</w:t>
            </w:r>
            <w:r>
              <w:rPr>
                <w:rFonts w:hint="default" w:ascii="Times New Roman" w:hAnsi="Times New Roman" w:eastAsia="宋体" w:cs="Times New Roman"/>
                <w:b/>
                <w:bCs/>
                <w:color w:val="auto"/>
                <w:spacing w:val="-12"/>
                <w:sz w:val="21"/>
                <w:szCs w:val="21"/>
                <w:u w:val="single"/>
                <w:lang w:val="en-US" w:eastAsia="zh-CN"/>
              </w:rPr>
              <w:t>2</w:t>
            </w:r>
            <w:r>
              <w:rPr>
                <w:rFonts w:hint="default" w:ascii="Times New Roman" w:hAnsi="Times New Roman" w:eastAsia="Times New Roman" w:cs="Times New Roman"/>
                <w:b/>
                <w:bCs/>
                <w:color w:val="auto"/>
                <w:spacing w:val="-2"/>
                <w:sz w:val="21"/>
                <w:szCs w:val="21"/>
                <w:u w:val="single"/>
              </w:rPr>
              <w:t xml:space="preserve"> </w:t>
            </w:r>
            <w:r>
              <w:rPr>
                <w:rFonts w:hint="default" w:ascii="Times New Roman" w:hAnsi="Times New Roman" w:eastAsia="宋体" w:cs="Times New Roman"/>
                <w:b/>
                <w:bCs/>
                <w:color w:val="auto"/>
                <w:sz w:val="21"/>
                <w:szCs w:val="21"/>
                <w:u w:val="single"/>
              </w:rPr>
              <w:t>类</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pacing w:val="-15"/>
                <w:sz w:val="21"/>
                <w:szCs w:val="21"/>
                <w:u w:val="single"/>
              </w:rPr>
              <w:t>标准昼间</w:t>
            </w:r>
            <w:r>
              <w:rPr>
                <w:rFonts w:hint="default" w:ascii="Times New Roman" w:hAnsi="Times New Roman" w:eastAsia="Times New Roman" w:cs="Times New Roman"/>
                <w:b/>
                <w:bCs/>
                <w:color w:val="auto"/>
                <w:spacing w:val="-15"/>
                <w:sz w:val="21"/>
                <w:szCs w:val="21"/>
                <w:u w:val="single"/>
              </w:rPr>
              <w:t>≤</w:t>
            </w:r>
            <w:r>
              <w:rPr>
                <w:rFonts w:hint="default" w:ascii="Times New Roman" w:hAnsi="Times New Roman" w:eastAsia="宋体" w:cs="Times New Roman"/>
                <w:b/>
                <w:bCs/>
                <w:color w:val="auto"/>
                <w:spacing w:val="-15"/>
                <w:sz w:val="21"/>
                <w:szCs w:val="21"/>
                <w:u w:val="single"/>
                <w:lang w:val="en-US" w:eastAsia="zh-CN"/>
              </w:rPr>
              <w:t>60</w:t>
            </w:r>
            <w:r>
              <w:rPr>
                <w:rFonts w:hint="default" w:ascii="Times New Roman" w:hAnsi="Times New Roman" w:eastAsia="Times New Roman" w:cs="Times New Roman"/>
                <w:b/>
                <w:bCs/>
                <w:color w:val="auto"/>
                <w:spacing w:val="-19"/>
                <w:sz w:val="21"/>
                <w:szCs w:val="21"/>
                <w:u w:val="single"/>
              </w:rPr>
              <w:t xml:space="preserve"> </w:t>
            </w:r>
            <w:r>
              <w:rPr>
                <w:rFonts w:hint="default" w:ascii="Times New Roman" w:hAnsi="Times New Roman" w:eastAsia="Times New Roman" w:cs="Times New Roman"/>
                <w:b/>
                <w:bCs/>
                <w:color w:val="auto"/>
                <w:spacing w:val="-30"/>
                <w:sz w:val="21"/>
                <w:szCs w:val="21"/>
                <w:u w:val="single"/>
              </w:rPr>
              <w:t>dB</w:t>
            </w:r>
            <w:r>
              <w:rPr>
                <w:rFonts w:hint="default" w:ascii="Times New Roman" w:hAnsi="Times New Roman" w:eastAsia="宋体" w:cs="Times New Roman"/>
                <w:b/>
                <w:bCs/>
                <w:color w:val="auto"/>
                <w:spacing w:val="-30"/>
                <w:sz w:val="21"/>
                <w:szCs w:val="21"/>
                <w:u w:val="single"/>
              </w:rPr>
              <w:t>（</w:t>
            </w:r>
            <w:r>
              <w:rPr>
                <w:rFonts w:hint="default" w:ascii="Times New Roman" w:hAnsi="Times New Roman" w:eastAsia="Times New Roman" w:cs="Times New Roman"/>
                <w:b/>
                <w:bCs/>
                <w:color w:val="auto"/>
                <w:spacing w:val="-30"/>
                <w:sz w:val="21"/>
                <w:szCs w:val="21"/>
                <w:u w:val="single"/>
              </w:rPr>
              <w:t>A</w:t>
            </w:r>
            <w:r>
              <w:rPr>
                <w:rFonts w:hint="default" w:ascii="Times New Roman" w:hAnsi="Times New Roman" w:eastAsia="宋体" w:cs="Times New Roman"/>
                <w:b/>
                <w:bCs/>
                <w:color w:val="auto"/>
                <w:spacing w:val="-30"/>
                <w:sz w:val="21"/>
                <w:szCs w:val="21"/>
                <w:u w:val="single"/>
              </w:rPr>
              <w:t>）、夜</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pacing w:val="-10"/>
                <w:sz w:val="21"/>
                <w:szCs w:val="21"/>
                <w:u w:val="single"/>
              </w:rPr>
              <w:t>间</w:t>
            </w:r>
            <w:r>
              <w:rPr>
                <w:rFonts w:hint="default" w:ascii="Times New Roman" w:hAnsi="Times New Roman" w:eastAsia="Times New Roman" w:cs="Times New Roman"/>
                <w:b/>
                <w:bCs/>
                <w:color w:val="auto"/>
                <w:spacing w:val="-10"/>
                <w:sz w:val="21"/>
                <w:szCs w:val="21"/>
                <w:u w:val="single"/>
              </w:rPr>
              <w:t>≤</w:t>
            </w:r>
            <w:r>
              <w:rPr>
                <w:rFonts w:hint="default" w:ascii="Times New Roman" w:hAnsi="Times New Roman" w:eastAsia="宋体" w:cs="Times New Roman"/>
                <w:b/>
                <w:bCs/>
                <w:color w:val="auto"/>
                <w:spacing w:val="-10"/>
                <w:sz w:val="21"/>
                <w:szCs w:val="21"/>
                <w:u w:val="single"/>
                <w:lang w:val="en-US" w:eastAsia="zh-CN"/>
              </w:rPr>
              <w:t>50</w:t>
            </w:r>
            <w:r>
              <w:rPr>
                <w:rFonts w:hint="default" w:ascii="Times New Roman" w:hAnsi="Times New Roman" w:eastAsia="Times New Roman" w:cs="Times New Roman"/>
                <w:b/>
                <w:bCs/>
                <w:color w:val="auto"/>
                <w:spacing w:val="-11"/>
                <w:sz w:val="21"/>
                <w:szCs w:val="21"/>
                <w:u w:val="single"/>
              </w:rPr>
              <w:t>dB</w:t>
            </w:r>
            <w:r>
              <w:rPr>
                <w:rFonts w:hint="default" w:ascii="Times New Roman" w:hAnsi="Times New Roman" w:eastAsia="宋体" w:cs="Times New Roman"/>
                <w:b/>
                <w:bCs/>
                <w:color w:val="auto"/>
                <w:spacing w:val="-11"/>
                <w:sz w:val="21"/>
                <w:szCs w:val="21"/>
                <w:u w:val="single"/>
              </w:rPr>
              <w:t>（</w:t>
            </w:r>
            <w:r>
              <w:rPr>
                <w:rFonts w:hint="default" w:ascii="Times New Roman" w:hAnsi="Times New Roman" w:eastAsia="Times New Roman" w:cs="Times New Roman"/>
                <w:b/>
                <w:bCs/>
                <w:color w:val="auto"/>
                <w:spacing w:val="-11"/>
                <w:sz w:val="21"/>
                <w:szCs w:val="21"/>
                <w:u w:val="single"/>
              </w:rPr>
              <w:t>A</w:t>
            </w:r>
            <w:r>
              <w:rPr>
                <w:rFonts w:hint="default" w:ascii="Times New Roman" w:hAnsi="Times New Roman" w:eastAsia="宋体" w:cs="Times New Roman"/>
                <w:b/>
                <w:bCs/>
                <w:color w:val="auto"/>
                <w:spacing w:val="-11"/>
                <w:sz w:val="21"/>
                <w:szCs w:val="21"/>
                <w:u w:val="single"/>
              </w:rPr>
              <w:t>）</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1083" w:hRule="exact"/>
          <w:jc w:val="center"/>
        </w:trPr>
        <w:tc>
          <w:tcPr>
            <w:tcW w:w="431"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w w:val="99"/>
                <w:sz w:val="21"/>
                <w:szCs w:val="21"/>
                <w:u w:val="single"/>
              </w:rPr>
              <w:t>风</w:t>
            </w:r>
          </w:p>
          <w:p>
            <w:pPr>
              <w:pStyle w:val="40"/>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w w:val="99"/>
                <w:sz w:val="21"/>
                <w:szCs w:val="21"/>
                <w:u w:val="single"/>
              </w:rPr>
              <w:t>险</w:t>
            </w:r>
          </w:p>
        </w:tc>
        <w:tc>
          <w:tcPr>
            <w:tcW w:w="1175"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沼气储</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存、利用</w:t>
            </w:r>
          </w:p>
        </w:tc>
        <w:tc>
          <w:tcPr>
            <w:tcW w:w="178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安装阻火器、配</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备消防器器材</w:t>
            </w:r>
          </w:p>
        </w:tc>
        <w:tc>
          <w:tcPr>
            <w:tcW w:w="3234"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消防器材若干，阻火器</w:t>
            </w:r>
            <w:r>
              <w:rPr>
                <w:rFonts w:hint="default" w:ascii="Times New Roman" w:hAnsi="Times New Roman" w:eastAsia="Times New Roman" w:cs="Times New Roman"/>
                <w:b/>
                <w:bCs/>
                <w:color w:val="auto"/>
                <w:sz w:val="21"/>
                <w:szCs w:val="21"/>
                <w:u w:val="single"/>
              </w:rPr>
              <w:t>2</w:t>
            </w:r>
            <w:r>
              <w:rPr>
                <w:rFonts w:hint="default" w:ascii="Times New Roman" w:hAnsi="Times New Roman" w:eastAsia="宋体" w:cs="Times New Roman"/>
                <w:b/>
                <w:bCs/>
                <w:color w:val="auto"/>
                <w:sz w:val="21"/>
                <w:szCs w:val="21"/>
                <w:u w:val="single"/>
              </w:rPr>
              <w:t>个</w:t>
            </w:r>
          </w:p>
        </w:tc>
        <w:tc>
          <w:tcPr>
            <w:tcW w:w="233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Times New Roman" w:cs="Times New Roman"/>
                <w:b/>
                <w:bCs/>
                <w:color w:val="auto"/>
                <w:sz w:val="21"/>
                <w:szCs w:val="21"/>
                <w:u w:val="single"/>
              </w:rPr>
            </w:pPr>
            <w:r>
              <w:rPr>
                <w:rFonts w:hint="default" w:ascii="Times New Roman" w:hAnsi="Times New Roman" w:cs="Times New Roman"/>
                <w:b/>
                <w:bCs/>
                <w:color w:val="auto"/>
                <w:w w:val="99"/>
                <w:sz w:val="21"/>
                <w:szCs w:val="21"/>
                <w:u w:val="single"/>
              </w:rPr>
              <w:t>/</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1030" w:hRule="exact"/>
          <w:jc w:val="center"/>
        </w:trPr>
        <w:tc>
          <w:tcPr>
            <w:tcW w:w="431"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防渗措施</w:t>
            </w:r>
          </w:p>
        </w:tc>
        <w:tc>
          <w:tcPr>
            <w:tcW w:w="1175"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cs="Times New Roman"/>
                <w:b/>
                <w:bCs/>
                <w:color w:val="auto"/>
                <w:sz w:val="21"/>
                <w:szCs w:val="21"/>
                <w:u w:val="single"/>
                <w:lang w:eastAsia="zh-CN"/>
              </w:rPr>
              <w:t>沼液存储池</w:t>
            </w:r>
            <w:r>
              <w:rPr>
                <w:rFonts w:hint="default" w:ascii="Times New Roman" w:hAnsi="Times New Roman" w:eastAsia="宋体" w:cs="Times New Roman"/>
                <w:b/>
                <w:bCs/>
                <w:color w:val="auto"/>
                <w:sz w:val="21"/>
                <w:szCs w:val="21"/>
                <w:u w:val="single"/>
              </w:rPr>
              <w:t>防渗</w:t>
            </w:r>
          </w:p>
        </w:tc>
        <w:tc>
          <w:tcPr>
            <w:tcW w:w="178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做好</w:t>
            </w:r>
            <w:r>
              <w:rPr>
                <w:rFonts w:hint="default" w:ascii="Times New Roman" w:hAnsi="Times New Roman" w:eastAsia="宋体" w:cs="Times New Roman"/>
                <w:b/>
                <w:bCs/>
                <w:color w:val="auto"/>
                <w:spacing w:val="-56"/>
                <w:sz w:val="21"/>
                <w:szCs w:val="21"/>
                <w:u w:val="single"/>
              </w:rPr>
              <w:t xml:space="preserve"> </w:t>
            </w:r>
            <w:r>
              <w:rPr>
                <w:rFonts w:hint="default" w:ascii="Times New Roman" w:hAnsi="Times New Roman" w:eastAsia="Times New Roman" w:cs="Times New Roman"/>
                <w:b/>
                <w:bCs/>
                <w:color w:val="auto"/>
                <w:sz w:val="21"/>
                <w:szCs w:val="21"/>
                <w:u w:val="single"/>
              </w:rPr>
              <w:t>HDPE</w:t>
            </w:r>
            <w:r>
              <w:rPr>
                <w:rFonts w:hint="default" w:ascii="Times New Roman" w:hAnsi="Times New Roman" w:eastAsia="Times New Roman" w:cs="Times New Roman"/>
                <w:b/>
                <w:bCs/>
                <w:color w:val="auto"/>
                <w:spacing w:val="-1"/>
                <w:sz w:val="21"/>
                <w:szCs w:val="21"/>
                <w:u w:val="single"/>
              </w:rPr>
              <w:t xml:space="preserve"> </w:t>
            </w:r>
            <w:r>
              <w:rPr>
                <w:rFonts w:hint="default" w:ascii="Times New Roman" w:hAnsi="Times New Roman" w:eastAsia="宋体" w:cs="Times New Roman"/>
                <w:b/>
                <w:bCs/>
                <w:color w:val="auto"/>
                <w:sz w:val="21"/>
                <w:szCs w:val="21"/>
                <w:u w:val="single"/>
              </w:rPr>
              <w:t>膜</w:t>
            </w:r>
          </w:p>
        </w:tc>
        <w:tc>
          <w:tcPr>
            <w:tcW w:w="3234"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cs="Times New Roman"/>
                <w:b/>
                <w:bCs/>
                <w:color w:val="auto"/>
                <w:sz w:val="21"/>
                <w:szCs w:val="21"/>
                <w:u w:val="single"/>
                <w:lang w:eastAsia="zh-CN"/>
              </w:rPr>
              <w:t>沼液存储池</w:t>
            </w:r>
            <w:r>
              <w:rPr>
                <w:rFonts w:hint="default" w:ascii="Times New Roman" w:hAnsi="Times New Roman" w:eastAsia="宋体" w:cs="Times New Roman"/>
                <w:b/>
                <w:bCs/>
                <w:color w:val="auto"/>
                <w:sz w:val="21"/>
                <w:szCs w:val="21"/>
                <w:u w:val="single"/>
              </w:rPr>
              <w:t>底部</w:t>
            </w:r>
            <w:r>
              <w:rPr>
                <w:rFonts w:hint="default" w:ascii="Times New Roman" w:hAnsi="Times New Roman" w:cs="Times New Roman"/>
                <w:b/>
                <w:bCs/>
                <w:color w:val="auto"/>
                <w:sz w:val="21"/>
                <w:szCs w:val="21"/>
                <w:u w:val="single"/>
                <w:lang w:eastAsia="zh-CN"/>
              </w:rPr>
              <w:t>采用</w:t>
            </w:r>
            <w:r>
              <w:rPr>
                <w:rFonts w:hint="default" w:ascii="Times New Roman" w:hAnsi="Times New Roman" w:eastAsia="Times New Roman" w:cs="Times New Roman"/>
                <w:b/>
                <w:bCs/>
                <w:color w:val="auto"/>
                <w:sz w:val="21"/>
                <w:szCs w:val="21"/>
                <w:u w:val="single"/>
              </w:rPr>
              <w:t>HDPE</w:t>
            </w:r>
            <w:r>
              <w:rPr>
                <w:rFonts w:hint="default" w:ascii="Times New Roman" w:hAnsi="Times New Roman" w:eastAsia="宋体" w:cs="Times New Roman"/>
                <w:b/>
                <w:bCs/>
                <w:color w:val="auto"/>
                <w:sz w:val="21"/>
                <w:szCs w:val="21"/>
                <w:u w:val="single"/>
              </w:rPr>
              <w:t>防渗膜。</w:t>
            </w:r>
          </w:p>
        </w:tc>
        <w:tc>
          <w:tcPr>
            <w:tcW w:w="2332"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符合《规模化畜禽养殖</w:t>
            </w:r>
            <w:r>
              <w:rPr>
                <w:rFonts w:hint="default" w:ascii="Times New Roman" w:hAnsi="Times New Roman" w:eastAsia="宋体" w:cs="Times New Roman"/>
                <w:b/>
                <w:bCs/>
                <w:color w:val="auto"/>
                <w:spacing w:val="-101"/>
                <w:sz w:val="21"/>
                <w:szCs w:val="21"/>
                <w:u w:val="single"/>
              </w:rPr>
              <w:t xml:space="preserve"> </w:t>
            </w:r>
            <w:r>
              <w:rPr>
                <w:rFonts w:hint="default" w:ascii="Times New Roman" w:hAnsi="Times New Roman" w:eastAsia="宋体" w:cs="Times New Roman"/>
                <w:b/>
                <w:bCs/>
                <w:color w:val="auto"/>
                <w:spacing w:val="11"/>
                <w:sz w:val="21"/>
                <w:szCs w:val="21"/>
                <w:u w:val="single"/>
              </w:rPr>
              <w:t>场沼气工程设计规范》</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pacing w:val="-5"/>
                <w:sz w:val="21"/>
                <w:szCs w:val="21"/>
                <w:u w:val="single"/>
              </w:rPr>
              <w:t>（</w:t>
            </w:r>
            <w:r>
              <w:rPr>
                <w:rFonts w:hint="default" w:ascii="Times New Roman" w:hAnsi="Times New Roman" w:eastAsia="Times New Roman" w:cs="Times New Roman"/>
                <w:b/>
                <w:bCs/>
                <w:color w:val="auto"/>
                <w:spacing w:val="-5"/>
                <w:sz w:val="21"/>
                <w:szCs w:val="21"/>
                <w:u w:val="single"/>
              </w:rPr>
              <w:t>NY/T1222</w:t>
            </w:r>
            <w:r>
              <w:rPr>
                <w:rFonts w:hint="default" w:ascii="Times New Roman" w:hAnsi="Times New Roman" w:eastAsia="宋体" w:cs="Times New Roman"/>
                <w:b/>
                <w:bCs/>
                <w:color w:val="auto"/>
                <w:spacing w:val="-5"/>
                <w:sz w:val="21"/>
                <w:szCs w:val="21"/>
                <w:u w:val="single"/>
              </w:rPr>
              <w:t>）和《混凝</w:t>
            </w:r>
          </w:p>
          <w:p>
            <w:pPr>
              <w:pStyle w:val="40"/>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土结构设计规范》</w:t>
            </w:r>
          </w:p>
          <w:p>
            <w:pPr>
              <w:pStyle w:val="40"/>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pacing w:val="2"/>
                <w:sz w:val="21"/>
                <w:szCs w:val="21"/>
                <w:u w:val="single"/>
              </w:rPr>
              <w:t>（</w:t>
            </w:r>
            <w:r>
              <w:rPr>
                <w:rFonts w:hint="default" w:ascii="Times New Roman" w:hAnsi="Times New Roman" w:eastAsia="Times New Roman" w:cs="Times New Roman"/>
                <w:b/>
                <w:bCs/>
                <w:color w:val="auto"/>
                <w:spacing w:val="2"/>
                <w:sz w:val="21"/>
                <w:szCs w:val="21"/>
                <w:u w:val="single"/>
              </w:rPr>
              <w:t>GB50010</w:t>
            </w:r>
            <w:r>
              <w:rPr>
                <w:rFonts w:hint="default" w:ascii="Times New Roman" w:hAnsi="Times New Roman" w:eastAsia="宋体" w:cs="Times New Roman"/>
                <w:b/>
                <w:bCs/>
                <w:color w:val="auto"/>
                <w:spacing w:val="2"/>
                <w:sz w:val="21"/>
                <w:szCs w:val="21"/>
                <w:u w:val="single"/>
              </w:rPr>
              <w:t>）的要求，</w:t>
            </w:r>
          </w:p>
          <w:p>
            <w:pPr>
              <w:pStyle w:val="40"/>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pacing w:val="-15"/>
                <w:sz w:val="21"/>
                <w:szCs w:val="21"/>
                <w:u w:val="single"/>
              </w:rPr>
              <w:t>具备</w:t>
            </w:r>
            <w:r>
              <w:rPr>
                <w:rFonts w:hint="default" w:ascii="Times New Roman" w:hAnsi="Times New Roman" w:eastAsia="Times New Roman" w:cs="Times New Roman"/>
                <w:b/>
                <w:bCs/>
                <w:color w:val="auto"/>
                <w:spacing w:val="-15"/>
                <w:sz w:val="21"/>
                <w:szCs w:val="21"/>
                <w:u w:val="single"/>
              </w:rPr>
              <w:t>“</w:t>
            </w:r>
            <w:r>
              <w:rPr>
                <w:rFonts w:hint="default" w:ascii="Times New Roman" w:hAnsi="Times New Roman" w:eastAsia="宋体" w:cs="Times New Roman"/>
                <w:b/>
                <w:bCs/>
                <w:color w:val="auto"/>
                <w:spacing w:val="-15"/>
                <w:sz w:val="21"/>
                <w:szCs w:val="21"/>
                <w:u w:val="single"/>
              </w:rPr>
              <w:t>防渗、防雨、防溢</w:t>
            </w:r>
            <w:r>
              <w:rPr>
                <w:rFonts w:hint="default" w:ascii="Times New Roman" w:hAnsi="Times New Roman" w:eastAsia="Times New Roman" w:cs="Times New Roman"/>
                <w:b/>
                <w:bCs/>
                <w:color w:val="auto"/>
                <w:spacing w:val="-15"/>
                <w:sz w:val="21"/>
                <w:szCs w:val="21"/>
                <w:u w:val="single"/>
              </w:rPr>
              <w:t>”</w:t>
            </w:r>
            <w:r>
              <w:rPr>
                <w:rFonts w:hint="default" w:ascii="Times New Roman" w:hAnsi="Times New Roman" w:eastAsia="宋体" w:cs="Times New Roman"/>
                <w:b/>
                <w:bCs/>
                <w:color w:val="auto"/>
                <w:sz w:val="21"/>
                <w:szCs w:val="21"/>
                <w:u w:val="single"/>
              </w:rPr>
              <w:t>的三防措施。</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1887" w:hRule="exact"/>
          <w:jc w:val="center"/>
        </w:trPr>
        <w:tc>
          <w:tcPr>
            <w:tcW w:w="43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c>
          <w:tcPr>
            <w:tcW w:w="493" w:type="dxa"/>
            <w:vMerge w:val="restart"/>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场区</w:t>
            </w:r>
            <w:r>
              <w:rPr>
                <w:rFonts w:hint="default" w:ascii="Times New Roman" w:hAnsi="Times New Roman" w:eastAsia="宋体" w:cs="Times New Roman"/>
                <w:b/>
                <w:bCs/>
                <w:color w:val="auto"/>
                <w:w w:val="99"/>
                <w:sz w:val="21"/>
                <w:szCs w:val="21"/>
                <w:u w:val="single"/>
              </w:rPr>
              <w:t xml:space="preserve"> </w:t>
            </w:r>
            <w:r>
              <w:rPr>
                <w:rFonts w:hint="default" w:ascii="Times New Roman" w:hAnsi="Times New Roman" w:eastAsia="宋体" w:cs="Times New Roman"/>
                <w:b/>
                <w:bCs/>
                <w:color w:val="auto"/>
                <w:sz w:val="21"/>
                <w:szCs w:val="21"/>
                <w:u w:val="single"/>
              </w:rPr>
              <w:t>防渗</w:t>
            </w:r>
          </w:p>
        </w:tc>
        <w:tc>
          <w:tcPr>
            <w:tcW w:w="68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污水处理区</w:t>
            </w:r>
          </w:p>
        </w:tc>
        <w:tc>
          <w:tcPr>
            <w:tcW w:w="178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做好混凝土防渗措施</w:t>
            </w:r>
          </w:p>
        </w:tc>
        <w:tc>
          <w:tcPr>
            <w:tcW w:w="3234"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黑膜沼气池采用素土夯实</w:t>
            </w:r>
            <w:r>
              <w:rPr>
                <w:rFonts w:hint="default" w:ascii="Times New Roman" w:hAnsi="Times New Roman" w:eastAsia="Times New Roman" w:cs="Times New Roman"/>
                <w:b/>
                <w:bCs/>
                <w:color w:val="auto"/>
                <w:sz w:val="21"/>
                <w:szCs w:val="21"/>
                <w:u w:val="single"/>
              </w:rPr>
              <w:t>+HDPE</w:t>
            </w:r>
            <w:r>
              <w:rPr>
                <w:rFonts w:hint="default" w:ascii="Times New Roman" w:hAnsi="Times New Roman" w:eastAsia="宋体" w:cs="Times New Roman"/>
                <w:b/>
                <w:bCs/>
                <w:color w:val="auto"/>
                <w:spacing w:val="-6"/>
                <w:sz w:val="21"/>
                <w:szCs w:val="21"/>
                <w:u w:val="single"/>
              </w:rPr>
              <w:t>防渗膜。防渗要求达到</w:t>
            </w:r>
            <w:r>
              <w:rPr>
                <w:rFonts w:hint="default" w:ascii="Times New Roman" w:hAnsi="Times New Roman" w:eastAsia="宋体" w:cs="Times New Roman"/>
                <w:b/>
                <w:bCs/>
                <w:color w:val="auto"/>
                <w:sz w:val="21"/>
                <w:szCs w:val="21"/>
                <w:u w:val="single"/>
              </w:rPr>
              <w:t>等效黏土防渗层</w:t>
            </w:r>
            <w:r>
              <w:rPr>
                <w:rFonts w:hint="default" w:ascii="Times New Roman" w:hAnsi="Times New Roman" w:eastAsia="宋体" w:cs="Times New Roman"/>
                <w:b/>
                <w:bCs/>
                <w:color w:val="auto"/>
                <w:spacing w:val="-56"/>
                <w:sz w:val="21"/>
                <w:szCs w:val="21"/>
                <w:u w:val="single"/>
              </w:rPr>
              <w:t xml:space="preserve"> </w:t>
            </w:r>
            <w:r>
              <w:rPr>
                <w:rFonts w:hint="default" w:ascii="Times New Roman" w:hAnsi="Times New Roman" w:eastAsia="Times New Roman" w:cs="Times New Roman"/>
                <w:b/>
                <w:bCs/>
                <w:color w:val="auto"/>
                <w:sz w:val="21"/>
                <w:szCs w:val="21"/>
                <w:u w:val="single"/>
              </w:rPr>
              <w:t>Mb≥1.5m</w:t>
            </w:r>
            <w:r>
              <w:rPr>
                <w:rFonts w:hint="default" w:ascii="Times New Roman" w:hAnsi="Times New Roman" w:eastAsia="宋体" w:cs="Times New Roman"/>
                <w:b/>
                <w:bCs/>
                <w:color w:val="auto"/>
                <w:sz w:val="21"/>
                <w:szCs w:val="21"/>
                <w:u w:val="single"/>
              </w:rPr>
              <w:t>，</w:t>
            </w:r>
            <w:r>
              <w:rPr>
                <w:rFonts w:hint="default" w:ascii="Times New Roman" w:hAnsi="Times New Roman" w:eastAsia="Times New Roman" w:cs="Times New Roman"/>
                <w:b/>
                <w:bCs/>
                <w:color w:val="auto"/>
                <w:sz w:val="21"/>
                <w:szCs w:val="21"/>
                <w:u w:val="single"/>
              </w:rPr>
              <w:t>K≤1×10</w:t>
            </w:r>
            <w:r>
              <w:rPr>
                <w:rFonts w:hint="default" w:ascii="Times New Roman" w:hAnsi="Times New Roman" w:eastAsia="宋体" w:cs="Times New Roman"/>
                <w:b/>
                <w:bCs/>
                <w:color w:val="auto"/>
                <w:sz w:val="21"/>
                <w:szCs w:val="21"/>
                <w:u w:val="single"/>
                <w:vertAlign w:val="superscript"/>
                <w:lang w:val="en-US" w:eastAsia="zh-CN"/>
              </w:rPr>
              <w:t>-7</w:t>
            </w:r>
            <w:r>
              <w:rPr>
                <w:rFonts w:hint="default" w:ascii="Times New Roman" w:hAnsi="Times New Roman" w:eastAsia="Times New Roman" w:cs="Times New Roman"/>
                <w:b/>
                <w:bCs/>
                <w:color w:val="auto"/>
                <w:sz w:val="21"/>
                <w:szCs w:val="21"/>
                <w:u w:val="single"/>
              </w:rPr>
              <w:t>cm/s</w:t>
            </w:r>
            <w:r>
              <w:rPr>
                <w:rFonts w:hint="default" w:ascii="Times New Roman" w:hAnsi="Times New Roman" w:eastAsia="宋体" w:cs="Times New Roman"/>
                <w:b/>
                <w:bCs/>
                <w:color w:val="auto"/>
                <w:sz w:val="21"/>
                <w:szCs w:val="21"/>
                <w:u w:val="single"/>
              </w:rPr>
              <w:t>；收集池为钢筋混凝土结构并做相应表面处理</w:t>
            </w:r>
          </w:p>
        </w:tc>
        <w:tc>
          <w:tcPr>
            <w:tcW w:w="2332" w:type="dxa"/>
            <w:vMerge w:val="continue"/>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827" w:hRule="exact"/>
          <w:jc w:val="center"/>
        </w:trPr>
        <w:tc>
          <w:tcPr>
            <w:tcW w:w="431"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c>
          <w:tcPr>
            <w:tcW w:w="493"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c>
          <w:tcPr>
            <w:tcW w:w="68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养殖区</w:t>
            </w:r>
          </w:p>
        </w:tc>
        <w:tc>
          <w:tcPr>
            <w:tcW w:w="178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做好混凝土防渗</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措施</w:t>
            </w:r>
          </w:p>
        </w:tc>
        <w:tc>
          <w:tcPr>
            <w:tcW w:w="3234"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养殖场区底部铺设混凝土</w:t>
            </w:r>
          </w:p>
        </w:tc>
        <w:tc>
          <w:tcPr>
            <w:tcW w:w="2332" w:type="dxa"/>
            <w:vMerge w:val="restart"/>
            <w:tcBorders>
              <w:tl2br w:val="nil"/>
              <w:tr2bl w:val="nil"/>
            </w:tcBorders>
            <w:noWrap w:val="0"/>
            <w:vAlign w:val="top"/>
          </w:tcPr>
          <w:p>
            <w:pPr>
              <w:pStyle w:val="40"/>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Times New Roman" w:cs="Times New Roman"/>
                <w:b/>
                <w:bCs/>
                <w:color w:val="auto"/>
                <w:sz w:val="21"/>
                <w:szCs w:val="21"/>
                <w:u w:val="single"/>
              </w:rPr>
            </w:pPr>
          </w:p>
          <w:p>
            <w:pPr>
              <w:pStyle w:val="40"/>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Times New Roman" w:cs="Times New Roman"/>
                <w:b/>
                <w:bCs/>
                <w:color w:val="auto"/>
                <w:sz w:val="21"/>
                <w:szCs w:val="21"/>
                <w:u w:val="single"/>
              </w:rPr>
            </w:pPr>
            <w:r>
              <w:rPr>
                <w:rFonts w:hint="default" w:ascii="Times New Roman" w:hAnsi="Times New Roman" w:eastAsia="宋体" w:cs="Times New Roman"/>
                <w:b/>
                <w:bCs/>
                <w:color w:val="auto"/>
                <w:sz w:val="21"/>
                <w:szCs w:val="21"/>
                <w:u w:val="single"/>
              </w:rPr>
              <w:t>满足《畜禽养殖业污染</w:t>
            </w:r>
            <w:r>
              <w:rPr>
                <w:rFonts w:hint="default" w:ascii="Times New Roman" w:hAnsi="Times New Roman" w:eastAsia="宋体" w:cs="Times New Roman"/>
                <w:b/>
                <w:bCs/>
                <w:color w:val="auto"/>
                <w:w w:val="99"/>
                <w:sz w:val="21"/>
                <w:szCs w:val="21"/>
                <w:u w:val="single"/>
              </w:rPr>
              <w:t xml:space="preserve"> </w:t>
            </w:r>
            <w:r>
              <w:rPr>
                <w:rFonts w:hint="default" w:ascii="Times New Roman" w:hAnsi="Times New Roman" w:eastAsia="宋体" w:cs="Times New Roman"/>
                <w:b/>
                <w:bCs/>
                <w:color w:val="auto"/>
                <w:spacing w:val="-15"/>
                <w:sz w:val="21"/>
                <w:szCs w:val="21"/>
                <w:u w:val="single"/>
              </w:rPr>
              <w:t>防治技术规范》（</w:t>
            </w:r>
            <w:r>
              <w:rPr>
                <w:rFonts w:hint="default" w:ascii="Times New Roman" w:hAnsi="Times New Roman" w:eastAsia="Times New Roman" w:cs="Times New Roman"/>
                <w:b/>
                <w:bCs/>
                <w:color w:val="auto"/>
                <w:spacing w:val="-15"/>
                <w:sz w:val="21"/>
                <w:szCs w:val="21"/>
                <w:u w:val="single"/>
              </w:rPr>
              <w:t>HJ/T81</w:t>
            </w:r>
          </w:p>
          <w:p>
            <w:pPr>
              <w:pStyle w:val="40"/>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w:t>
            </w:r>
            <w:r>
              <w:rPr>
                <w:rFonts w:hint="default" w:ascii="Times New Roman" w:hAnsi="Times New Roman" w:eastAsia="Times New Roman" w:cs="Times New Roman"/>
                <w:b/>
                <w:bCs/>
                <w:color w:val="auto"/>
                <w:sz w:val="21"/>
                <w:szCs w:val="21"/>
                <w:u w:val="single"/>
              </w:rPr>
              <w:t>2001</w:t>
            </w:r>
            <w:r>
              <w:rPr>
                <w:rFonts w:hint="default" w:ascii="Times New Roman" w:hAnsi="Times New Roman" w:eastAsia="宋体" w:cs="Times New Roman"/>
                <w:b/>
                <w:bCs/>
                <w:color w:val="auto"/>
                <w:sz w:val="21"/>
                <w:szCs w:val="21"/>
                <w:u w:val="single"/>
              </w:rPr>
              <w:t>）中畜禽粪便的贮存相关要求，应具备</w:t>
            </w:r>
            <w:r>
              <w:rPr>
                <w:rFonts w:hint="default" w:ascii="Times New Roman" w:hAnsi="Times New Roman" w:eastAsia="宋体" w:cs="Times New Roman"/>
                <w:b/>
                <w:bCs/>
                <w:color w:val="auto"/>
                <w:spacing w:val="-8"/>
                <w:sz w:val="21"/>
                <w:szCs w:val="21"/>
                <w:u w:val="single"/>
              </w:rPr>
              <w:t>防渗、防风、防雨的</w:t>
            </w:r>
            <w:r>
              <w:rPr>
                <w:rFonts w:hint="default" w:ascii="Times New Roman" w:hAnsi="Times New Roman" w:eastAsia="Times New Roman" w:cs="Times New Roman"/>
                <w:b/>
                <w:bCs/>
                <w:color w:val="auto"/>
                <w:spacing w:val="-8"/>
                <w:sz w:val="21"/>
                <w:szCs w:val="21"/>
                <w:u w:val="single"/>
              </w:rPr>
              <w:t>“</w:t>
            </w:r>
            <w:r>
              <w:rPr>
                <w:rFonts w:hint="default" w:ascii="Times New Roman" w:hAnsi="Times New Roman" w:eastAsia="宋体" w:cs="Times New Roman"/>
                <w:b/>
                <w:bCs/>
                <w:color w:val="auto"/>
                <w:spacing w:val="-8"/>
                <w:sz w:val="21"/>
                <w:szCs w:val="21"/>
                <w:u w:val="single"/>
              </w:rPr>
              <w:t>三</w:t>
            </w:r>
            <w:r>
              <w:rPr>
                <w:rFonts w:hint="default" w:ascii="Times New Roman" w:hAnsi="Times New Roman" w:eastAsia="宋体" w:cs="Times New Roman"/>
                <w:b/>
                <w:bCs/>
                <w:color w:val="auto"/>
                <w:sz w:val="21"/>
                <w:szCs w:val="21"/>
                <w:u w:val="single"/>
              </w:rPr>
              <w:t>防</w:t>
            </w:r>
            <w:r>
              <w:rPr>
                <w:rFonts w:hint="default" w:ascii="Times New Roman" w:hAnsi="Times New Roman" w:eastAsia="Times New Roman" w:cs="Times New Roman"/>
                <w:b/>
                <w:bCs/>
                <w:color w:val="auto"/>
                <w:sz w:val="21"/>
                <w:szCs w:val="21"/>
                <w:u w:val="single"/>
              </w:rPr>
              <w:t>”</w:t>
            </w:r>
            <w:r>
              <w:rPr>
                <w:rFonts w:hint="default" w:ascii="Times New Roman" w:hAnsi="Times New Roman" w:eastAsia="宋体" w:cs="Times New Roman"/>
                <w:b/>
                <w:bCs/>
                <w:color w:val="auto"/>
                <w:sz w:val="21"/>
                <w:szCs w:val="21"/>
                <w:u w:val="single"/>
              </w:rPr>
              <w:t>措施。</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560" w:hRule="exact"/>
          <w:jc w:val="center"/>
        </w:trPr>
        <w:tc>
          <w:tcPr>
            <w:tcW w:w="431"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c>
          <w:tcPr>
            <w:tcW w:w="493"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c>
          <w:tcPr>
            <w:tcW w:w="68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固粪</w:t>
            </w:r>
          </w:p>
          <w:p>
            <w:pPr>
              <w:pStyle w:val="40"/>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处理区</w:t>
            </w:r>
          </w:p>
        </w:tc>
        <w:tc>
          <w:tcPr>
            <w:tcW w:w="178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做好混凝土防渗</w:t>
            </w:r>
          </w:p>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措施</w:t>
            </w:r>
          </w:p>
        </w:tc>
        <w:tc>
          <w:tcPr>
            <w:tcW w:w="3234"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地面铺设混凝土</w:t>
            </w:r>
          </w:p>
        </w:tc>
        <w:tc>
          <w:tcPr>
            <w:tcW w:w="2332"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827" w:hRule="exact"/>
          <w:jc w:val="center"/>
        </w:trPr>
        <w:tc>
          <w:tcPr>
            <w:tcW w:w="431"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c>
          <w:tcPr>
            <w:tcW w:w="493"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c>
          <w:tcPr>
            <w:tcW w:w="682"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Times New Roman" w:cs="Times New Roman"/>
                <w:b/>
                <w:bCs/>
                <w:color w:val="auto"/>
                <w:sz w:val="21"/>
                <w:szCs w:val="21"/>
                <w:u w:val="single"/>
              </w:rPr>
            </w:pPr>
          </w:p>
          <w:p>
            <w:pPr>
              <w:pStyle w:val="40"/>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管线</w:t>
            </w:r>
          </w:p>
        </w:tc>
        <w:tc>
          <w:tcPr>
            <w:tcW w:w="1786" w:type="dxa"/>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z w:val="21"/>
                <w:szCs w:val="21"/>
                <w:u w:val="single"/>
              </w:rPr>
              <w:t>做好混凝土防渗措施</w:t>
            </w:r>
          </w:p>
        </w:tc>
        <w:tc>
          <w:tcPr>
            <w:tcW w:w="3234" w:type="dxa"/>
            <w:gridSpan w:val="2"/>
            <w:tcBorders>
              <w:tl2br w:val="nil"/>
              <w:tr2bl w:val="nil"/>
            </w:tcBorders>
            <w:noWrap w:val="0"/>
            <w:vAlign w:val="center"/>
          </w:tcPr>
          <w:p>
            <w:pPr>
              <w:pStyle w:val="40"/>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pacing w:val="5"/>
                <w:sz w:val="21"/>
                <w:szCs w:val="21"/>
                <w:u w:val="single"/>
              </w:rPr>
              <w:t>粪污水是通过</w:t>
            </w:r>
            <w:r>
              <w:rPr>
                <w:rFonts w:hint="default" w:ascii="Times New Roman" w:hAnsi="Times New Roman" w:eastAsia="Times New Roman" w:cs="Times New Roman"/>
                <w:b/>
                <w:bCs/>
                <w:color w:val="auto"/>
                <w:sz w:val="21"/>
                <w:szCs w:val="21"/>
                <w:u w:val="single"/>
              </w:rPr>
              <w:t>PVC</w:t>
            </w:r>
            <w:r>
              <w:rPr>
                <w:rFonts w:hint="default" w:ascii="Times New Roman" w:hAnsi="Times New Roman" w:eastAsia="宋体" w:cs="Times New Roman"/>
                <w:b/>
                <w:bCs/>
                <w:color w:val="auto"/>
                <w:spacing w:val="3"/>
                <w:sz w:val="21"/>
                <w:szCs w:val="21"/>
                <w:u w:val="single"/>
              </w:rPr>
              <w:t>管、</w:t>
            </w:r>
            <w:r>
              <w:rPr>
                <w:rFonts w:hint="default" w:ascii="Times New Roman" w:hAnsi="Times New Roman" w:eastAsia="Times New Roman" w:cs="Times New Roman"/>
                <w:b/>
                <w:bCs/>
                <w:color w:val="auto"/>
                <w:spacing w:val="3"/>
                <w:sz w:val="21"/>
                <w:szCs w:val="21"/>
                <w:u w:val="single"/>
              </w:rPr>
              <w:t>PE</w:t>
            </w:r>
            <w:r>
              <w:rPr>
                <w:rFonts w:hint="default" w:ascii="Times New Roman" w:hAnsi="Times New Roman" w:eastAsia="宋体" w:cs="Times New Roman"/>
                <w:b/>
                <w:bCs/>
                <w:color w:val="auto"/>
                <w:sz w:val="21"/>
                <w:szCs w:val="21"/>
                <w:u w:val="single"/>
              </w:rPr>
              <w:t>管</w:t>
            </w:r>
          </w:p>
          <w:p>
            <w:pPr>
              <w:pStyle w:val="40"/>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rPr>
            </w:pPr>
            <w:r>
              <w:rPr>
                <w:rFonts w:hint="default" w:ascii="Times New Roman" w:hAnsi="Times New Roman" w:eastAsia="宋体" w:cs="Times New Roman"/>
                <w:b/>
                <w:bCs/>
                <w:color w:val="auto"/>
                <w:spacing w:val="2"/>
                <w:sz w:val="21"/>
                <w:szCs w:val="21"/>
                <w:u w:val="single"/>
              </w:rPr>
              <w:t>地埋输送，雨水明渠是混凝土</w:t>
            </w:r>
            <w:r>
              <w:rPr>
                <w:rFonts w:hint="default" w:ascii="Times New Roman" w:hAnsi="Times New Roman" w:eastAsia="宋体" w:cs="Times New Roman"/>
                <w:b/>
                <w:bCs/>
                <w:color w:val="auto"/>
                <w:sz w:val="21"/>
                <w:szCs w:val="21"/>
                <w:u w:val="single"/>
              </w:rPr>
              <w:t>防渗</w:t>
            </w:r>
          </w:p>
        </w:tc>
        <w:tc>
          <w:tcPr>
            <w:tcW w:w="2332" w:type="dxa"/>
            <w:vMerge w:val="continue"/>
            <w:tcBorders>
              <w:tl2br w:val="nil"/>
              <w:tr2bl w:val="nil"/>
            </w:tcBorders>
            <w:noWrap w:val="0"/>
            <w:vAlign w:val="top"/>
          </w:tcPr>
          <w:p>
            <w:pPr>
              <w:keepNext w:val="0"/>
              <w:keepLines w:val="0"/>
              <w:pageBreakBefore w:val="0"/>
              <w:widowControl w:val="0"/>
              <w:kinsoku/>
              <w:wordWrap/>
              <w:overflowPunct/>
              <w:topLinePunct w:val="0"/>
              <w:autoSpaceDE/>
              <w:autoSpaceDN/>
              <w:bidi w:val="0"/>
              <w:spacing w:line="240" w:lineRule="auto"/>
              <w:ind w:left="0" w:right="0" w:firstLine="0" w:firstLineChars="0"/>
              <w:jc w:val="center"/>
              <w:textAlignment w:val="auto"/>
              <w:rPr>
                <w:rFonts w:hint="default" w:ascii="Times New Roman" w:hAnsi="Times New Roman" w:cs="Times New Roman"/>
                <w:b/>
                <w:bCs/>
                <w:color w:val="auto"/>
                <w:sz w:val="21"/>
                <w:szCs w:val="21"/>
                <w:u w:val="single"/>
              </w:rPr>
            </w:pPr>
          </w:p>
        </w:tc>
      </w:tr>
    </w:tbl>
    <w:p>
      <w:pPr>
        <w:pStyle w:val="4"/>
        <w:numPr>
          <w:ilvl w:val="1"/>
          <w:numId w:val="0"/>
        </w:numPr>
        <w:tabs>
          <w:tab w:val="left" w:pos="105"/>
        </w:tabs>
        <w:jc w:val="left"/>
        <w:textAlignment w:val="baseline"/>
        <w:rPr>
          <w:rFonts w:hint="default" w:ascii="Times New Roman" w:hAnsi="Times New Roman" w:cs="Times New Roman"/>
          <w:color w:val="auto"/>
          <w:sz w:val="24"/>
          <w:szCs w:val="24"/>
        </w:rPr>
      </w:pPr>
      <w:r>
        <w:rPr>
          <w:rFonts w:hint="default" w:ascii="Times New Roman" w:hAnsi="Times New Roman" w:cs="Times New Roman"/>
          <w:color w:val="auto"/>
          <w:sz w:val="24"/>
          <w:szCs w:val="24"/>
        </w:rPr>
        <w:t>9.5污染物排放总量管理</w:t>
      </w:r>
      <w:bookmarkEnd w:id="771"/>
      <w:bookmarkEnd w:id="772"/>
      <w:bookmarkEnd w:id="773"/>
      <w:bookmarkEnd w:id="774"/>
      <w:bookmarkEnd w:id="775"/>
      <w:bookmarkEnd w:id="776"/>
    </w:p>
    <w:p>
      <w:pPr>
        <w:ind w:firstLine="480"/>
        <w:rPr>
          <w:rFonts w:hint="default" w:ascii="Times New Roman" w:hAnsi="Times New Roman" w:cs="Times New Roman"/>
          <w:color w:val="auto"/>
        </w:rPr>
      </w:pPr>
      <w:r>
        <w:rPr>
          <w:rFonts w:hint="default" w:ascii="Times New Roman" w:hAnsi="Times New Roman" w:cs="Times New Roman"/>
          <w:color w:val="auto"/>
        </w:rPr>
        <w:t>根据</w:t>
      </w:r>
      <w:r>
        <w:rPr>
          <w:rFonts w:hint="default" w:ascii="Times New Roman" w:hAnsi="Times New Roman" w:cs="Times New Roman"/>
          <w:bCs/>
          <w:color w:val="auto"/>
        </w:rPr>
        <w:t>河南省环保厅关于贯彻落实《建设项目主要污染物排放总量指标审核及管理暂行办法》（豫环文【2015】18号）的通知，及环境保护部关于印发建设项目污染物排放总量指标审核及管理办法的通知</w:t>
      </w:r>
      <w:r>
        <w:rPr>
          <w:rFonts w:hint="default" w:ascii="Times New Roman" w:hAnsi="Times New Roman" w:cs="Times New Roman"/>
          <w:color w:val="auto"/>
        </w:rPr>
        <w:t>（</w:t>
      </w:r>
      <w:r>
        <w:rPr>
          <w:rFonts w:hint="default" w:ascii="Times New Roman" w:hAnsi="Times New Roman" w:cs="Times New Roman"/>
          <w:bCs/>
          <w:color w:val="auto"/>
        </w:rPr>
        <w:t>环发【2014】197号）的相关规定，对本项目污染物排放总量进行计算，并建议本项目污染物总量控制指标。</w:t>
      </w:r>
    </w:p>
    <w:p>
      <w:pPr>
        <w:keepNext/>
        <w:keepLines/>
        <w:ind w:firstLine="480"/>
        <w:outlineLvl w:val="2"/>
        <w:rPr>
          <w:rFonts w:hint="default" w:ascii="Times New Roman" w:hAnsi="Times New Roman" w:cs="Times New Roman"/>
          <w:bCs/>
          <w:color w:val="auto"/>
        </w:rPr>
      </w:pPr>
      <w:r>
        <w:rPr>
          <w:rFonts w:hint="default" w:ascii="Times New Roman" w:hAnsi="Times New Roman" w:cs="Times New Roman"/>
          <w:bCs/>
          <w:color w:val="auto"/>
        </w:rPr>
        <w:t>9.5.1废气污染物</w:t>
      </w:r>
    </w:p>
    <w:p>
      <w:pPr>
        <w:pStyle w:val="7"/>
        <w:numPr>
          <w:ilvl w:val="0"/>
          <w:numId w:val="0"/>
        </w:numPr>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本项目沼气中H</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S含量为0.034%，沼气通过脱硫处理后H</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S去除率可达到95%以上，脱硫后沼气中H</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S含量较低。沼气主要成分为CH</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rPr>
        <w:t>，属于清洁能源，燃烧后主要产物为CO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、H</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O，因此废气污染物SO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、NO</w:t>
      </w:r>
      <w:r>
        <w:rPr>
          <w:rFonts w:hint="default" w:ascii="Times New Roman" w:hAnsi="Times New Roman" w:cs="Times New Roman"/>
          <w:color w:val="auto"/>
          <w:sz w:val="24"/>
          <w:szCs w:val="24"/>
          <w:vertAlign w:val="subscript"/>
        </w:rPr>
        <w:t>X</w:t>
      </w:r>
      <w:r>
        <w:rPr>
          <w:rFonts w:hint="default" w:ascii="Times New Roman" w:hAnsi="Times New Roman" w:cs="Times New Roman"/>
          <w:color w:val="auto"/>
          <w:sz w:val="24"/>
          <w:szCs w:val="24"/>
        </w:rPr>
        <w:t>不需要设置总量控制指标。</w:t>
      </w:r>
    </w:p>
    <w:p>
      <w:pPr>
        <w:keepNext/>
        <w:keepLines/>
        <w:ind w:firstLine="480"/>
        <w:outlineLvl w:val="2"/>
        <w:rPr>
          <w:rFonts w:hint="default" w:ascii="Times New Roman" w:hAnsi="Times New Roman" w:cs="Times New Roman"/>
          <w:bCs/>
          <w:color w:val="auto"/>
        </w:rPr>
      </w:pPr>
      <w:r>
        <w:rPr>
          <w:rFonts w:hint="default" w:ascii="Times New Roman" w:hAnsi="Times New Roman" w:cs="Times New Roman"/>
          <w:bCs/>
          <w:color w:val="auto"/>
        </w:rPr>
        <w:t>9.5.2废水污染物</w:t>
      </w:r>
    </w:p>
    <w:p>
      <w:pPr>
        <w:ind w:firstLine="480"/>
        <w:rPr>
          <w:rFonts w:hint="default" w:ascii="Times New Roman" w:hAnsi="Times New Roman" w:cs="Times New Roman"/>
          <w:color w:val="auto"/>
        </w:rPr>
      </w:pPr>
      <w:r>
        <w:rPr>
          <w:rFonts w:hint="default" w:ascii="Times New Roman" w:hAnsi="Times New Roman" w:cs="Times New Roman"/>
          <w:color w:val="auto"/>
        </w:rPr>
        <w:t>本项目废水经处理后全部资源化利用，不外排，因此废水污染物COD、</w:t>
      </w:r>
      <w:r>
        <w:rPr>
          <w:rFonts w:hint="default" w:ascii="Times New Roman" w:hAnsi="Times New Roman" w:cs="Times New Roman"/>
          <w:bCs/>
          <w:color w:val="auto"/>
        </w:rPr>
        <w:t>NH</w:t>
      </w:r>
      <w:r>
        <w:rPr>
          <w:rFonts w:hint="default" w:ascii="Times New Roman" w:hAnsi="Times New Roman" w:cs="Times New Roman"/>
          <w:bCs/>
          <w:color w:val="auto"/>
          <w:vertAlign w:val="subscript"/>
        </w:rPr>
        <w:t>3</w:t>
      </w:r>
      <w:r>
        <w:rPr>
          <w:rFonts w:hint="default" w:ascii="Times New Roman" w:hAnsi="Times New Roman" w:cs="Times New Roman"/>
          <w:bCs/>
          <w:color w:val="auto"/>
        </w:rPr>
        <w:t>-N不需要设置总量控制指标。</w:t>
      </w:r>
    </w:p>
    <w:bookmarkEnd w:id="777"/>
    <w:bookmarkEnd w:id="778"/>
    <w:p>
      <w:pPr>
        <w:ind w:firstLine="482"/>
        <w:rPr>
          <w:rFonts w:hint="default" w:ascii="Times New Roman" w:hAnsi="Times New Roman" w:cs="Times New Roman"/>
          <w:b/>
          <w:color w:val="auto"/>
          <w:u w:val="single"/>
        </w:rPr>
      </w:pPr>
    </w:p>
    <w:p>
      <w:pPr>
        <w:ind w:firstLine="480"/>
        <w:rPr>
          <w:rFonts w:hint="default" w:ascii="Times New Roman" w:hAnsi="Times New Roman" w:cs="Times New Roman"/>
          <w:color w:val="auto"/>
        </w:rPr>
        <w:sectPr>
          <w:headerReference r:id="rId28" w:type="default"/>
          <w:pgSz w:w="11906" w:h="16838"/>
          <w:pgMar w:top="1440" w:right="1474" w:bottom="1440" w:left="1474" w:header="851" w:footer="992" w:gutter="0"/>
          <w:pgBorders>
            <w:top w:val="none" w:sz="0" w:space="0"/>
            <w:left w:val="none" w:sz="0" w:space="0"/>
            <w:bottom w:val="none" w:sz="0" w:space="0"/>
            <w:right w:val="none" w:sz="0" w:space="0"/>
          </w:pgBorders>
          <w:cols w:space="720" w:num="1"/>
          <w:docGrid w:type="lines" w:linePitch="312" w:charSpace="0"/>
        </w:sectPr>
      </w:pPr>
    </w:p>
    <w:p>
      <w:pPr>
        <w:ind w:firstLine="480"/>
        <w:rPr>
          <w:rFonts w:hint="default" w:ascii="Times New Roman" w:hAnsi="Times New Roman" w:cs="Times New Roman"/>
          <w:color w:val="auto"/>
        </w:rPr>
      </w:pPr>
    </w:p>
    <w:p>
      <w:pPr>
        <w:pStyle w:val="3"/>
        <w:spacing w:line="360" w:lineRule="auto"/>
        <w:ind w:firstLine="840"/>
        <w:rPr>
          <w:rFonts w:hint="default" w:ascii="Times New Roman" w:hAnsi="Times New Roman" w:cs="Times New Roman"/>
          <w:color w:val="auto"/>
        </w:rPr>
      </w:pPr>
      <w:bookmarkStart w:id="779" w:name="_Toc193113597"/>
      <w:bookmarkStart w:id="780" w:name="_Toc329183384"/>
      <w:bookmarkStart w:id="781" w:name="_Toc366760547"/>
      <w:bookmarkStart w:id="782" w:name="_Toc288690227"/>
      <w:bookmarkStart w:id="783" w:name="_Toc485580837"/>
      <w:bookmarkStart w:id="784" w:name="_Toc477187790"/>
      <w:bookmarkStart w:id="785" w:name="_Toc269577493"/>
      <w:bookmarkStart w:id="786" w:name="_Toc476923010"/>
      <w:bookmarkStart w:id="787" w:name="_Toc25409"/>
      <w:bookmarkStart w:id="788" w:name="_Toc269469115"/>
      <w:bookmarkStart w:id="789" w:name="_Toc295122058"/>
      <w:bookmarkStart w:id="790" w:name="_Toc1947"/>
      <w:r>
        <w:rPr>
          <w:rFonts w:hint="default" w:ascii="Times New Roman" w:hAnsi="Times New Roman" w:cs="Times New Roman"/>
          <w:color w:val="auto"/>
        </w:rPr>
        <w:t>第十章  结论与建议</w:t>
      </w:r>
      <w:bookmarkEnd w:id="779"/>
      <w:bookmarkEnd w:id="780"/>
      <w:bookmarkEnd w:id="781"/>
      <w:bookmarkEnd w:id="782"/>
      <w:bookmarkEnd w:id="783"/>
      <w:bookmarkEnd w:id="784"/>
      <w:bookmarkEnd w:id="785"/>
      <w:bookmarkEnd w:id="786"/>
      <w:bookmarkEnd w:id="787"/>
      <w:bookmarkEnd w:id="788"/>
      <w:bookmarkEnd w:id="789"/>
      <w:bookmarkEnd w:id="790"/>
    </w:p>
    <w:p>
      <w:pPr>
        <w:pStyle w:val="4"/>
        <w:spacing w:before="0" w:after="0"/>
        <w:ind w:firstLine="0" w:firstLineChars="0"/>
        <w:rPr>
          <w:rFonts w:hint="default" w:ascii="Times New Roman" w:hAnsi="Times New Roman" w:cs="Times New Roman"/>
          <w:color w:val="auto"/>
          <w:sz w:val="24"/>
          <w:szCs w:val="24"/>
        </w:rPr>
      </w:pPr>
      <w:bookmarkStart w:id="791" w:name="_Toc329183385"/>
      <w:bookmarkStart w:id="792" w:name="_Toc477187791"/>
      <w:bookmarkStart w:id="793" w:name="_Toc476923011"/>
      <w:bookmarkStart w:id="794" w:name="_Toc485580838"/>
      <w:bookmarkStart w:id="795" w:name="_Toc288690228"/>
      <w:bookmarkStart w:id="796" w:name="_Toc17102"/>
      <w:bookmarkStart w:id="797" w:name="_Toc295122059"/>
      <w:bookmarkStart w:id="798" w:name="_Toc269577494"/>
      <w:bookmarkStart w:id="799" w:name="_Toc366760548"/>
      <w:bookmarkStart w:id="800" w:name="_Toc269469116"/>
      <w:bookmarkStart w:id="801" w:name="_Toc31682"/>
      <w:r>
        <w:rPr>
          <w:rFonts w:hint="default" w:ascii="Times New Roman" w:hAnsi="Times New Roman" w:cs="Times New Roman"/>
          <w:color w:val="auto"/>
          <w:sz w:val="24"/>
          <w:szCs w:val="24"/>
        </w:rPr>
        <w:t xml:space="preserve">10.1  </w:t>
      </w:r>
      <w:bookmarkStart w:id="802" w:name="_Toc193113598"/>
      <w:r>
        <w:rPr>
          <w:rFonts w:hint="default" w:ascii="Times New Roman" w:hAnsi="Times New Roman" w:cs="Times New Roman"/>
          <w:color w:val="auto"/>
          <w:sz w:val="24"/>
          <w:szCs w:val="24"/>
        </w:rPr>
        <w:t>结论</w:t>
      </w:r>
      <w:bookmarkEnd w:id="791"/>
      <w:bookmarkEnd w:id="792"/>
      <w:bookmarkEnd w:id="793"/>
      <w:bookmarkEnd w:id="794"/>
      <w:bookmarkEnd w:id="795"/>
      <w:bookmarkEnd w:id="796"/>
      <w:bookmarkEnd w:id="797"/>
      <w:bookmarkEnd w:id="798"/>
      <w:bookmarkEnd w:id="799"/>
      <w:bookmarkEnd w:id="800"/>
      <w:bookmarkEnd w:id="801"/>
      <w:bookmarkEnd w:id="802"/>
    </w:p>
    <w:p>
      <w:pPr>
        <w:pStyle w:val="5"/>
        <w:rPr>
          <w:rFonts w:hint="default" w:ascii="Times New Roman" w:hAnsi="Times New Roman" w:cs="Times New Roman"/>
          <w:color w:val="auto"/>
        </w:rPr>
      </w:pPr>
      <w:bookmarkStart w:id="803" w:name="_Toc193113600"/>
      <w:r>
        <w:rPr>
          <w:rFonts w:hint="default" w:ascii="Times New Roman" w:hAnsi="Times New Roman" w:cs="Times New Roman"/>
          <w:color w:val="auto"/>
        </w:rPr>
        <w:t>10.1.1  与相关产业政策的相符性</w:t>
      </w:r>
      <w:bookmarkEnd w:id="803"/>
    </w:p>
    <w:p>
      <w:pPr>
        <w:pStyle w:val="7"/>
        <w:numPr>
          <w:ilvl w:val="0"/>
          <w:numId w:val="0"/>
        </w:numPr>
        <w:ind w:firstLine="480" w:firstLineChars="200"/>
        <w:rPr>
          <w:rFonts w:hint="default" w:ascii="Times New Roman" w:hAnsi="Times New Roman" w:cs="Times New Roman"/>
          <w:bCs/>
          <w:color w:val="auto"/>
          <w:spacing w:val="2"/>
          <w:sz w:val="24"/>
          <w:szCs w:val="24"/>
        </w:rPr>
      </w:pPr>
      <w:bookmarkStart w:id="804" w:name="_Toc193113601"/>
      <w:r>
        <w:rPr>
          <w:rFonts w:hint="default" w:ascii="Times New Roman" w:hAnsi="Times New Roman" w:cs="Times New Roman"/>
          <w:color w:val="auto"/>
          <w:sz w:val="24"/>
        </w:rPr>
        <w:t>根据《产业结构调整指导目录（201</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 xml:space="preserve">年本）》，本项目属于“第一类鼓励类 一农林业 </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畜禽标准化规模养殖技术开发与应用”，因此本项目的建设符合国家相关产业政策的要求。</w:t>
      </w:r>
    </w:p>
    <w:p>
      <w:pPr>
        <w:pStyle w:val="5"/>
        <w:rPr>
          <w:rFonts w:hint="default" w:ascii="Times New Roman" w:hAnsi="Times New Roman" w:cs="Times New Roman"/>
          <w:color w:val="auto"/>
        </w:rPr>
      </w:pPr>
      <w:r>
        <w:rPr>
          <w:rFonts w:hint="default" w:ascii="Times New Roman" w:hAnsi="Times New Roman" w:cs="Times New Roman"/>
          <w:color w:val="auto"/>
        </w:rPr>
        <w:t>10.1.2  相关规划相符性分析判定</w:t>
      </w:r>
    </w:p>
    <w:p>
      <w:pPr>
        <w:ind w:firstLine="480"/>
        <w:outlineLvl w:val="3"/>
        <w:rPr>
          <w:rFonts w:hint="default" w:ascii="Times New Roman" w:hAnsi="Times New Roman" w:cs="Times New Roman"/>
          <w:bCs/>
          <w:color w:val="auto"/>
        </w:rPr>
      </w:pPr>
      <w:r>
        <w:rPr>
          <w:rFonts w:hint="default" w:ascii="Times New Roman" w:hAnsi="Times New Roman" w:cs="Times New Roman"/>
          <w:bCs/>
          <w:color w:val="auto"/>
        </w:rPr>
        <w:t>10.1.2.1项目与清丰县城市总体规划的相符性</w:t>
      </w:r>
    </w:p>
    <w:p>
      <w:pPr>
        <w:ind w:firstLine="480"/>
        <w:outlineLvl w:val="3"/>
        <w:rPr>
          <w:rFonts w:hint="default" w:ascii="Times New Roman" w:hAnsi="Times New Roman" w:cs="Times New Roman"/>
          <w:bCs/>
          <w:color w:val="auto"/>
        </w:rPr>
      </w:pPr>
      <w:r>
        <w:rPr>
          <w:rFonts w:hint="default" w:ascii="Times New Roman" w:hAnsi="Times New Roman" w:cs="Times New Roman"/>
          <w:bCs/>
          <w:color w:val="auto"/>
        </w:rPr>
        <w:t>本项目位于清丰县韩村镇杨韩村北，不在《清丰县城乡总体规划》（2016～2035年）范围内，故本项目的建设不违背清丰县城乡总体规划。</w:t>
      </w:r>
    </w:p>
    <w:p>
      <w:pPr>
        <w:ind w:firstLine="480"/>
        <w:outlineLvl w:val="3"/>
        <w:rPr>
          <w:rFonts w:hint="default" w:ascii="Times New Roman" w:hAnsi="Times New Roman" w:cs="Times New Roman"/>
          <w:bCs/>
          <w:color w:val="auto"/>
        </w:rPr>
      </w:pPr>
      <w:r>
        <w:rPr>
          <w:rFonts w:hint="default" w:ascii="Times New Roman" w:hAnsi="Times New Roman" w:cs="Times New Roman"/>
          <w:bCs/>
          <w:color w:val="auto"/>
        </w:rPr>
        <w:t>10.1.2.2项目建设与清丰县土地利用总体规划的相符性分析</w:t>
      </w:r>
    </w:p>
    <w:p>
      <w:pPr>
        <w:pStyle w:val="7"/>
        <w:numPr>
          <w:ilvl w:val="0"/>
          <w:numId w:val="0"/>
        </w:numPr>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本项目拟选场址位于清丰县韩村镇杨韩村北，根据清丰县韩村镇自然资源局出具的证明，该项目用地为一般</w:t>
      </w:r>
      <w:r>
        <w:rPr>
          <w:rFonts w:hint="default" w:ascii="Times New Roman" w:hAnsi="Times New Roman" w:cs="Times New Roman"/>
          <w:color w:val="auto"/>
          <w:sz w:val="24"/>
          <w:lang w:eastAsia="zh-CN"/>
        </w:rPr>
        <w:t>耕地</w:t>
      </w:r>
      <w:r>
        <w:rPr>
          <w:rFonts w:hint="default" w:ascii="Times New Roman" w:hAnsi="Times New Roman" w:cs="Times New Roman"/>
          <w:color w:val="auto"/>
          <w:sz w:val="24"/>
        </w:rPr>
        <w:t>，选址符合规划要求，未占用基本农田。</w:t>
      </w:r>
    </w:p>
    <w:p>
      <w:pPr>
        <w:ind w:firstLine="480"/>
        <w:outlineLvl w:val="3"/>
        <w:rPr>
          <w:rFonts w:hint="default" w:ascii="Times New Roman" w:hAnsi="Times New Roman" w:cs="Times New Roman"/>
          <w:bCs/>
          <w:color w:val="auto"/>
        </w:rPr>
      </w:pPr>
      <w:r>
        <w:rPr>
          <w:rFonts w:hint="default" w:ascii="Times New Roman" w:hAnsi="Times New Roman" w:cs="Times New Roman"/>
          <w:bCs/>
          <w:color w:val="auto"/>
        </w:rPr>
        <w:t>10.1.2.3项目建设与《河南省畜牧业“十三五”发展规划》相符性分析</w:t>
      </w:r>
    </w:p>
    <w:p>
      <w:pPr>
        <w:ind w:firstLine="480"/>
        <w:rPr>
          <w:rFonts w:hint="default" w:ascii="Times New Roman" w:hAnsi="Times New Roman" w:cs="Times New Roman"/>
          <w:color w:val="auto"/>
        </w:rPr>
      </w:pPr>
      <w:r>
        <w:rPr>
          <w:rFonts w:hint="default" w:ascii="Times New Roman" w:hAnsi="Times New Roman" w:cs="Times New Roman"/>
          <w:color w:val="auto"/>
        </w:rPr>
        <w:t>本项目属于标准化养殖场建设项目，采用种养结合方式，可实现畜禽粪便就地、就近消纳。与《河南省畜牧业“十三五”发展规划》中的第（2）条中“重点抓好1万个养殖场标准化建设和改造”和第（3）条中“实施以养定种、种养结合，重点抓好国家粮改饲试点项目。鼓励支持畜牧龙头企业通过流转土地、订单生产等方式，促进粮经饲三元结构调整，实现畜禽粪便就地、就近消纳利用循环发展”相符。</w:t>
      </w:r>
    </w:p>
    <w:p>
      <w:pPr>
        <w:ind w:firstLine="480"/>
        <w:outlineLvl w:val="3"/>
        <w:rPr>
          <w:rFonts w:hint="default" w:ascii="Times New Roman" w:hAnsi="Times New Roman" w:cs="Times New Roman"/>
          <w:bCs/>
          <w:color w:val="auto"/>
        </w:rPr>
      </w:pPr>
      <w:r>
        <w:rPr>
          <w:rFonts w:hint="default" w:ascii="Times New Roman" w:hAnsi="Times New Roman" w:cs="Times New Roman"/>
          <w:bCs/>
          <w:color w:val="auto"/>
        </w:rPr>
        <w:t>10.1.2.4《河南省环保厅关于印发深化建设项目环境影响评价审批制度改革实施意见的通知》（豫环文【2015】33号）</w:t>
      </w:r>
    </w:p>
    <w:p>
      <w:pPr>
        <w:ind w:firstLine="480"/>
        <w:rPr>
          <w:rFonts w:hint="default" w:ascii="Times New Roman" w:hAnsi="Times New Roman" w:cs="Times New Roman"/>
          <w:color w:val="auto"/>
        </w:rPr>
      </w:pPr>
      <w:r>
        <w:rPr>
          <w:rFonts w:hint="default" w:ascii="Times New Roman" w:hAnsi="Times New Roman" w:cs="Times New Roman"/>
          <w:color w:val="auto"/>
        </w:rPr>
        <w:t>项目选址位于农产品主产区，不属于《建设项目环境影响评价豁免管理名录》中项目，不属于《工业项目分类清单》中工业项目，不属于《水污染防治重点单元》的区域内。项目建设不违背功能区区划要求。</w:t>
      </w:r>
    </w:p>
    <w:p>
      <w:pPr>
        <w:ind w:firstLine="480"/>
        <w:outlineLvl w:val="3"/>
        <w:rPr>
          <w:rFonts w:hint="default" w:ascii="Times New Roman" w:hAnsi="Times New Roman" w:cs="Times New Roman"/>
          <w:bCs/>
          <w:color w:val="auto"/>
        </w:rPr>
      </w:pPr>
      <w:r>
        <w:rPr>
          <w:rFonts w:hint="default" w:ascii="Times New Roman" w:hAnsi="Times New Roman" w:cs="Times New Roman"/>
          <w:bCs/>
          <w:color w:val="auto"/>
        </w:rPr>
        <w:t>10.1.2.5饮用源地保护区规划</w:t>
      </w:r>
    </w:p>
    <w:p>
      <w:pPr>
        <w:ind w:firstLine="480"/>
        <w:rPr>
          <w:rFonts w:hint="default" w:ascii="Times New Roman" w:hAnsi="Times New Roman" w:cs="Times New Roman"/>
          <w:color w:val="auto"/>
        </w:rPr>
      </w:pPr>
      <w:r>
        <w:rPr>
          <w:rFonts w:hint="default" w:ascii="Times New Roman" w:hAnsi="Times New Roman" w:cs="Times New Roman"/>
          <w:color w:val="auto"/>
        </w:rPr>
        <w:t>本项目位于清丰县韩村镇杨韩村北，经对比《河南省城市集中式饮用水源保护区划》、《河南省县级集中式饮用水水源保护区划》，本项目不在饮用水源地保护区范围内，其建设符合区域饮用水源地保护区规划要求。</w:t>
      </w:r>
    </w:p>
    <w:p>
      <w:pPr>
        <w:ind w:firstLine="480"/>
        <w:rPr>
          <w:rFonts w:hint="default" w:ascii="Times New Roman" w:hAnsi="Times New Roman" w:cs="Times New Roman"/>
          <w:color w:val="auto"/>
        </w:rPr>
      </w:pPr>
      <w:r>
        <w:rPr>
          <w:rFonts w:hint="default" w:ascii="Times New Roman" w:hAnsi="Times New Roman" w:cs="Times New Roman"/>
          <w:color w:val="auto"/>
        </w:rPr>
        <w:t>经对比《河南省人民政府办公厅关于印发河南省乡镇集中式饮用水水源保护区划的通知》（豫政办 〔2016〕23号），距本项目最近的水源地保护区为清丰县韩村乡地下水井群，位于本项目南侧1.7km处，不在饮用水源保护区范围内；本项目沼液消纳区也不在饮用水源保护区范围内。</w:t>
      </w:r>
    </w:p>
    <w:p>
      <w:pPr>
        <w:pStyle w:val="5"/>
        <w:rPr>
          <w:rFonts w:hint="default" w:ascii="Times New Roman" w:hAnsi="Times New Roman" w:cs="Times New Roman"/>
          <w:color w:val="auto"/>
        </w:rPr>
      </w:pPr>
      <w:r>
        <w:rPr>
          <w:rFonts w:hint="default" w:ascii="Times New Roman" w:hAnsi="Times New Roman" w:cs="Times New Roman"/>
          <w:color w:val="auto"/>
        </w:rPr>
        <w:t>10.1.2  评价区域环境质量现状</w:t>
      </w:r>
      <w:bookmarkEnd w:id="804"/>
    </w:p>
    <w:p>
      <w:pPr>
        <w:ind w:firstLine="464"/>
        <w:rPr>
          <w:rFonts w:hint="default" w:ascii="Times New Roman" w:hAnsi="Times New Roman" w:cs="Times New Roman"/>
          <w:bCs/>
          <w:color w:val="auto"/>
          <w:spacing w:val="-4"/>
        </w:rPr>
      </w:pPr>
      <w:r>
        <w:rPr>
          <w:rFonts w:hint="default" w:ascii="Times New Roman" w:hAnsi="Times New Roman" w:cs="Times New Roman"/>
          <w:bCs/>
          <w:color w:val="auto"/>
          <w:spacing w:val="-4"/>
        </w:rPr>
        <w:t>（1）环境空气</w:t>
      </w:r>
    </w:p>
    <w:p>
      <w:pPr>
        <w:pStyle w:val="7"/>
        <w:numPr>
          <w:ilvl w:val="0"/>
          <w:numId w:val="0"/>
        </w:numPr>
        <w:ind w:firstLine="480" w:firstLineChars="200"/>
        <w:rPr>
          <w:rFonts w:hint="default" w:ascii="Times New Roman" w:hAnsi="Times New Roman" w:cs="Times New Roman"/>
          <w:color w:val="auto"/>
          <w:sz w:val="24"/>
          <w:szCs w:val="24"/>
        </w:rPr>
      </w:pPr>
      <w:r>
        <w:rPr>
          <w:rFonts w:hint="default" w:ascii="Times New Roman" w:hAnsi="Times New Roman" w:cs="Times New Roman"/>
          <w:bCs/>
          <w:color w:val="auto"/>
          <w:sz w:val="24"/>
        </w:rPr>
        <w:t>2018年濮阳市环境空气中二氧化硫年均值、二氧化氮年均值、一氧化碳24小时、O</w:t>
      </w:r>
      <w:r>
        <w:rPr>
          <w:rFonts w:hint="default" w:ascii="Times New Roman" w:hAnsi="Times New Roman" w:cs="Times New Roman"/>
          <w:bCs/>
          <w:color w:val="auto"/>
          <w:sz w:val="24"/>
          <w:vertAlign w:val="subscript"/>
        </w:rPr>
        <w:t>3</w:t>
      </w:r>
      <w:r>
        <w:rPr>
          <w:rFonts w:hint="default" w:ascii="Times New Roman" w:hAnsi="Times New Roman" w:cs="Times New Roman"/>
          <w:bCs/>
          <w:color w:val="auto"/>
          <w:sz w:val="24"/>
        </w:rPr>
        <w:t>8小时平均值均达到环境空气质量二级标准；PM</w:t>
      </w:r>
      <w:r>
        <w:rPr>
          <w:rFonts w:hint="default" w:ascii="Times New Roman" w:hAnsi="Times New Roman" w:cs="Times New Roman"/>
          <w:bCs/>
          <w:color w:val="auto"/>
          <w:sz w:val="24"/>
          <w:vertAlign w:val="subscript"/>
        </w:rPr>
        <w:t>2.5</w:t>
      </w:r>
      <w:r>
        <w:rPr>
          <w:rFonts w:hint="default" w:ascii="Times New Roman" w:hAnsi="Times New Roman" w:cs="Times New Roman"/>
          <w:bCs/>
          <w:color w:val="auto"/>
          <w:sz w:val="24"/>
        </w:rPr>
        <w:t>年均值、PM</w:t>
      </w:r>
      <w:r>
        <w:rPr>
          <w:rFonts w:hint="default" w:ascii="Times New Roman" w:hAnsi="Times New Roman" w:cs="Times New Roman"/>
          <w:bCs/>
          <w:color w:val="auto"/>
          <w:sz w:val="24"/>
          <w:vertAlign w:val="subscript"/>
        </w:rPr>
        <w:t>10</w:t>
      </w:r>
      <w:r>
        <w:rPr>
          <w:rFonts w:hint="default" w:ascii="Times New Roman" w:hAnsi="Times New Roman" w:cs="Times New Roman"/>
          <w:bCs/>
          <w:color w:val="auto"/>
          <w:sz w:val="24"/>
        </w:rPr>
        <w:t>年均值均超过环境空气质量二级标准，超标倍数分别为0.8、0.46，因此判定为非达标区</w:t>
      </w:r>
      <w:r>
        <w:rPr>
          <w:rFonts w:hint="default" w:ascii="Times New Roman" w:hAnsi="Times New Roman" w:cs="Times New Roman"/>
          <w:color w:val="auto"/>
          <w:sz w:val="24"/>
          <w:szCs w:val="24"/>
        </w:rPr>
        <w:t>。根据现场实测对评价区域各监测点位NH</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、H</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S均符合《环境影响评价技术导则 大气环境》（HJ2.2-2018）附录D，其他污染物空气质量浓度参考限值。</w:t>
      </w:r>
    </w:p>
    <w:p>
      <w:pPr>
        <w:ind w:firstLine="464"/>
        <w:rPr>
          <w:rFonts w:hint="default" w:ascii="Times New Roman" w:hAnsi="Times New Roman" w:cs="Times New Roman"/>
          <w:color w:val="auto"/>
        </w:rPr>
      </w:pPr>
      <w:r>
        <w:rPr>
          <w:rFonts w:hint="default" w:ascii="Times New Roman" w:hAnsi="Times New Roman" w:cs="Times New Roman"/>
          <w:bCs/>
          <w:color w:val="auto"/>
          <w:spacing w:val="-4"/>
        </w:rPr>
        <w:t>（2）</w:t>
      </w:r>
      <w:r>
        <w:rPr>
          <w:rFonts w:hint="default" w:ascii="Times New Roman" w:hAnsi="Times New Roman" w:cs="Times New Roman"/>
          <w:color w:val="auto"/>
        </w:rPr>
        <w:t>地表水</w:t>
      </w:r>
    </w:p>
    <w:p>
      <w:pPr>
        <w:ind w:firstLine="480"/>
        <w:jc w:val="left"/>
        <w:rPr>
          <w:rFonts w:hint="default" w:ascii="Times New Roman" w:hAnsi="Times New Roman" w:cs="Times New Roman"/>
          <w:bCs/>
          <w:color w:val="auto"/>
          <w:spacing w:val="-4"/>
        </w:rPr>
      </w:pPr>
      <w:r>
        <w:rPr>
          <w:rFonts w:hint="default" w:ascii="Times New Roman" w:hAnsi="Times New Roman" w:cs="Times New Roman"/>
          <w:bCs/>
          <w:color w:val="auto"/>
          <w:spacing w:val="-4"/>
        </w:rPr>
        <w:t>根据河南省环保厅网站公布的河南省地表水环境责任目标断面水质周报201</w:t>
      </w:r>
      <w:r>
        <w:rPr>
          <w:rFonts w:hint="default" w:ascii="Times New Roman" w:hAnsi="Times New Roman" w:cs="Times New Roman"/>
          <w:bCs/>
          <w:color w:val="auto"/>
          <w:spacing w:val="-4"/>
          <w:lang w:val="en-US" w:eastAsia="zh-CN"/>
        </w:rPr>
        <w:t>8年6月至2019年5月</w:t>
      </w:r>
      <w:r>
        <w:rPr>
          <w:rFonts w:hint="default" w:ascii="Times New Roman" w:hAnsi="Times New Roman" w:cs="Times New Roman"/>
          <w:bCs/>
          <w:color w:val="auto"/>
          <w:spacing w:val="-4"/>
        </w:rPr>
        <w:t>对断面西吉七断面处监测数据</w:t>
      </w:r>
      <w:r>
        <w:rPr>
          <w:rFonts w:hint="default" w:ascii="Times New Roman" w:hAnsi="Times New Roman" w:cs="Times New Roman"/>
          <w:color w:val="auto"/>
          <w:lang w:eastAsia="zh-CN"/>
        </w:rPr>
        <w:t>不能连续</w:t>
      </w:r>
      <w:r>
        <w:rPr>
          <w:rFonts w:hint="default" w:ascii="Times New Roman" w:hAnsi="Times New Roman" w:cs="Times New Roman"/>
          <w:color w:val="auto"/>
        </w:rPr>
        <w:t>满足《地表水环境质量标准》（GB3838-2002）</w:t>
      </w:r>
      <w:r>
        <w:rPr>
          <w:rFonts w:hint="default" w:ascii="Times New Roman" w:hAnsi="Times New Roman" w:cs="Times New Roman"/>
          <w:color w:val="auto"/>
          <w:highlight w:val="yellow"/>
        </w:rPr>
        <w:fldChar w:fldCharType="begin"/>
      </w:r>
      <w:r>
        <w:rPr>
          <w:rFonts w:hint="default" w:ascii="Times New Roman" w:hAnsi="Times New Roman" w:cs="Times New Roman"/>
          <w:color w:val="auto"/>
          <w:highlight w:val="yellow"/>
        </w:rPr>
        <w:instrText xml:space="preserve"> = 4 \* ROMAN \* MERGEFORMAT </w:instrText>
      </w:r>
      <w:r>
        <w:rPr>
          <w:rFonts w:hint="default" w:ascii="Times New Roman" w:hAnsi="Times New Roman" w:cs="Times New Roman"/>
          <w:color w:val="auto"/>
          <w:highlight w:val="yellow"/>
        </w:rPr>
        <w:fldChar w:fldCharType="separate"/>
      </w:r>
      <w:r>
        <w:rPr>
          <w:rFonts w:hint="default" w:ascii="Times New Roman" w:hAnsi="Times New Roman" w:cs="Times New Roman"/>
          <w:color w:val="auto"/>
        </w:rPr>
        <w:t>IV</w:t>
      </w:r>
      <w:r>
        <w:rPr>
          <w:rFonts w:hint="default" w:ascii="Times New Roman" w:hAnsi="Times New Roman" w:cs="Times New Roman"/>
          <w:color w:val="auto"/>
          <w:highlight w:val="yellow"/>
        </w:rPr>
        <w:fldChar w:fldCharType="end"/>
      </w:r>
      <w:r>
        <w:rPr>
          <w:rFonts w:hint="default" w:ascii="Times New Roman" w:hAnsi="Times New Roman" w:cs="Times New Roman"/>
          <w:color w:val="auto"/>
        </w:rPr>
        <w:t>类标准的要求，</w:t>
      </w:r>
      <w:r>
        <w:rPr>
          <w:rFonts w:hint="default" w:ascii="Times New Roman" w:hAnsi="Times New Roman" w:cs="Times New Roman"/>
          <w:color w:val="auto"/>
          <w:lang w:eastAsia="zh-CN"/>
        </w:rPr>
        <w:t>主要超标原因为沿途接纳农村生活污水及附近农田施肥灌溉</w:t>
      </w:r>
      <w:r>
        <w:rPr>
          <w:rFonts w:hint="default" w:ascii="Times New Roman" w:hAnsi="Times New Roman" w:cs="Times New Roman"/>
          <w:color w:val="auto"/>
        </w:rPr>
        <w:t>。</w:t>
      </w:r>
    </w:p>
    <w:p>
      <w:pPr>
        <w:ind w:firstLine="464"/>
        <w:rPr>
          <w:rFonts w:hint="default" w:ascii="Times New Roman" w:hAnsi="Times New Roman" w:cs="Times New Roman"/>
          <w:bCs/>
          <w:color w:val="auto"/>
        </w:rPr>
      </w:pPr>
      <w:r>
        <w:rPr>
          <w:rFonts w:hint="default" w:ascii="Times New Roman" w:hAnsi="Times New Roman" w:cs="Times New Roman"/>
          <w:bCs/>
          <w:color w:val="auto"/>
          <w:spacing w:val="-4"/>
        </w:rPr>
        <w:t>（3）</w:t>
      </w:r>
      <w:r>
        <w:rPr>
          <w:rFonts w:hint="default" w:ascii="Times New Roman" w:hAnsi="Times New Roman" w:cs="Times New Roman"/>
          <w:bCs/>
          <w:color w:val="auto"/>
        </w:rPr>
        <w:t>地下水</w:t>
      </w:r>
    </w:p>
    <w:p>
      <w:pPr>
        <w:ind w:firstLine="480"/>
        <w:rPr>
          <w:rFonts w:hint="default" w:ascii="Times New Roman" w:hAnsi="Times New Roman" w:cs="Times New Roman"/>
          <w:color w:val="auto"/>
        </w:rPr>
      </w:pPr>
      <w:r>
        <w:rPr>
          <w:rFonts w:hint="default" w:ascii="Times New Roman" w:hAnsi="Times New Roman" w:cs="Times New Roman"/>
          <w:color w:val="auto"/>
        </w:rPr>
        <w:t>评价区域各监测点的监测因子均能够满足《地下水环境质量标准》（GB/T14848-2017）Ⅲ类标准要求。</w:t>
      </w:r>
    </w:p>
    <w:p>
      <w:pPr>
        <w:ind w:firstLine="464"/>
        <w:rPr>
          <w:rFonts w:hint="default" w:ascii="Times New Roman" w:hAnsi="Times New Roman" w:cs="Times New Roman"/>
          <w:color w:val="auto"/>
        </w:rPr>
      </w:pPr>
      <w:r>
        <w:rPr>
          <w:rFonts w:hint="default" w:ascii="Times New Roman" w:hAnsi="Times New Roman" w:cs="Times New Roman"/>
          <w:bCs/>
          <w:color w:val="auto"/>
          <w:spacing w:val="-4"/>
        </w:rPr>
        <w:t>（4）</w:t>
      </w:r>
      <w:r>
        <w:rPr>
          <w:rFonts w:hint="default" w:ascii="Times New Roman" w:hAnsi="Times New Roman" w:cs="Times New Roman"/>
          <w:color w:val="auto"/>
        </w:rPr>
        <w:t>噪声</w:t>
      </w:r>
    </w:p>
    <w:p>
      <w:pPr>
        <w:pStyle w:val="7"/>
        <w:numPr>
          <w:ilvl w:val="0"/>
          <w:numId w:val="0"/>
        </w:numPr>
        <w:ind w:firstLine="480" w:firstLineChars="200"/>
        <w:rPr>
          <w:rFonts w:hint="default" w:ascii="Times New Roman" w:hAnsi="Times New Roman" w:cs="Times New Roman"/>
          <w:snapToGrid w:val="0"/>
          <w:color w:val="auto"/>
          <w:kern w:val="0"/>
          <w:sz w:val="24"/>
          <w:szCs w:val="24"/>
        </w:rPr>
      </w:pPr>
      <w:bookmarkStart w:id="805" w:name="_Toc193113602"/>
      <w:r>
        <w:rPr>
          <w:rFonts w:hint="default" w:ascii="Times New Roman" w:hAnsi="Times New Roman" w:cs="Times New Roman"/>
          <w:color w:val="auto"/>
          <w:sz w:val="24"/>
          <w:szCs w:val="24"/>
        </w:rPr>
        <w:t>本项目东、西、南、北四厂界昼夜间噪声均可满足《声环境质量标准》（GB3096-2008）2类标准要求，</w:t>
      </w:r>
      <w:r>
        <w:rPr>
          <w:rFonts w:hint="default" w:ascii="Times New Roman" w:hAnsi="Times New Roman" w:cs="Times New Roman"/>
          <w:snapToGrid w:val="0"/>
          <w:color w:val="auto"/>
          <w:kern w:val="0"/>
          <w:sz w:val="24"/>
          <w:szCs w:val="24"/>
        </w:rPr>
        <w:t>说明项目厂址声环境质量现状较好。</w:t>
      </w:r>
    </w:p>
    <w:p>
      <w:pPr>
        <w:ind w:firstLine="464"/>
        <w:rPr>
          <w:rFonts w:hint="default" w:ascii="Times New Roman" w:hAnsi="Times New Roman" w:cs="Times New Roman"/>
          <w:color w:val="auto"/>
        </w:rPr>
      </w:pPr>
      <w:r>
        <w:rPr>
          <w:rFonts w:hint="default" w:ascii="Times New Roman" w:hAnsi="Times New Roman" w:cs="Times New Roman"/>
          <w:bCs/>
          <w:color w:val="auto"/>
          <w:spacing w:val="-4"/>
        </w:rPr>
        <w:t>（5）</w:t>
      </w:r>
      <w:r>
        <w:rPr>
          <w:rFonts w:hint="default" w:ascii="Times New Roman" w:hAnsi="Times New Roman" w:cs="Times New Roman"/>
          <w:color w:val="auto"/>
        </w:rPr>
        <w:t>土壤</w:t>
      </w:r>
    </w:p>
    <w:p>
      <w:pPr>
        <w:autoSpaceDE w:val="0"/>
        <w:autoSpaceDN w:val="0"/>
        <w:ind w:firstLine="480"/>
        <w:jc w:val="left"/>
        <w:rPr>
          <w:rFonts w:hint="default" w:ascii="Times New Roman" w:hAnsi="Times New Roman" w:cs="Times New Roman"/>
          <w:color w:val="auto"/>
          <w:kern w:val="0"/>
        </w:rPr>
      </w:pPr>
      <w:r>
        <w:rPr>
          <w:rFonts w:hint="default" w:ascii="Times New Roman" w:hAnsi="Times New Roman" w:cs="Times New Roman"/>
          <w:color w:val="auto"/>
          <w:kern w:val="0"/>
        </w:rPr>
        <w:t>各监测点位各项因子均能满足《土壤环境质量--农用地土壤污染风险管控标准（试行）》（GB15618-2018）标准要求。</w:t>
      </w:r>
    </w:p>
    <w:p>
      <w:pPr>
        <w:pStyle w:val="5"/>
        <w:rPr>
          <w:rFonts w:hint="default" w:ascii="Times New Roman" w:hAnsi="Times New Roman" w:cs="Times New Roman"/>
          <w:color w:val="auto"/>
        </w:rPr>
      </w:pPr>
      <w:r>
        <w:rPr>
          <w:rFonts w:hint="default" w:ascii="Times New Roman" w:hAnsi="Times New Roman" w:cs="Times New Roman"/>
          <w:color w:val="auto"/>
        </w:rPr>
        <w:t>10.1.3  污染治理措施</w:t>
      </w:r>
      <w:bookmarkEnd w:id="805"/>
      <w:r>
        <w:rPr>
          <w:rFonts w:hint="default" w:ascii="Times New Roman" w:hAnsi="Times New Roman" w:cs="Times New Roman"/>
          <w:color w:val="auto"/>
        </w:rPr>
        <w:t xml:space="preserve"> </w:t>
      </w:r>
    </w:p>
    <w:p>
      <w:pPr>
        <w:pStyle w:val="7"/>
        <w:numPr>
          <w:ilvl w:val="0"/>
          <w:numId w:val="0"/>
        </w:numPr>
        <w:ind w:left="480" w:leftChars="200"/>
        <w:rPr>
          <w:rFonts w:hint="default" w:ascii="Times New Roman" w:hAnsi="Times New Roman" w:cs="Times New Roman"/>
          <w:color w:val="auto"/>
          <w:sz w:val="24"/>
          <w:szCs w:val="24"/>
        </w:rPr>
      </w:pPr>
      <w:r>
        <w:rPr>
          <w:rFonts w:hint="default" w:ascii="Times New Roman" w:hAnsi="Times New Roman" w:cs="Times New Roman"/>
          <w:bCs/>
          <w:color w:val="auto"/>
          <w:spacing w:val="-4"/>
          <w:sz w:val="24"/>
        </w:rPr>
        <w:t>（1）</w:t>
      </w:r>
      <w:r>
        <w:rPr>
          <w:rFonts w:hint="default" w:ascii="Times New Roman" w:hAnsi="Times New Roman" w:cs="Times New Roman"/>
          <w:color w:val="auto"/>
          <w:sz w:val="24"/>
          <w:szCs w:val="24"/>
        </w:rPr>
        <w:t>废水治理措施</w:t>
      </w:r>
    </w:p>
    <w:p>
      <w:pPr>
        <w:ind w:firstLine="480"/>
        <w:rPr>
          <w:rFonts w:hint="default" w:ascii="Times New Roman" w:hAnsi="Times New Roman" w:cs="Times New Roman"/>
          <w:color w:val="auto"/>
        </w:rPr>
      </w:pPr>
      <w:r>
        <w:rPr>
          <w:rFonts w:hint="default" w:ascii="Times New Roman" w:hAnsi="Times New Roman" w:cs="Times New Roman"/>
          <w:color w:val="auto"/>
        </w:rPr>
        <w:t>本项目废水主要为养殖废水和生活废水，废水总量为36286.706</w:t>
      </w:r>
      <w:r>
        <w:rPr>
          <w:rFonts w:hint="default" w:ascii="Times New Roman" w:hAnsi="Times New Roman" w:cs="Times New Roman"/>
          <w:bCs/>
          <w:color w:val="auto"/>
        </w:rPr>
        <w:t>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/a</w:t>
      </w:r>
      <w:r>
        <w:rPr>
          <w:rFonts w:hint="default" w:ascii="Times New Roman" w:hAnsi="Times New Roman" w:cs="Times New Roman"/>
          <w:color w:val="auto"/>
        </w:rPr>
        <w:t>，其中养殖废水主要有猪尿、猪舍冲洗废水</w:t>
      </w:r>
      <w:r>
        <w:rPr>
          <w:rFonts w:hint="default" w:ascii="Times New Roman" w:hAnsi="Times New Roman" w:cs="Times New Roman"/>
          <w:bCs/>
          <w:color w:val="auto"/>
        </w:rPr>
        <w:t>，经采取</w:t>
      </w:r>
      <w:r>
        <w:rPr>
          <w:rFonts w:hint="default" w:ascii="Times New Roman" w:hAnsi="Times New Roman" w:cs="Times New Roman"/>
          <w:color w:val="auto"/>
        </w:rPr>
        <w:t>“干清粪+黑膜沼气池、沼气沼液综合利用”处理工艺</w:t>
      </w:r>
      <w:r>
        <w:rPr>
          <w:rFonts w:hint="default" w:ascii="Times New Roman" w:hAnsi="Times New Roman" w:cs="Times New Roman"/>
          <w:bCs/>
          <w:color w:val="auto"/>
        </w:rPr>
        <w:t>，养殖废水和生活污水进入配套污水处理站，经无害化处理后</w:t>
      </w:r>
      <w:r>
        <w:rPr>
          <w:rFonts w:hint="default" w:ascii="Times New Roman" w:hAnsi="Times New Roman" w:cs="Times New Roman"/>
          <w:color w:val="auto"/>
        </w:rPr>
        <w:t>，</w:t>
      </w:r>
      <w:r>
        <w:rPr>
          <w:rFonts w:hint="default" w:ascii="Times New Roman" w:hAnsi="Times New Roman" w:cs="Times New Roman"/>
          <w:bCs/>
          <w:color w:val="auto"/>
        </w:rPr>
        <w:t>全部综合利用</w:t>
      </w:r>
      <w:r>
        <w:rPr>
          <w:rFonts w:hint="default" w:ascii="Times New Roman" w:hAnsi="Times New Roman" w:cs="Times New Roman"/>
          <w:color w:val="auto"/>
        </w:rPr>
        <w:t>零排放。</w:t>
      </w:r>
    </w:p>
    <w:p>
      <w:pPr>
        <w:ind w:firstLine="480"/>
        <w:rPr>
          <w:rFonts w:hint="default" w:ascii="Times New Roman" w:hAnsi="Times New Roman" w:cs="Times New Roman"/>
          <w:color w:val="auto"/>
        </w:rPr>
      </w:pPr>
      <w:r>
        <w:rPr>
          <w:rFonts w:hint="default" w:ascii="Times New Roman" w:hAnsi="Times New Roman" w:cs="Times New Roman"/>
          <w:color w:val="auto"/>
        </w:rPr>
        <w:t>经上述措施处理后，废水实现资源化利用不排入地表水体，措施可行。</w:t>
      </w:r>
    </w:p>
    <w:p>
      <w:pPr>
        <w:pStyle w:val="7"/>
        <w:numPr>
          <w:ilvl w:val="0"/>
          <w:numId w:val="0"/>
        </w:numPr>
        <w:ind w:left="480" w:leftChars="200"/>
        <w:rPr>
          <w:rFonts w:hint="default" w:ascii="Times New Roman" w:hAnsi="Times New Roman" w:cs="Times New Roman"/>
          <w:color w:val="auto"/>
          <w:sz w:val="24"/>
          <w:szCs w:val="24"/>
        </w:rPr>
      </w:pPr>
      <w:r>
        <w:rPr>
          <w:rFonts w:hint="default" w:ascii="Times New Roman" w:hAnsi="Times New Roman" w:cs="Times New Roman"/>
          <w:bCs/>
          <w:color w:val="auto"/>
          <w:spacing w:val="-4"/>
          <w:sz w:val="24"/>
        </w:rPr>
        <w:t>（2）</w:t>
      </w:r>
      <w:r>
        <w:rPr>
          <w:rFonts w:hint="default" w:ascii="Times New Roman" w:hAnsi="Times New Roman" w:cs="Times New Roman"/>
          <w:color w:val="auto"/>
          <w:sz w:val="24"/>
          <w:szCs w:val="24"/>
        </w:rPr>
        <w:t>废气治理措施</w:t>
      </w:r>
    </w:p>
    <w:p>
      <w:pPr>
        <w:pStyle w:val="7"/>
        <w:numPr>
          <w:ilvl w:val="0"/>
          <w:numId w:val="0"/>
        </w:numPr>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本项目大气污染物主要为养殖过程、污水处理过程、粪污处理过程、</w:t>
      </w:r>
      <w:r>
        <w:rPr>
          <w:rFonts w:hint="default" w:ascii="Times New Roman" w:hAnsi="Times New Roman" w:cs="Times New Roman"/>
          <w:color w:val="auto"/>
          <w:sz w:val="24"/>
          <w:lang w:eastAsia="zh-CN"/>
        </w:rPr>
        <w:t>沼液存储池</w:t>
      </w:r>
      <w:r>
        <w:rPr>
          <w:rFonts w:hint="default" w:ascii="Times New Roman" w:hAnsi="Times New Roman" w:cs="Times New Roman"/>
          <w:color w:val="auto"/>
          <w:sz w:val="24"/>
        </w:rPr>
        <w:t>产生的恶臭气体、无害化处理恶臭及食堂油烟。</w:t>
      </w:r>
    </w:p>
    <w:p>
      <w:pPr>
        <w:pStyle w:val="11"/>
        <w:spacing w:before="50" w:line="357" w:lineRule="auto"/>
        <w:ind w:right="195"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恶臭气体根据不同产生单元，采取相应的处理方式，①猪舍：采用节水型饮水器、全漏缝地板并及时清粪</w:t>
      </w:r>
      <w:r>
        <w:rPr>
          <w:rFonts w:hint="default" w:ascii="Times New Roman" w:hAnsi="Times New Roman" w:cs="Times New Roman"/>
          <w:color w:val="auto"/>
          <w:sz w:val="24"/>
          <w:szCs w:val="24"/>
          <w:lang w:eastAsia="zh-CN"/>
        </w:rPr>
        <w:t>，在猪舍出风口安装过滤吸附除臭装置</w:t>
      </w:r>
      <w:r>
        <w:rPr>
          <w:rFonts w:hint="default" w:ascii="Times New Roman" w:hAnsi="Times New Roman" w:cs="Times New Roman"/>
          <w:color w:val="auto"/>
          <w:sz w:val="24"/>
          <w:szCs w:val="24"/>
        </w:rPr>
        <w:t>；②污水前处理系统收集调节池喷洒除臭剂；③</w:t>
      </w:r>
      <w:r>
        <w:rPr>
          <w:rFonts w:hint="default" w:ascii="Times New Roman" w:hAnsi="Times New Roman" w:cs="Times New Roman"/>
          <w:color w:val="auto"/>
          <w:sz w:val="24"/>
          <w:szCs w:val="24"/>
          <w:lang w:eastAsia="zh-CN"/>
        </w:rPr>
        <w:t>固粪处理区</w:t>
      </w:r>
      <w:r>
        <w:rPr>
          <w:rFonts w:hint="default" w:ascii="Times New Roman" w:hAnsi="Times New Roman" w:cs="Times New Roman"/>
          <w:color w:val="auto"/>
          <w:sz w:val="24"/>
          <w:szCs w:val="24"/>
        </w:rPr>
        <w:t>：</w:t>
      </w:r>
      <w:r>
        <w:rPr>
          <w:rFonts w:hint="default" w:ascii="Times New Roman" w:hAnsi="Times New Roman" w:cs="Times New Roman"/>
          <w:bCs/>
          <w:color w:val="auto"/>
          <w:kern w:val="0"/>
          <w:sz w:val="24"/>
          <w:szCs w:val="24"/>
        </w:rPr>
        <w:t>固粪处理区由UV光解+水帘除臭装置处理</w:t>
      </w:r>
      <w:r>
        <w:rPr>
          <w:rFonts w:hint="default" w:ascii="Times New Roman" w:hAnsi="Times New Roman" w:cs="Times New Roman"/>
          <w:b w:val="0"/>
          <w:bCs w:val="0"/>
          <w:color w:val="auto"/>
          <w:kern w:val="0"/>
          <w:sz w:val="24"/>
          <w:szCs w:val="24"/>
          <w:u w:val="none"/>
          <w:lang w:eastAsia="zh-CN"/>
        </w:rPr>
        <w:t>，定期喷洒除臭剂</w:t>
      </w:r>
      <w:r>
        <w:rPr>
          <w:rFonts w:hint="default" w:ascii="Times New Roman" w:hAnsi="Times New Roman" w:cs="Times New Roman"/>
          <w:b w:val="0"/>
          <w:bCs w:val="0"/>
          <w:color w:val="auto"/>
          <w:sz w:val="24"/>
          <w:szCs w:val="24"/>
          <w:u w:val="none"/>
        </w:rPr>
        <w:t>；</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 4 \* GB3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④</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lang w:eastAsia="zh-CN"/>
        </w:rPr>
        <w:t>沼液存储池</w:t>
      </w:r>
      <w:r>
        <w:rPr>
          <w:rFonts w:hint="default" w:ascii="Times New Roman" w:hAnsi="Times New Roman" w:cs="Times New Roman"/>
          <w:color w:val="auto"/>
          <w:sz w:val="24"/>
          <w:szCs w:val="24"/>
        </w:rPr>
        <w:t>周围加强绿化工作。⑤病死猪高温无害化处理废气经</w:t>
      </w:r>
      <w:r>
        <w:rPr>
          <w:rFonts w:hint="default" w:ascii="Times New Roman" w:hAnsi="Times New Roman" w:eastAsia="Times New Roman" w:cs="Times New Roman"/>
          <w:color w:val="auto"/>
          <w:sz w:val="24"/>
          <w:szCs w:val="24"/>
        </w:rPr>
        <w:t>UV</w:t>
      </w:r>
      <w:r>
        <w:rPr>
          <w:rFonts w:hint="default" w:ascii="Times New Roman" w:hAnsi="Times New Roman" w:cs="Times New Roman"/>
          <w:color w:val="auto"/>
          <w:sz w:val="24"/>
          <w:szCs w:val="24"/>
        </w:rPr>
        <w:t>光解催化氧化设备处理后排放。通</w:t>
      </w:r>
      <w:r>
        <w:rPr>
          <w:rFonts w:hint="default" w:ascii="Times New Roman" w:hAnsi="Times New Roman" w:cs="Times New Roman"/>
          <w:color w:val="auto"/>
          <w:spacing w:val="-3"/>
          <w:sz w:val="24"/>
          <w:szCs w:val="24"/>
        </w:rPr>
        <w:t>过各项防护措施后，预测场界和固粪处理区恶臭废气均能达标排放，场区</w:t>
      </w:r>
      <w:r>
        <w:rPr>
          <w:rFonts w:hint="default" w:ascii="Times New Roman" w:hAnsi="Times New Roman" w:cs="Times New Roman"/>
          <w:color w:val="auto"/>
          <w:sz w:val="24"/>
          <w:szCs w:val="24"/>
        </w:rPr>
        <w:t xml:space="preserve">周围各敏感目标处可满足《环境影响评价技术导则 </w:t>
      </w:r>
      <w:r>
        <w:rPr>
          <w:rFonts w:hint="default" w:ascii="Times New Roman" w:hAnsi="Times New Roman" w:cs="Times New Roman"/>
          <w:color w:val="auto"/>
          <w:spacing w:val="-8"/>
          <w:sz w:val="24"/>
          <w:szCs w:val="24"/>
        </w:rPr>
        <w:t>大气环境》（</w:t>
      </w:r>
      <w:r>
        <w:rPr>
          <w:rFonts w:hint="default" w:ascii="Times New Roman" w:hAnsi="Times New Roman" w:eastAsia="Times New Roman" w:cs="Times New Roman"/>
          <w:color w:val="auto"/>
          <w:spacing w:val="-8"/>
          <w:sz w:val="24"/>
          <w:szCs w:val="24"/>
        </w:rPr>
        <w:t>HJ2.2-2018</w:t>
      </w:r>
      <w:r>
        <w:rPr>
          <w:rFonts w:hint="default" w:ascii="Times New Roman" w:hAnsi="Times New Roman" w:cs="Times New Roman"/>
          <w:color w:val="auto"/>
          <w:spacing w:val="-8"/>
          <w:sz w:val="24"/>
          <w:szCs w:val="24"/>
        </w:rPr>
        <w:t>）附</w:t>
      </w:r>
      <w:r>
        <w:rPr>
          <w:rFonts w:hint="default" w:ascii="Times New Roman" w:hAnsi="Times New Roman" w:cs="Times New Roman"/>
          <w:color w:val="auto"/>
          <w:spacing w:val="-114"/>
          <w:sz w:val="24"/>
          <w:szCs w:val="24"/>
        </w:rPr>
        <w:t xml:space="preserve"> </w:t>
      </w:r>
      <w:r>
        <w:rPr>
          <w:rFonts w:hint="default" w:ascii="Times New Roman" w:hAnsi="Times New Roman" w:cs="Times New Roman"/>
          <w:color w:val="auto"/>
          <w:sz w:val="24"/>
          <w:szCs w:val="24"/>
        </w:rPr>
        <w:t>录</w:t>
      </w:r>
      <w:r>
        <w:rPr>
          <w:rFonts w:hint="default" w:ascii="Times New Roman" w:hAnsi="Times New Roman" w:eastAsia="Times New Roman" w:cs="Times New Roman"/>
          <w:color w:val="auto"/>
          <w:sz w:val="24"/>
          <w:szCs w:val="24"/>
        </w:rPr>
        <w:t>D</w:t>
      </w:r>
      <w:r>
        <w:rPr>
          <w:rFonts w:hint="default" w:ascii="Times New Roman" w:hAnsi="Times New Roman" w:cs="Times New Roman"/>
          <w:color w:val="auto"/>
          <w:sz w:val="24"/>
          <w:szCs w:val="24"/>
        </w:rPr>
        <w:t>，其他污染物空气质量浓度参考限值浓度要求。</w:t>
      </w:r>
      <w:r>
        <w:rPr>
          <w:rFonts w:hint="default" w:ascii="Times New Roman" w:hAnsi="Times New Roman" w:cs="Times New Roman"/>
          <w:color w:val="auto"/>
          <w:spacing w:val="-3"/>
          <w:sz w:val="24"/>
          <w:szCs w:val="24"/>
        </w:rPr>
        <w:t>食堂烹饪过程中产生油烟废气，经油烟净化器处理满足《餐饮业油烟污染物</w:t>
      </w:r>
      <w:r>
        <w:rPr>
          <w:rFonts w:hint="default" w:ascii="Times New Roman" w:hAnsi="Times New Roman" w:cs="Times New Roman"/>
          <w:color w:val="auto"/>
          <w:spacing w:val="-8"/>
          <w:sz w:val="24"/>
          <w:szCs w:val="24"/>
        </w:rPr>
        <w:t>排放标准》（试行）（</w:t>
      </w:r>
      <w:r>
        <w:rPr>
          <w:rFonts w:hint="default" w:ascii="Times New Roman" w:hAnsi="Times New Roman" w:eastAsia="Times New Roman" w:cs="Times New Roman"/>
          <w:color w:val="auto"/>
          <w:spacing w:val="-8"/>
          <w:sz w:val="24"/>
          <w:szCs w:val="24"/>
        </w:rPr>
        <w:t>DB41/1604-2018</w:t>
      </w:r>
      <w:r>
        <w:rPr>
          <w:rFonts w:hint="default" w:ascii="Times New Roman" w:hAnsi="Times New Roman" w:cs="Times New Roman"/>
          <w:color w:val="auto"/>
          <w:spacing w:val="-8"/>
          <w:sz w:val="24"/>
          <w:szCs w:val="24"/>
        </w:rPr>
        <w:t>）小型处理效率及限值要求，对周边环境影</w:t>
      </w:r>
      <w:r>
        <w:rPr>
          <w:rFonts w:hint="default" w:ascii="Times New Roman" w:hAnsi="Times New Roman" w:cs="Times New Roman"/>
          <w:color w:val="auto"/>
          <w:spacing w:val="-109"/>
          <w:sz w:val="24"/>
          <w:szCs w:val="24"/>
        </w:rPr>
        <w:t xml:space="preserve"> </w:t>
      </w:r>
      <w:r>
        <w:rPr>
          <w:rFonts w:hint="default" w:ascii="Times New Roman" w:hAnsi="Times New Roman" w:cs="Times New Roman"/>
          <w:color w:val="auto"/>
          <w:sz w:val="24"/>
          <w:szCs w:val="24"/>
        </w:rPr>
        <w:t>响不大。</w:t>
      </w:r>
    </w:p>
    <w:p>
      <w:pPr>
        <w:pStyle w:val="7"/>
        <w:numPr>
          <w:ilvl w:val="0"/>
          <w:numId w:val="0"/>
        </w:numPr>
        <w:ind w:left="480" w:leftChars="200"/>
        <w:rPr>
          <w:rFonts w:hint="default" w:ascii="Times New Roman" w:hAnsi="Times New Roman" w:cs="Times New Roman"/>
          <w:color w:val="auto"/>
          <w:sz w:val="24"/>
          <w:szCs w:val="24"/>
        </w:rPr>
      </w:pPr>
      <w:r>
        <w:rPr>
          <w:rFonts w:hint="default" w:ascii="Times New Roman" w:hAnsi="Times New Roman" w:cs="Times New Roman"/>
          <w:bCs/>
          <w:color w:val="auto"/>
          <w:spacing w:val="-4"/>
          <w:sz w:val="24"/>
        </w:rPr>
        <w:t>（3）</w:t>
      </w:r>
      <w:r>
        <w:rPr>
          <w:rFonts w:hint="default" w:ascii="Times New Roman" w:hAnsi="Times New Roman" w:cs="Times New Roman"/>
          <w:color w:val="auto"/>
          <w:sz w:val="24"/>
          <w:szCs w:val="24"/>
        </w:rPr>
        <w:t>噪声治理措施</w:t>
      </w:r>
    </w:p>
    <w:p>
      <w:pPr>
        <w:pStyle w:val="7"/>
        <w:numPr>
          <w:ilvl w:val="0"/>
          <w:numId w:val="0"/>
        </w:numPr>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噪声主要为猪叫声、猪舍降温配套负压风机、粪污处理设施等设备运行时产生的噪声，根据类比调查，其源强为70～85dB(A)。在采取相应的隔声减振措施后，经距离衰减各场界噪声均能够满足《工业企业厂界环境噪声排放标准》（GB12348-2008）2类标准（昼间60dB(A)；夜间50dB(A)）要求。</w:t>
      </w:r>
    </w:p>
    <w:p>
      <w:pPr>
        <w:pStyle w:val="7"/>
        <w:numPr>
          <w:ilvl w:val="0"/>
          <w:numId w:val="0"/>
        </w:numPr>
        <w:ind w:left="480"/>
        <w:rPr>
          <w:rFonts w:hint="default" w:ascii="Times New Roman" w:hAnsi="Times New Roman" w:cs="Times New Roman"/>
          <w:color w:val="auto"/>
          <w:sz w:val="24"/>
        </w:rPr>
      </w:pPr>
      <w:r>
        <w:rPr>
          <w:rFonts w:hint="default" w:ascii="Times New Roman" w:hAnsi="Times New Roman" w:cs="Times New Roman"/>
          <w:color w:val="auto"/>
          <w:sz w:val="24"/>
        </w:rPr>
        <w:t>（4）固体废物治理措施</w:t>
      </w:r>
    </w:p>
    <w:p>
      <w:pPr>
        <w:pStyle w:val="7"/>
        <w:pageBreakBefore w:val="0"/>
        <w:widowControl w:val="0"/>
        <w:numPr>
          <w:ilvl w:val="0"/>
          <w:numId w:val="0"/>
        </w:numPr>
        <w:kinsoku/>
        <w:wordWrap/>
        <w:overflowPunct/>
        <w:topLinePunct w:val="0"/>
        <w:bidi w:val="0"/>
        <w:adjustRightInd w:val="0"/>
        <w:snapToGrid w:val="0"/>
        <w:spacing w:line="360" w:lineRule="auto"/>
        <w:ind w:right="0" w:rightChars="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本项目产生的固体废物主要包括疾病防疫产生的医疗废物、养殖过程产生的少量病死猪尸和母猪胎盘、猪粪固形物、废脱硫剂及职工生活垃圾</w:t>
      </w:r>
      <w:r>
        <w:rPr>
          <w:rFonts w:hint="default" w:ascii="Times New Roman" w:hAnsi="Times New Roman" w:cs="Times New Roman"/>
          <w:color w:val="auto"/>
          <w:sz w:val="24"/>
          <w:lang w:eastAsia="zh-CN"/>
        </w:rPr>
        <w:t>、废导热油、废</w:t>
      </w:r>
      <w:r>
        <w:rPr>
          <w:rFonts w:hint="default" w:ascii="Times New Roman" w:hAnsi="Times New Roman" w:cs="Times New Roman"/>
          <w:color w:val="auto"/>
          <w:sz w:val="24"/>
          <w:lang w:val="en-US" w:eastAsia="zh-CN"/>
        </w:rPr>
        <w:t>UV灯管</w:t>
      </w:r>
      <w:r>
        <w:rPr>
          <w:rFonts w:hint="default" w:ascii="Times New Roman" w:hAnsi="Times New Roman" w:cs="Times New Roman"/>
          <w:color w:val="auto"/>
          <w:sz w:val="24"/>
        </w:rPr>
        <w:t>等。其中医疗废物</w:t>
      </w:r>
      <w:r>
        <w:rPr>
          <w:rFonts w:hint="default" w:ascii="Times New Roman" w:hAnsi="Times New Roman" w:cs="Times New Roman"/>
          <w:color w:val="auto"/>
          <w:sz w:val="24"/>
          <w:lang w:eastAsia="zh-CN"/>
        </w:rPr>
        <w:t>、废导热油、废</w:t>
      </w:r>
      <w:r>
        <w:rPr>
          <w:rFonts w:hint="default" w:ascii="Times New Roman" w:hAnsi="Times New Roman" w:cs="Times New Roman"/>
          <w:color w:val="auto"/>
          <w:sz w:val="24"/>
          <w:lang w:val="en-US" w:eastAsia="zh-CN"/>
        </w:rPr>
        <w:t>UV灯管</w:t>
      </w:r>
      <w:r>
        <w:rPr>
          <w:rFonts w:hint="default" w:ascii="Times New Roman" w:hAnsi="Times New Roman" w:cs="Times New Roman"/>
          <w:color w:val="auto"/>
          <w:sz w:val="24"/>
        </w:rPr>
        <w:t>定期交由</w:t>
      </w:r>
      <w:r>
        <w:rPr>
          <w:rFonts w:hint="default" w:ascii="Times New Roman" w:hAnsi="Times New Roman" w:cs="Times New Roman"/>
          <w:color w:val="auto"/>
          <w:sz w:val="24"/>
          <w:lang w:eastAsia="zh-CN"/>
        </w:rPr>
        <w:t>相应</w:t>
      </w:r>
      <w:r>
        <w:rPr>
          <w:rFonts w:hint="default" w:ascii="Times New Roman" w:hAnsi="Times New Roman" w:cs="Times New Roman"/>
          <w:color w:val="auto"/>
          <w:sz w:val="24"/>
        </w:rPr>
        <w:t>有资质单位处置；病死猪在厂区内无害化处理后残渣作为有机肥原料外售；废脱硫剂由生产厂家统一回收处置；职工生活垃圾集中收集后送当地垃圾处理厂集中处置。综上所述，项目产生的各类污染物均能得到有效处理，实现达标排放或综合利用。</w:t>
      </w:r>
    </w:p>
    <w:p>
      <w:pPr>
        <w:pStyle w:val="5"/>
        <w:rPr>
          <w:rFonts w:hint="default" w:ascii="Times New Roman" w:hAnsi="Times New Roman" w:cs="Times New Roman"/>
          <w:color w:val="auto"/>
        </w:rPr>
      </w:pPr>
      <w:bookmarkStart w:id="806" w:name="_Toc193113603"/>
      <w:r>
        <w:rPr>
          <w:rFonts w:hint="default" w:ascii="Times New Roman" w:hAnsi="Times New Roman" w:cs="Times New Roman"/>
          <w:color w:val="auto"/>
        </w:rPr>
        <w:t>10.1.4  环境影响预测结论</w:t>
      </w:r>
      <w:bookmarkEnd w:id="806"/>
    </w:p>
    <w:p>
      <w:pPr>
        <w:ind w:firstLine="480"/>
        <w:rPr>
          <w:rFonts w:hint="default" w:ascii="Times New Roman" w:hAnsi="Times New Roman" w:cs="Times New Roman"/>
          <w:color w:val="auto"/>
        </w:rPr>
      </w:pPr>
      <w:r>
        <w:rPr>
          <w:rFonts w:hint="default" w:ascii="Times New Roman" w:hAnsi="Times New Roman" w:cs="Times New Roman"/>
          <w:color w:val="auto"/>
        </w:rPr>
        <w:t>（1）环境空气质量影响预测</w:t>
      </w:r>
      <w:bookmarkStart w:id="807" w:name="_Toc193113494"/>
      <w:bookmarkStart w:id="808" w:name="_Toc193113604"/>
      <w:r>
        <w:rPr>
          <w:rFonts w:hint="default" w:ascii="Times New Roman" w:hAnsi="Times New Roman" w:cs="Times New Roman"/>
          <w:color w:val="auto"/>
        </w:rPr>
        <w:t>结论</w:t>
      </w:r>
    </w:p>
    <w:p>
      <w:pPr>
        <w:ind w:firstLine="480"/>
        <w:rPr>
          <w:rFonts w:hint="default" w:ascii="Times New Roman" w:hAnsi="Times New Roman" w:cs="Times New Roman"/>
          <w:color w:val="auto"/>
        </w:rPr>
      </w:pPr>
      <w:r>
        <w:rPr>
          <w:rFonts w:hint="default" w:ascii="Times New Roman" w:hAnsi="Times New Roman" w:cs="Times New Roman"/>
          <w:color w:val="auto"/>
        </w:rPr>
        <w:t>根据预测结果，项目实施后，工程采取除臭措施后排放的H</w:t>
      </w:r>
      <w:r>
        <w:rPr>
          <w:rFonts w:hint="default" w:ascii="Times New Roman" w:hAnsi="Times New Roman" w:cs="Times New Roman"/>
          <w:color w:val="auto"/>
          <w:vertAlign w:val="subscript"/>
        </w:rPr>
        <w:t>2</w:t>
      </w:r>
      <w:r>
        <w:rPr>
          <w:rFonts w:hint="default" w:ascii="Times New Roman" w:hAnsi="Times New Roman" w:cs="Times New Roman"/>
          <w:color w:val="auto"/>
        </w:rPr>
        <w:t>S、NH</w:t>
      </w:r>
      <w:r>
        <w:rPr>
          <w:rFonts w:hint="default" w:ascii="Times New Roman" w:hAnsi="Times New Roman" w:cs="Times New Roman"/>
          <w:color w:val="auto"/>
          <w:vertAlign w:val="subscript"/>
        </w:rPr>
        <w:t>3</w:t>
      </w:r>
      <w:r>
        <w:rPr>
          <w:rFonts w:hint="default" w:ascii="Times New Roman" w:hAnsi="Times New Roman" w:cs="Times New Roman"/>
          <w:color w:val="auto"/>
        </w:rPr>
        <w:t>在各关心点处的污染物浓度均能满足《环境影响评价技术导则 大气环境》（HJ2.2-2018）附录 D， 其他污染物空气质量浓度参考限值浓度要求；经计算，本项目卫生防护距离为500m，场址卫生防护距离范围内无敏感点，在满足卫生防护距离的条件下，评价认为项目废气排放对环境的影响可以接受。</w:t>
      </w:r>
    </w:p>
    <w:p>
      <w:pPr>
        <w:ind w:firstLine="480"/>
        <w:rPr>
          <w:rFonts w:hint="default" w:ascii="Times New Roman" w:hAnsi="Times New Roman" w:cs="Times New Roman"/>
          <w:color w:val="auto"/>
        </w:rPr>
      </w:pPr>
      <w:r>
        <w:rPr>
          <w:rFonts w:hint="default" w:ascii="Times New Roman" w:hAnsi="Times New Roman" w:cs="Times New Roman"/>
          <w:color w:val="auto"/>
        </w:rPr>
        <w:t>（2）地表水环境质量影响预测</w:t>
      </w:r>
      <w:bookmarkEnd w:id="807"/>
      <w:r>
        <w:rPr>
          <w:rFonts w:hint="default" w:ascii="Times New Roman" w:hAnsi="Times New Roman" w:cs="Times New Roman"/>
          <w:color w:val="auto"/>
        </w:rPr>
        <w:t>结论</w:t>
      </w:r>
    </w:p>
    <w:p>
      <w:pPr>
        <w:ind w:firstLine="480"/>
        <w:rPr>
          <w:rFonts w:hint="default" w:ascii="Times New Roman" w:hAnsi="Times New Roman" w:cs="Times New Roman"/>
          <w:color w:val="auto"/>
        </w:rPr>
      </w:pPr>
      <w:r>
        <w:rPr>
          <w:rFonts w:hint="default" w:ascii="Times New Roman" w:hAnsi="Times New Roman" w:cs="Times New Roman"/>
          <w:color w:val="auto"/>
        </w:rPr>
        <w:t>项目废水属高浓度有机废水，经场区内污水处理站厌氧处理后，沼液作为农肥施于配套农田，不外排。</w:t>
      </w:r>
    </w:p>
    <w:p>
      <w:pPr>
        <w:ind w:firstLine="480"/>
        <w:rPr>
          <w:rFonts w:hint="default" w:ascii="Times New Roman" w:hAnsi="Times New Roman" w:cs="Times New Roman"/>
          <w:color w:val="auto"/>
        </w:rPr>
      </w:pPr>
      <w:bookmarkStart w:id="809" w:name="_Toc193113495"/>
      <w:r>
        <w:rPr>
          <w:rFonts w:hint="default" w:ascii="Times New Roman" w:hAnsi="Times New Roman" w:cs="Times New Roman"/>
          <w:color w:val="auto"/>
        </w:rPr>
        <w:t>（3）地下水质量影响预测</w:t>
      </w:r>
      <w:bookmarkEnd w:id="809"/>
      <w:r>
        <w:rPr>
          <w:rFonts w:hint="default" w:ascii="Times New Roman" w:hAnsi="Times New Roman" w:cs="Times New Roman"/>
          <w:color w:val="auto"/>
        </w:rPr>
        <w:t>结论</w:t>
      </w:r>
    </w:p>
    <w:p>
      <w:pPr>
        <w:ind w:firstLine="436" w:firstLineChars="182"/>
        <w:rPr>
          <w:rFonts w:hint="default" w:ascii="Times New Roman" w:hAnsi="Times New Roman" w:cs="Times New Roman"/>
          <w:color w:val="auto"/>
        </w:rPr>
      </w:pPr>
      <w:bookmarkStart w:id="810" w:name="_Toc193113496"/>
      <w:r>
        <w:rPr>
          <w:rFonts w:hint="default" w:ascii="Times New Roman" w:hAnsi="Times New Roman" w:cs="Times New Roman"/>
          <w:color w:val="auto"/>
        </w:rPr>
        <w:t>项目场区地下水环境在落实好防渗、防污措施后，本项目污染物能得到有效处理，对地下水水质影响较小，项目的建设不会产生其他环境地质问题，因此对地下水环境质量影响较小。</w:t>
      </w:r>
    </w:p>
    <w:p>
      <w:pPr>
        <w:ind w:firstLine="480"/>
        <w:rPr>
          <w:rFonts w:hint="default" w:ascii="Times New Roman" w:hAnsi="Times New Roman" w:cs="Times New Roman"/>
          <w:color w:val="auto"/>
        </w:rPr>
      </w:pPr>
      <w:r>
        <w:rPr>
          <w:rFonts w:hint="default" w:ascii="Times New Roman" w:hAnsi="Times New Roman" w:cs="Times New Roman"/>
          <w:color w:val="auto"/>
        </w:rPr>
        <w:t>（4）声环境质量影响预测小结</w:t>
      </w:r>
      <w:bookmarkEnd w:id="810"/>
    </w:p>
    <w:bookmarkEnd w:id="808"/>
    <w:p>
      <w:pPr>
        <w:ind w:firstLine="480"/>
        <w:rPr>
          <w:rFonts w:hint="default" w:ascii="Times New Roman" w:hAnsi="Times New Roman" w:cs="Times New Roman"/>
          <w:color w:val="auto"/>
        </w:rPr>
      </w:pPr>
      <w:r>
        <w:rPr>
          <w:rFonts w:hint="default" w:ascii="Times New Roman" w:hAnsi="Times New Roman" w:cs="Times New Roman"/>
          <w:color w:val="auto"/>
        </w:rPr>
        <w:t>本项目完成后通过对主要高噪声源采取隔声、减振、距离衰减等降噪措施后，各场界噪声可满足《工业企业厂界环境噪声排放标准》（GB12348-2008）2类标准（昼间60</w:t>
      </w:r>
      <w:r>
        <w:rPr>
          <w:rFonts w:hint="default" w:ascii="Times New Roman" w:hAnsi="Times New Roman" w:cs="Times New Roman"/>
          <w:color w:val="auto"/>
          <w:kern w:val="0"/>
        </w:rPr>
        <w:t>dB(A)；夜间</w:t>
      </w:r>
      <w:r>
        <w:rPr>
          <w:rFonts w:hint="default" w:ascii="Times New Roman" w:hAnsi="Times New Roman" w:cs="Times New Roman"/>
          <w:color w:val="auto"/>
        </w:rPr>
        <w:t>50</w:t>
      </w:r>
      <w:r>
        <w:rPr>
          <w:rFonts w:hint="default" w:ascii="Times New Roman" w:hAnsi="Times New Roman" w:cs="Times New Roman"/>
          <w:color w:val="auto"/>
          <w:kern w:val="0"/>
        </w:rPr>
        <w:t>dB(A)</w:t>
      </w:r>
      <w:r>
        <w:rPr>
          <w:rFonts w:hint="default" w:ascii="Times New Roman" w:hAnsi="Times New Roman" w:cs="Times New Roman"/>
          <w:color w:val="auto"/>
        </w:rPr>
        <w:t>）要求。</w:t>
      </w:r>
    </w:p>
    <w:p>
      <w:pPr>
        <w:ind w:firstLine="480"/>
        <w:rPr>
          <w:rFonts w:hint="default" w:ascii="Times New Roman" w:hAnsi="Times New Roman" w:cs="Times New Roman"/>
          <w:color w:val="auto"/>
        </w:rPr>
      </w:pPr>
      <w:r>
        <w:rPr>
          <w:rFonts w:hint="default" w:ascii="Times New Roman" w:hAnsi="Times New Roman" w:cs="Times New Roman"/>
          <w:color w:val="auto"/>
        </w:rPr>
        <w:t>（5）固体废物影响预测小结</w:t>
      </w:r>
    </w:p>
    <w:p>
      <w:pPr>
        <w:ind w:firstLine="480"/>
        <w:rPr>
          <w:rFonts w:hint="default" w:ascii="Times New Roman" w:hAnsi="Times New Roman" w:cs="Times New Roman"/>
          <w:color w:val="auto"/>
        </w:rPr>
      </w:pPr>
      <w:r>
        <w:rPr>
          <w:rFonts w:hint="default" w:ascii="Times New Roman" w:hAnsi="Times New Roman" w:cs="Times New Roman"/>
          <w:bCs/>
          <w:color w:val="auto"/>
        </w:rPr>
        <w:t>本项目产生的固体废物主要包括疾病防疫产生的医疗废物、养殖过程产生的少量病死猪尸、猪粪固形物、</w:t>
      </w:r>
      <w:r>
        <w:rPr>
          <w:rFonts w:hint="default" w:ascii="Times New Roman" w:hAnsi="Times New Roman" w:cs="Times New Roman"/>
          <w:bCs/>
          <w:color w:val="auto"/>
          <w:lang w:eastAsia="zh-CN"/>
        </w:rPr>
        <w:t>废导热油</w:t>
      </w:r>
      <w:r>
        <w:rPr>
          <w:rFonts w:hint="default" w:ascii="Times New Roman" w:hAnsi="Times New Roman" w:cs="Times New Roman"/>
          <w:bCs/>
          <w:color w:val="auto"/>
        </w:rPr>
        <w:t>、废脱硫剂</w:t>
      </w:r>
      <w:r>
        <w:rPr>
          <w:rFonts w:hint="default" w:ascii="Times New Roman" w:hAnsi="Times New Roman" w:cs="Times New Roman"/>
          <w:color w:val="auto"/>
        </w:rPr>
        <w:t>及</w:t>
      </w:r>
      <w:r>
        <w:rPr>
          <w:rFonts w:hint="default" w:ascii="Times New Roman" w:hAnsi="Times New Roman" w:cs="Times New Roman"/>
          <w:bCs/>
          <w:color w:val="auto"/>
        </w:rPr>
        <w:t>职工生活垃圾</w:t>
      </w:r>
      <w:r>
        <w:rPr>
          <w:rFonts w:hint="default" w:ascii="Times New Roman" w:hAnsi="Times New Roman" w:cs="Times New Roman"/>
          <w:bCs/>
          <w:color w:val="auto"/>
          <w:lang w:eastAsia="zh-CN"/>
        </w:rPr>
        <w:t>、废</w:t>
      </w:r>
      <w:r>
        <w:rPr>
          <w:rFonts w:hint="default" w:ascii="Times New Roman" w:hAnsi="Times New Roman" w:cs="Times New Roman"/>
          <w:bCs/>
          <w:color w:val="auto"/>
          <w:lang w:val="en-US" w:eastAsia="zh-CN"/>
        </w:rPr>
        <w:t>UV灯管</w:t>
      </w:r>
      <w:r>
        <w:rPr>
          <w:rFonts w:hint="default" w:ascii="Times New Roman" w:hAnsi="Times New Roman" w:cs="Times New Roman"/>
          <w:bCs/>
          <w:color w:val="auto"/>
        </w:rPr>
        <w:t>等。</w:t>
      </w:r>
      <w:r>
        <w:rPr>
          <w:rFonts w:hint="default" w:ascii="Times New Roman" w:hAnsi="Times New Roman" w:cs="Times New Roman"/>
          <w:color w:val="auto"/>
        </w:rPr>
        <w:t>项目产生的固体废物均得到合理处理、处置，不会对周围环境造成二次污染。</w:t>
      </w:r>
    </w:p>
    <w:p>
      <w:pPr>
        <w:pStyle w:val="5"/>
        <w:rPr>
          <w:rFonts w:hint="default" w:ascii="Times New Roman" w:hAnsi="Times New Roman" w:cs="Times New Roman"/>
          <w:color w:val="auto"/>
        </w:rPr>
      </w:pPr>
      <w:bookmarkStart w:id="811" w:name="_Toc193113606"/>
      <w:r>
        <w:rPr>
          <w:rFonts w:hint="default" w:ascii="Times New Roman" w:hAnsi="Times New Roman" w:cs="Times New Roman"/>
          <w:color w:val="auto"/>
        </w:rPr>
        <w:t>10.1.5  清洁生产结论</w:t>
      </w:r>
      <w:bookmarkEnd w:id="811"/>
    </w:p>
    <w:p>
      <w:pPr>
        <w:pStyle w:val="12"/>
        <w:spacing w:line="360" w:lineRule="auto"/>
        <w:ind w:firstLine="480"/>
        <w:rPr>
          <w:rFonts w:hint="default" w:ascii="Times New Roman" w:hAnsi="Times New Roman" w:eastAsia="宋体" w:cs="Times New Roman"/>
          <w:color w:val="auto"/>
          <w:sz w:val="24"/>
        </w:rPr>
      </w:pPr>
      <w:bookmarkStart w:id="812" w:name="_Toc193113608"/>
      <w:r>
        <w:rPr>
          <w:rFonts w:hint="default" w:ascii="Times New Roman" w:hAnsi="Times New Roman" w:eastAsia="宋体" w:cs="Times New Roman"/>
          <w:color w:val="auto"/>
          <w:sz w:val="24"/>
        </w:rPr>
        <w:t>本项目在采取评价建议以及工程设计的清洁生产方案后，各类指标均处于国内先进清洁生产水平，可以满足清洁生产的相关要求。</w:t>
      </w:r>
    </w:p>
    <w:p>
      <w:pPr>
        <w:pStyle w:val="5"/>
        <w:rPr>
          <w:rFonts w:hint="default" w:ascii="Times New Roman" w:hAnsi="Times New Roman" w:cs="Times New Roman"/>
          <w:color w:val="auto"/>
        </w:rPr>
      </w:pPr>
      <w:r>
        <w:rPr>
          <w:rFonts w:hint="default" w:ascii="Times New Roman" w:hAnsi="Times New Roman" w:cs="Times New Roman"/>
          <w:color w:val="auto"/>
        </w:rPr>
        <w:t>10.1.6  公众参与结论</w:t>
      </w:r>
      <w:bookmarkEnd w:id="812"/>
    </w:p>
    <w:p>
      <w:pPr>
        <w:ind w:firstLine="480"/>
        <w:rPr>
          <w:rFonts w:hint="default" w:ascii="Times New Roman" w:hAnsi="Times New Roman" w:cs="Times New Roman"/>
          <w:color w:val="auto"/>
        </w:rPr>
      </w:pPr>
      <w:bookmarkStart w:id="813" w:name="_Toc193113609"/>
      <w:r>
        <w:rPr>
          <w:rFonts w:hint="default" w:ascii="Times New Roman" w:hAnsi="Times New Roman" w:cs="Times New Roman"/>
          <w:color w:val="auto"/>
        </w:rPr>
        <w:t>根据建设单位报送的《牧原食品股份有限公司清丰一场生猪养殖项目环境影响评价公众参与说明》，建设单位分别以网络公示、报纸公示等多种形式开展了公众参与调查。</w:t>
      </w:r>
    </w:p>
    <w:p>
      <w:pPr>
        <w:ind w:firstLine="480"/>
        <w:rPr>
          <w:rFonts w:hint="default" w:ascii="Times New Roman" w:hAnsi="Times New Roman" w:cs="Times New Roman"/>
          <w:color w:val="auto"/>
        </w:rPr>
      </w:pPr>
      <w:r>
        <w:rPr>
          <w:rFonts w:hint="default" w:ascii="Times New Roman" w:hAnsi="Times New Roman" w:cs="Times New Roman"/>
          <w:color w:val="auto"/>
        </w:rPr>
        <w:t>建设单位于2019年11月2日～11月17日在环评互联网上进行了一次公示；项目于2019年11月17日～2019年11月29日在环评互联网进行了二次公示，两次公示期间，未收到群众反馈的反对意见；同时在项目所在地附近村庄进行了张贴公示，并于2019年11月21日和11月23日在油田日报进行了两次报纸公示，较深入的征求了区域公众的意见，在公示期间未收到有关公众对本项目提出任何的意见及建议。</w:t>
      </w:r>
    </w:p>
    <w:p>
      <w:pPr>
        <w:ind w:firstLine="480"/>
        <w:rPr>
          <w:rFonts w:hint="default" w:ascii="Times New Roman" w:hAnsi="Times New Roman" w:cs="Times New Roman"/>
          <w:color w:val="auto"/>
        </w:rPr>
      </w:pPr>
      <w:r>
        <w:rPr>
          <w:rFonts w:hint="default" w:ascii="Times New Roman" w:hAnsi="Times New Roman" w:cs="Times New Roman"/>
          <w:color w:val="auto"/>
        </w:rPr>
        <w:t>建设单位也作出承诺，在项目建设、运行过程中应做好各项污染防治措施，认真落实公众关注的问题和意见。</w:t>
      </w:r>
    </w:p>
    <w:p>
      <w:pPr>
        <w:ind w:firstLine="480"/>
        <w:rPr>
          <w:rFonts w:hint="default" w:ascii="Times New Roman" w:hAnsi="Times New Roman" w:cs="Times New Roman"/>
          <w:color w:val="auto"/>
        </w:rPr>
      </w:pPr>
      <w:r>
        <w:rPr>
          <w:rFonts w:hint="default" w:ascii="Times New Roman" w:hAnsi="Times New Roman" w:cs="Times New Roman"/>
          <w:color w:val="auto"/>
        </w:rPr>
        <w:t>综上所述：本项目建设为当地公众所接受。</w:t>
      </w:r>
    </w:p>
    <w:p>
      <w:pPr>
        <w:pStyle w:val="5"/>
        <w:rPr>
          <w:rFonts w:hint="default" w:ascii="Times New Roman" w:hAnsi="Times New Roman" w:cs="Times New Roman"/>
          <w:color w:val="auto"/>
        </w:rPr>
      </w:pPr>
      <w:r>
        <w:rPr>
          <w:rFonts w:hint="default" w:ascii="Times New Roman" w:hAnsi="Times New Roman" w:cs="Times New Roman"/>
          <w:color w:val="auto"/>
        </w:rPr>
        <w:t>10.1.7  环境风险结论</w:t>
      </w:r>
      <w:bookmarkEnd w:id="813"/>
    </w:p>
    <w:p>
      <w:pPr>
        <w:ind w:firstLine="480"/>
        <w:rPr>
          <w:rFonts w:hint="default" w:ascii="Times New Roman" w:hAnsi="Times New Roman" w:cs="Times New Roman"/>
          <w:color w:val="auto"/>
        </w:rPr>
      </w:pPr>
      <w:r>
        <w:rPr>
          <w:rFonts w:hint="default" w:ascii="Times New Roman" w:hAnsi="Times New Roman" w:cs="Times New Roman"/>
          <w:color w:val="auto"/>
        </w:rPr>
        <w:t>本项目环境风险主要表现在沼气发生泄漏引起中毒，以及污染处理设施运行过程风险。在严格落实本环评提出的各项风险防范措施和事故应急预案后，该项目发生风险事故的可能进一步降低，其潜在的环境风险是可以接受的。</w:t>
      </w:r>
    </w:p>
    <w:p>
      <w:pPr>
        <w:pStyle w:val="5"/>
        <w:rPr>
          <w:rFonts w:hint="default" w:ascii="Times New Roman" w:hAnsi="Times New Roman" w:cs="Times New Roman"/>
          <w:color w:val="auto"/>
        </w:rPr>
      </w:pPr>
      <w:r>
        <w:rPr>
          <w:rFonts w:hint="default" w:ascii="Times New Roman" w:hAnsi="Times New Roman" w:cs="Times New Roman"/>
          <w:color w:val="auto"/>
        </w:rPr>
        <w:t>10.1.8  厂址选择可行性分析</w:t>
      </w:r>
    </w:p>
    <w:p>
      <w:pPr>
        <w:ind w:firstLine="480"/>
        <w:rPr>
          <w:rFonts w:hint="default" w:ascii="Times New Roman" w:hAnsi="Times New Roman" w:cs="Times New Roman"/>
          <w:color w:val="auto"/>
        </w:rPr>
      </w:pPr>
      <w:bookmarkStart w:id="814" w:name="_Toc288690229"/>
      <w:bookmarkStart w:id="815" w:name="_Toc269577495"/>
      <w:bookmarkStart w:id="816" w:name="_Toc329183386"/>
      <w:bookmarkStart w:id="817" w:name="_Toc269469117"/>
      <w:bookmarkStart w:id="818" w:name="_Toc366760549"/>
      <w:bookmarkStart w:id="819" w:name="_Toc295122060"/>
      <w:r>
        <w:rPr>
          <w:rFonts w:hint="default" w:ascii="Times New Roman" w:hAnsi="Times New Roman" w:cs="Times New Roman"/>
          <w:color w:val="auto"/>
        </w:rPr>
        <w:t>评价从场址位置、土地利用、厂址周围敏感点分布及卫生防护距离、环境现状监测、环境影响预测结果、厂区总平面布置、公众参与调查结果等方面的分析的基础上，认为在认真落实工程设计及环评提出的各项污染防治措施，确保环保设施的正常稳定运行前提下，工程拟选厂址可行。</w:t>
      </w:r>
    </w:p>
    <w:p>
      <w:pPr>
        <w:pStyle w:val="5"/>
        <w:rPr>
          <w:rFonts w:hint="default" w:ascii="Times New Roman" w:hAnsi="Times New Roman" w:cs="Times New Roman"/>
          <w:color w:val="auto"/>
        </w:rPr>
      </w:pPr>
      <w:r>
        <w:rPr>
          <w:rFonts w:hint="default" w:ascii="Times New Roman" w:hAnsi="Times New Roman" w:cs="Times New Roman"/>
          <w:color w:val="auto"/>
        </w:rPr>
        <w:t>10.1.8  总量控制</w:t>
      </w:r>
    </w:p>
    <w:p>
      <w:pPr>
        <w:ind w:firstLine="480"/>
        <w:rPr>
          <w:rFonts w:hint="default" w:ascii="Times New Roman" w:hAnsi="Times New Roman" w:cs="Times New Roman"/>
          <w:color w:val="auto"/>
        </w:rPr>
      </w:pPr>
      <w:bookmarkStart w:id="820" w:name="_Toc477187792"/>
      <w:bookmarkStart w:id="821" w:name="_Toc476923012"/>
      <w:r>
        <w:rPr>
          <w:rFonts w:hint="default" w:ascii="Times New Roman" w:hAnsi="Times New Roman" w:cs="Times New Roman"/>
          <w:color w:val="auto"/>
        </w:rPr>
        <w:t>本项目沼气主要成分为CH</w:t>
      </w:r>
      <w:r>
        <w:rPr>
          <w:rFonts w:hint="default" w:ascii="Times New Roman" w:hAnsi="Times New Roman" w:cs="Times New Roman"/>
          <w:color w:val="auto"/>
          <w:vertAlign w:val="subscript"/>
        </w:rPr>
        <w:t>4</w:t>
      </w:r>
      <w:r>
        <w:rPr>
          <w:rFonts w:hint="default" w:ascii="Times New Roman" w:hAnsi="Times New Roman" w:cs="Times New Roman"/>
          <w:color w:val="auto"/>
        </w:rPr>
        <w:t>，属于清洁能源，燃烧后主要产物为CO</w:t>
      </w:r>
      <w:r>
        <w:rPr>
          <w:rFonts w:hint="default" w:ascii="Times New Roman" w:hAnsi="Times New Roman" w:cs="Times New Roman"/>
          <w:color w:val="auto"/>
          <w:vertAlign w:val="subscript"/>
        </w:rPr>
        <w:t>2</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O，因此废气污染物SO</w:t>
      </w:r>
      <w:r>
        <w:rPr>
          <w:rFonts w:hint="default" w:ascii="Times New Roman" w:hAnsi="Times New Roman" w:cs="Times New Roman"/>
          <w:color w:val="auto"/>
          <w:vertAlign w:val="subscript"/>
        </w:rPr>
        <w:t>2</w:t>
      </w:r>
      <w:r>
        <w:rPr>
          <w:rFonts w:hint="default" w:ascii="Times New Roman" w:hAnsi="Times New Roman" w:cs="Times New Roman"/>
          <w:color w:val="auto"/>
        </w:rPr>
        <w:t>、NO</w:t>
      </w:r>
      <w:r>
        <w:rPr>
          <w:rFonts w:hint="default" w:ascii="Times New Roman" w:hAnsi="Times New Roman" w:cs="Times New Roman"/>
          <w:color w:val="auto"/>
          <w:vertAlign w:val="subscript"/>
        </w:rPr>
        <w:t>X</w:t>
      </w:r>
      <w:r>
        <w:rPr>
          <w:rFonts w:hint="default" w:ascii="Times New Roman" w:hAnsi="Times New Roman" w:cs="Times New Roman"/>
          <w:color w:val="auto"/>
        </w:rPr>
        <w:t>不需要设置总量控制指标；废水经处理后全部资源化利用，不外排，因此废水污染物COD、</w:t>
      </w:r>
      <w:r>
        <w:rPr>
          <w:rFonts w:hint="default" w:ascii="Times New Roman" w:hAnsi="Times New Roman" w:cs="Times New Roman"/>
          <w:bCs/>
          <w:color w:val="auto"/>
        </w:rPr>
        <w:t>NH</w:t>
      </w:r>
      <w:r>
        <w:rPr>
          <w:rFonts w:hint="default" w:ascii="Times New Roman" w:hAnsi="Times New Roman" w:cs="Times New Roman"/>
          <w:bCs/>
          <w:color w:val="auto"/>
          <w:vertAlign w:val="subscript"/>
        </w:rPr>
        <w:t>3</w:t>
      </w:r>
      <w:r>
        <w:rPr>
          <w:rFonts w:hint="default" w:ascii="Times New Roman" w:hAnsi="Times New Roman" w:cs="Times New Roman"/>
          <w:bCs/>
          <w:color w:val="auto"/>
        </w:rPr>
        <w:t>-N不需要设置总量控制指标。</w:t>
      </w:r>
    </w:p>
    <w:p>
      <w:pPr>
        <w:pStyle w:val="4"/>
        <w:spacing w:before="0" w:after="0"/>
        <w:ind w:firstLine="0" w:firstLineChars="0"/>
        <w:rPr>
          <w:rFonts w:hint="default" w:ascii="Times New Roman" w:hAnsi="Times New Roman" w:cs="Times New Roman"/>
          <w:color w:val="auto"/>
          <w:sz w:val="24"/>
          <w:szCs w:val="24"/>
        </w:rPr>
      </w:pPr>
      <w:bookmarkStart w:id="822" w:name="_Toc23186"/>
      <w:bookmarkStart w:id="823" w:name="_Toc18794"/>
      <w:bookmarkStart w:id="824" w:name="_Toc485580839"/>
      <w:r>
        <w:rPr>
          <w:rFonts w:hint="default" w:ascii="Times New Roman" w:hAnsi="Times New Roman" w:cs="Times New Roman"/>
          <w:color w:val="auto"/>
          <w:sz w:val="24"/>
          <w:szCs w:val="24"/>
        </w:rPr>
        <w:t xml:space="preserve">10.2  </w:t>
      </w:r>
      <w:bookmarkStart w:id="825" w:name="_Toc193113610"/>
      <w:r>
        <w:rPr>
          <w:rFonts w:hint="default" w:ascii="Times New Roman" w:hAnsi="Times New Roman" w:cs="Times New Roman"/>
          <w:color w:val="auto"/>
          <w:sz w:val="24"/>
          <w:szCs w:val="24"/>
        </w:rPr>
        <w:t>建议</w:t>
      </w:r>
      <w:bookmarkEnd w:id="814"/>
      <w:bookmarkEnd w:id="815"/>
      <w:bookmarkEnd w:id="816"/>
      <w:bookmarkEnd w:id="817"/>
      <w:bookmarkEnd w:id="818"/>
      <w:bookmarkEnd w:id="819"/>
      <w:bookmarkEnd w:id="820"/>
      <w:bookmarkEnd w:id="821"/>
      <w:bookmarkEnd w:id="822"/>
      <w:bookmarkEnd w:id="823"/>
      <w:bookmarkEnd w:id="824"/>
      <w:bookmarkEnd w:id="825"/>
    </w:p>
    <w:p>
      <w:pPr>
        <w:pStyle w:val="5"/>
        <w:rPr>
          <w:rFonts w:hint="default" w:ascii="Times New Roman" w:hAnsi="Times New Roman" w:cs="Times New Roman"/>
          <w:color w:val="auto"/>
        </w:rPr>
      </w:pPr>
      <w:r>
        <w:rPr>
          <w:rFonts w:hint="default" w:ascii="Times New Roman" w:hAnsi="Times New Roman" w:cs="Times New Roman"/>
          <w:color w:val="auto"/>
        </w:rPr>
        <w:t>10.2.1 环保政策及管理建议</w:t>
      </w:r>
    </w:p>
    <w:p>
      <w:pPr>
        <w:ind w:firstLine="480"/>
        <w:rPr>
          <w:rFonts w:hint="default" w:ascii="Times New Roman" w:hAnsi="Times New Roman" w:cs="Times New Roman"/>
          <w:color w:val="auto"/>
        </w:rPr>
      </w:pPr>
      <w:r>
        <w:rPr>
          <w:rFonts w:hint="default" w:ascii="Times New Roman" w:hAnsi="Times New Roman" w:cs="Times New Roman"/>
          <w:color w:val="auto"/>
        </w:rPr>
        <w:t>严格执行环保“三同时”制度，评价中提出的各项污染防治设施必须与主体工程同时设计、同时施工、同时投入使用。</w:t>
      </w:r>
    </w:p>
    <w:p>
      <w:pPr>
        <w:pStyle w:val="5"/>
        <w:rPr>
          <w:rFonts w:hint="default" w:ascii="Times New Roman" w:hAnsi="Times New Roman" w:cs="Times New Roman"/>
          <w:color w:val="auto"/>
        </w:rPr>
      </w:pPr>
      <w:r>
        <w:rPr>
          <w:rFonts w:hint="default" w:ascii="Times New Roman" w:hAnsi="Times New Roman" w:cs="Times New Roman"/>
          <w:color w:val="auto"/>
        </w:rPr>
        <w:t>10.2.2施工期环境管理建议</w:t>
      </w:r>
    </w:p>
    <w:p>
      <w:pPr>
        <w:ind w:firstLine="480"/>
        <w:rPr>
          <w:rFonts w:hint="default" w:ascii="Times New Roman" w:hAnsi="Times New Roman" w:cs="Times New Roman"/>
          <w:color w:val="auto"/>
        </w:rPr>
      </w:pPr>
      <w:r>
        <w:rPr>
          <w:rFonts w:hint="default" w:ascii="Times New Roman" w:hAnsi="Times New Roman" w:cs="Times New Roman"/>
          <w:color w:val="auto"/>
        </w:rPr>
        <w:t>合理安排工期，尽可能地加快施工速度，减少施工时间，并建议施工单位采取逐段施工方式；优先选用低噪声设备，日常应注意对施工设备的维修、保养，使各种施工机械保持良好的运行状态；施工现场应设污水收集和简易处理设施；现场搅拌砂浆、混凝土时应按用量进行配料，尽量做到不洒、不漏、不剩、不弃。</w:t>
      </w:r>
    </w:p>
    <w:p>
      <w:pPr>
        <w:pStyle w:val="5"/>
        <w:rPr>
          <w:rFonts w:hint="default" w:ascii="Times New Roman" w:hAnsi="Times New Roman" w:cs="Times New Roman"/>
          <w:color w:val="auto"/>
        </w:rPr>
      </w:pPr>
      <w:r>
        <w:rPr>
          <w:rFonts w:hint="default" w:ascii="Times New Roman" w:hAnsi="Times New Roman" w:cs="Times New Roman"/>
          <w:color w:val="auto"/>
        </w:rPr>
        <w:t>10.2.3防止疾病传播和病死猪尸体、母猪胎盘处理要求</w:t>
      </w:r>
    </w:p>
    <w:p>
      <w:pPr>
        <w:ind w:firstLine="480"/>
        <w:rPr>
          <w:rFonts w:hint="default" w:ascii="Times New Roman" w:hAnsi="Times New Roman" w:cs="Times New Roman"/>
          <w:color w:val="auto"/>
        </w:rPr>
      </w:pPr>
      <w:r>
        <w:rPr>
          <w:rFonts w:hint="default" w:ascii="Times New Roman" w:hAnsi="Times New Roman" w:cs="Times New Roman"/>
          <w:color w:val="auto"/>
        </w:rPr>
        <w:t>加强全场卫生管理，防止疫病传播与扩散；定期对场区进行消毒，防止蝇、蛆滋生，防止病原体的传播与扩散；场区应合理布局，实现安全生产和无害化管理；病死猪尸体和母猪胎盘在厂区无害化处理厂</w:t>
      </w:r>
      <w:r>
        <w:rPr>
          <w:rFonts w:hint="default" w:ascii="Times New Roman" w:hAnsi="Times New Roman" w:cs="Times New Roman"/>
          <w:color w:val="auto"/>
          <w:szCs w:val="21"/>
        </w:rPr>
        <w:t>。</w:t>
      </w:r>
    </w:p>
    <w:p>
      <w:pPr>
        <w:pStyle w:val="5"/>
        <w:rPr>
          <w:rFonts w:hint="default" w:ascii="Times New Roman" w:hAnsi="Times New Roman" w:cs="Times New Roman"/>
          <w:color w:val="auto"/>
        </w:rPr>
      </w:pPr>
      <w:r>
        <w:rPr>
          <w:rFonts w:hint="default" w:ascii="Times New Roman" w:hAnsi="Times New Roman" w:cs="Times New Roman"/>
          <w:color w:val="auto"/>
        </w:rPr>
        <w:t>10.2.4 恶臭污染防治及防护距离管理要求</w:t>
      </w:r>
    </w:p>
    <w:p>
      <w:pPr>
        <w:ind w:firstLine="480"/>
        <w:rPr>
          <w:rFonts w:hint="default" w:ascii="Times New Roman" w:hAnsi="Times New Roman" w:cs="Times New Roman"/>
          <w:color w:val="auto"/>
        </w:rPr>
      </w:pPr>
      <w:r>
        <w:rPr>
          <w:rFonts w:hint="default" w:ascii="Times New Roman" w:hAnsi="Times New Roman" w:cs="Times New Roman"/>
          <w:color w:val="auto"/>
        </w:rPr>
        <w:t>企业应积极稳妥地采取措施，按《畜禽养殖业污染防治技术规范》（HJ/T81－2001）要求强化流程管理，防止各主要环节恶臭污染物的产生。在规定的防护距离内，规划部门不得再规划建设居民点、学校、医院等环境敏感点。</w:t>
      </w:r>
    </w:p>
    <w:p>
      <w:pPr>
        <w:pStyle w:val="5"/>
        <w:rPr>
          <w:rFonts w:hint="default" w:ascii="Times New Roman" w:hAnsi="Times New Roman" w:cs="Times New Roman"/>
          <w:color w:val="auto"/>
        </w:rPr>
      </w:pPr>
      <w:r>
        <w:rPr>
          <w:rFonts w:hint="default" w:ascii="Times New Roman" w:hAnsi="Times New Roman" w:cs="Times New Roman"/>
          <w:color w:val="auto"/>
        </w:rPr>
        <w:t>10.2.5切实落实主要高噪声源的污染防治措施，确保场界噪声达标排放</w:t>
      </w:r>
    </w:p>
    <w:p>
      <w:pPr>
        <w:ind w:firstLine="480"/>
        <w:rPr>
          <w:rFonts w:hint="default" w:ascii="Times New Roman" w:hAnsi="Times New Roman" w:cs="Times New Roman"/>
          <w:color w:val="auto"/>
        </w:rPr>
      </w:pPr>
      <w:r>
        <w:rPr>
          <w:rFonts w:hint="default" w:ascii="Times New Roman" w:hAnsi="Times New Roman" w:cs="Times New Roman"/>
          <w:color w:val="auto"/>
        </w:rPr>
        <w:t>高噪声设备如风机应采取设备基础减振、场房密闭隔声等措施，实现场界噪声达标排放。</w:t>
      </w:r>
    </w:p>
    <w:p>
      <w:pPr>
        <w:pStyle w:val="5"/>
        <w:rPr>
          <w:rFonts w:hint="default" w:ascii="Times New Roman" w:hAnsi="Times New Roman" w:cs="Times New Roman"/>
          <w:color w:val="auto"/>
        </w:rPr>
      </w:pPr>
      <w:r>
        <w:rPr>
          <w:rFonts w:hint="default" w:ascii="Times New Roman" w:hAnsi="Times New Roman" w:cs="Times New Roman"/>
          <w:color w:val="auto"/>
        </w:rPr>
        <w:t>10.2.6场界控制</w:t>
      </w:r>
    </w:p>
    <w:p>
      <w:pPr>
        <w:ind w:firstLine="480"/>
        <w:rPr>
          <w:rFonts w:hint="default" w:ascii="Times New Roman" w:hAnsi="Times New Roman" w:cs="Times New Roman"/>
          <w:color w:val="auto"/>
          <w:kern w:val="0"/>
          <w:szCs w:val="28"/>
        </w:rPr>
      </w:pPr>
      <w:r>
        <w:rPr>
          <w:rFonts w:hint="default" w:ascii="Times New Roman" w:hAnsi="Times New Roman" w:cs="Times New Roman"/>
          <w:color w:val="auto"/>
          <w:kern w:val="0"/>
          <w:szCs w:val="28"/>
        </w:rPr>
        <w:t>要严格执行项目场界距禁建区不小于500m的要求，可由当地政府部门出具承诺，承诺在该项目500m范围内不再规划环境敏感点。</w:t>
      </w:r>
    </w:p>
    <w:p>
      <w:pPr>
        <w:spacing w:line="500" w:lineRule="exact"/>
        <w:ind w:firstLine="482"/>
        <w:rPr>
          <w:rFonts w:hint="default" w:ascii="Times New Roman" w:hAnsi="Times New Roman" w:cs="Times New Roman"/>
          <w:b/>
          <w:color w:val="auto"/>
        </w:rPr>
      </w:pPr>
      <w:r>
        <w:rPr>
          <w:rFonts w:hint="default" w:ascii="Times New Roman" w:hAnsi="Times New Roman" w:cs="Times New Roman"/>
          <w:b/>
          <w:color w:val="auto"/>
        </w:rPr>
        <w:t>综上，牧原食品股份有限公司清丰一场生猪养殖项目符合国家产业政策和清洁生产要求，项目选址可行，通过认真落实评价所提各项环保治理措施，工程排放的各类污染物对周围环境影响可以接受，可以实现其经济效益、社会效益和环境效益的协调发展。环境风险可接受，项目能够被绝大多数公众认可。因此，在落实各项协议及承诺的前提下，从环保角度分析，本工程建设是可行的。</w:t>
      </w:r>
    </w:p>
    <w:p>
      <w:pPr>
        <w:ind w:firstLine="480"/>
        <w:rPr>
          <w:rFonts w:hint="default" w:ascii="Times New Roman" w:hAnsi="Times New Roman" w:cs="Times New Roman"/>
          <w:color w:val="auto"/>
        </w:rPr>
      </w:pPr>
    </w:p>
    <w:sectPr>
      <w:headerReference r:id="rId29" w:type="default"/>
      <w:pgSz w:w="11906" w:h="16838"/>
      <w:pgMar w:top="1440" w:right="1474" w:bottom="1440" w:left="1474"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TimesNewRomanPSMT">
    <w:altName w:val="Times New Roman"/>
    <w:panose1 w:val="00000000000000000000"/>
    <w:charset w:val="00"/>
    <w:family w:val="auto"/>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2FF" w:usb1="420024FF" w:usb2="00000000" w:usb3="00000000" w:csb0="2000019F"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华文楷体">
    <w:altName w:val="楷体_GB2312"/>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PMingLiU">
    <w:panose1 w:val="02020500000000000000"/>
    <w:charset w:val="88"/>
    <w:family w:val="auto"/>
    <w:pitch w:val="default"/>
    <w:sig w:usb0="A00002FF" w:usb1="28CFFCFA" w:usb2="00000016" w:usb3="00000000" w:csb0="0010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2" name="文本框 3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ind w:firstLine="360"/>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SVju0AAAAAUBAAAPAAAA&#10;AAAAAAEAIAAAACIAAABkcnMvZG93bnJldi54bWxQSwECFAAUAAAACACHTuJAnmm6gB0CAAAlBAAA&#10;DgAAAAAAAAABACAAAAAfAQAAZHJzL2Uyb0RvYy54bWxQSwUGAAAAAAYABgBZAQAArgUAAAAA&#10;">
              <v:fill on="f" focussize="0,0"/>
              <v:stroke on="f" weight="0.5pt"/>
              <v:imagedata o:title=""/>
              <o:lock v:ext="edit" aspectratio="f"/>
              <v:textbox inset="0mm,0mm,0mm,0mm" style="mso-fit-shape-to-text:t;">
                <w:txbxContent>
                  <w:p>
                    <w:pPr>
                      <w:pStyle w:val="16"/>
                      <w:ind w:firstLine="360"/>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1" name="文本框 3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ind w:firstLine="36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DLRMkSHAIAACUEAAAO&#10;AAAAAAAAAAEAIAAAAB8BAABkcnMvZTJvRG9jLnhtbFBLBQYAAAAABgAGAFkBAACtBQAAAAA=&#10;">
              <v:fill on="f" focussize="0,0"/>
              <v:stroke on="f" weight="0.5pt"/>
              <v:imagedata o:title=""/>
              <o:lock v:ext="edit" aspectratio="f"/>
              <v:textbox inset="0mm,0mm,0mm,0mm" style="mso-fit-shape-to-text:t;">
                <w:txbxContent>
                  <w:p>
                    <w:pPr>
                      <w:pStyle w:val="16"/>
                      <w:ind w:firstLine="36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ind w:firstLine="400"/>
      <w:rPr>
        <w:sz w:val="20"/>
        <w:szCs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2" name="文本框 3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ind w:firstLine="360"/>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SVju0AAAAAUBAAAPAAAA&#10;AAAAAAEAIAAAACIAAABkcnMvZG93bnJldi54bWxQSwECFAAUAAAACACHTuJAMFpIMB0CAAAlBAAA&#10;DgAAAAAAAAABACAAAAAfAQAAZHJzL2Uyb0RvYy54bWxQSwUGAAAAAAYABgBZAQAArgUAAAAA&#10;">
              <v:fill on="f" focussize="0,0"/>
              <v:stroke on="f" weight="0.5pt"/>
              <v:imagedata o:title=""/>
              <o:lock v:ext="edit" aspectratio="f"/>
              <v:textbox inset="0mm,0mm,0mm,0mm" style="mso-fit-shape-to-text:t;">
                <w:txbxContent>
                  <w:p>
                    <w:pPr>
                      <w:pStyle w:val="16"/>
                      <w:ind w:firstLine="360"/>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93" name="文本框 3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ind w:firstLine="360"/>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NJWO7QAAAABQEAAA8AAAAA&#10;AAAAAQAgAAAAIgAAAGRycy9kb3ducmV2LnhtbFBLAQIUABQAAAAIAIdO4kCmreeYHAIAACUEAAAO&#10;AAAAAAAAAAEAIAAAAB8BAABkcnMvZTJvRG9jLnhtbFBLBQYAAAAABgAGAFkBAACtBQAAAAA=&#10;">
              <v:fill on="f" focussize="0,0"/>
              <v:stroke on="f" weight="0.5pt"/>
              <v:imagedata o:title=""/>
              <o:lock v:ext="edit" aspectratio="f"/>
              <v:textbox inset="0mm,0mm,0mm,0mm" style="mso-fit-shape-to-text:t;">
                <w:txbxContent>
                  <w:p>
                    <w:pPr>
                      <w:pStyle w:val="16"/>
                      <w:ind w:firstLine="360"/>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ind w:firstLine="360"/>
      <w:rPr>
        <w:rStyle w:val="28"/>
      </w:rPr>
    </w:pPr>
    <w:r>
      <w:fldChar w:fldCharType="begin"/>
    </w:r>
    <w:r>
      <w:rPr>
        <w:rStyle w:val="28"/>
      </w:rPr>
      <w:instrText xml:space="preserve">PAGE  </w:instrText>
    </w:r>
    <w:r>
      <w:fldChar w:fldCharType="end"/>
    </w:r>
  </w:p>
  <w:p>
    <w:pPr>
      <w:pStyle w:val="16"/>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4" name="文本框 3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ind w:firstLine="360"/>
                          </w:pPr>
                          <w:r>
                            <w:fldChar w:fldCharType="begin"/>
                          </w:r>
                          <w:r>
                            <w:instrText xml:space="preserve"> PAGE  \* MERGEFORMAT </w:instrText>
                          </w:r>
                          <w:r>
                            <w:fldChar w:fldCharType="separate"/>
                          </w:r>
                          <w:r>
                            <w:t>171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SVju0AAAAAUBAAAPAAAA&#10;AAAAAAEAIAAAACIAAABkcnMvZG93bnJldi54bWxQSwECFAAUAAAACACHTuJAxmdKdR0CAAAlBAAA&#10;DgAAAAAAAAABACAAAAAfAQAAZHJzL2Uyb0RvYy54bWxQSwUGAAAAAAYABgBZAQAArgUAAAAA&#10;">
              <v:fill on="f" focussize="0,0"/>
              <v:stroke on="f" weight="0.5pt"/>
              <v:imagedata o:title=""/>
              <o:lock v:ext="edit" aspectratio="f"/>
              <v:textbox inset="0mm,0mm,0mm,0mm" style="mso-fit-shape-to-text:t;">
                <w:txbxContent>
                  <w:p>
                    <w:pPr>
                      <w:pStyle w:val="16"/>
                      <w:ind w:firstLine="360"/>
                    </w:pPr>
                    <w:r>
                      <w:fldChar w:fldCharType="begin"/>
                    </w:r>
                    <w:r>
                      <w:instrText xml:space="preserve"> PAGE  \* MERGEFORMAT </w:instrText>
                    </w:r>
                    <w:r>
                      <w:fldChar w:fldCharType="separate"/>
                    </w:r>
                    <w:r>
                      <w:t>171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ind w:firstLine="360"/>
      <w:rPr>
        <w:rStyle w:val="28"/>
      </w:rPr>
    </w:pPr>
    <w:r>
      <w:fldChar w:fldCharType="begin"/>
    </w:r>
    <w:r>
      <w:rPr>
        <w:rStyle w:val="28"/>
      </w:rPr>
      <w:instrText xml:space="preserve">PAGE  </w:instrText>
    </w:r>
    <w:r>
      <w:fldChar w:fldCharType="end"/>
    </w:r>
  </w:p>
  <w:p>
    <w:pPr>
      <w:pStyle w:val="16"/>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5" name="文本框 3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ind w:firstLine="360"/>
                          </w:pPr>
                          <w:r>
                            <w:fldChar w:fldCharType="begin"/>
                          </w:r>
                          <w:r>
                            <w:instrText xml:space="preserve"> PAGE  \* MERGEFORMAT </w:instrText>
                          </w:r>
                          <w:r>
                            <w:fldChar w:fldCharType="separate"/>
                          </w:r>
                          <w:r>
                            <w:t>199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SVju0AAAAAUBAAAPAAAA&#10;AAAAAAEAIAAAACIAAABkcnMvZG93bnJldi54bWxQSwECFAAUAAAACACHTuJAUJDl3R0CAAAlBAAA&#10;DgAAAAAAAAABACAAAAAfAQAAZHJzL2Uyb0RvYy54bWxQSwUGAAAAAAYABgBZAQAArgUAAAAA&#10;">
              <v:fill on="f" focussize="0,0"/>
              <v:stroke on="f" weight="0.5pt"/>
              <v:imagedata o:title=""/>
              <o:lock v:ext="edit" aspectratio="f"/>
              <v:textbox inset="0mm,0mm,0mm,0mm" style="mso-fit-shape-to-text:t;">
                <w:txbxContent>
                  <w:p>
                    <w:pPr>
                      <w:pStyle w:val="16"/>
                      <w:ind w:firstLine="360"/>
                    </w:pPr>
                    <w:r>
                      <w:fldChar w:fldCharType="begin"/>
                    </w:r>
                    <w:r>
                      <w:instrText xml:space="preserve"> PAGE  \* MERGEFORMAT </w:instrText>
                    </w:r>
                    <w:r>
                      <w:fldChar w:fldCharType="separate"/>
                    </w:r>
                    <w:r>
                      <w:t>199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ind w:firstLine="360"/>
      <w:rPr>
        <w:rStyle w:val="28"/>
      </w:rPr>
    </w:pPr>
    <w:r>
      <w:fldChar w:fldCharType="begin"/>
    </w:r>
    <w:r>
      <w:rPr>
        <w:rStyle w:val="28"/>
      </w:rPr>
      <w:instrText xml:space="preserve">PAGE  </w:instrText>
    </w:r>
    <w:r>
      <w:fldChar w:fldCharType="end"/>
    </w:r>
  </w:p>
  <w:p>
    <w:pPr>
      <w:pStyle w:val="16"/>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210"/>
      </w:tabs>
      <w:ind w:firstLine="360"/>
    </w:pPr>
    <w:r>
      <w:rPr>
        <w:rFonts w:hint="eastAsia"/>
      </w:rPr>
      <w:t>目  录</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210"/>
      </w:tabs>
      <w:ind w:firstLine="360"/>
    </w:pPr>
    <w:r>
      <w:rPr>
        <w:rFonts w:hint="eastAsia"/>
      </w:rPr>
      <w:t>第五章       环境质量影响预测与评价</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rPr>
        <w:rFonts w:hint="eastAsia" w:eastAsia="宋体"/>
        <w:lang w:eastAsia="zh-CN"/>
      </w:rPr>
    </w:pPr>
    <w:r>
      <w:rPr>
        <w:rFonts w:hint="eastAsia"/>
      </w:rPr>
      <w:t>第</w:t>
    </w:r>
    <w:r>
      <w:rPr>
        <w:rFonts w:hint="eastAsia"/>
        <w:lang w:eastAsia="zh-CN"/>
      </w:rPr>
      <w:t>六</w:t>
    </w:r>
    <w:r>
      <w:rPr>
        <w:rFonts w:hint="eastAsia"/>
      </w:rPr>
      <w:t xml:space="preserve">章  </w:t>
    </w:r>
    <w:r>
      <w:rPr>
        <w:rFonts w:hint="eastAsia"/>
        <w:lang w:eastAsia="zh-CN"/>
      </w:rPr>
      <w:t>防污减污措施评价</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r>
      <w:rPr>
        <w:rFonts w:hint="eastAsia"/>
      </w:rPr>
      <w:t>第七章  场址及总图布置可行性分析</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r>
      <w:rPr>
        <w:rFonts w:hint="eastAsia"/>
      </w:rPr>
      <w:t>第八章  环境经济损益分析</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r>
      <w:rPr>
        <w:rFonts w:hint="eastAsia"/>
      </w:rPr>
      <w:t>第九章  环境管理和监测计划</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r>
      <w:rPr>
        <w:rFonts w:hint="eastAsia"/>
      </w:rPr>
      <w:t>第十章  结论和建议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210"/>
      </w:tabs>
      <w:ind w:firstLine="360"/>
    </w:pPr>
    <w:r>
      <w:rPr>
        <w:rFonts w:hint="eastAsia"/>
      </w:rPr>
      <w:t>第一章       概述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210"/>
      </w:tabs>
      <w:ind w:firstLine="360"/>
    </w:pPr>
    <w:r>
      <w:rPr>
        <w:rFonts w:hint="eastAsia"/>
      </w:rPr>
      <w:t>第二章       总论</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210"/>
      </w:tabs>
      <w:ind w:firstLine="360"/>
    </w:pPr>
    <w:r>
      <w:rPr>
        <w:rFonts w:hint="eastAsia"/>
      </w:rPr>
      <w:t>第三章       工程分析</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210"/>
      </w:tabs>
      <w:ind w:firstLine="360"/>
    </w:pPr>
    <w:r>
      <w:rPr>
        <w:rFonts w:hint="eastAsia"/>
      </w:rPr>
      <w:t>第三章       工程分析</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210"/>
      </w:tabs>
      <w:ind w:firstLine="360"/>
    </w:pPr>
    <w:r>
      <w:rPr>
        <w:rFonts w:hint="eastAsia"/>
      </w:rPr>
      <w:t>第三章       工程分析</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210"/>
      </w:tabs>
      <w:ind w:firstLine="360"/>
    </w:pPr>
    <w:r>
      <w:rPr>
        <w:rFonts w:hint="eastAsia"/>
      </w:rPr>
      <w:t>第三章       工程分析</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210"/>
      </w:tabs>
      <w:ind w:firstLine="360"/>
    </w:pPr>
    <w:r>
      <w:rPr>
        <w:rFonts w:hint="eastAsia"/>
      </w:rPr>
      <w:t>第四章       区域环境概况及环境质量现状评价</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210"/>
      </w:tabs>
      <w:ind w:firstLine="360"/>
    </w:pPr>
    <w:r>
      <w:rPr>
        <w:rFonts w:hint="eastAsia"/>
      </w:rPr>
      <w:t>第四章       区域环境概况及环境质量现状评价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9FCC23"/>
    <w:multiLevelType w:val="singleLevel"/>
    <w:tmpl w:val="8A9FCC23"/>
    <w:lvl w:ilvl="0" w:tentative="0">
      <w:start w:val="2"/>
      <w:numFmt w:val="decimal"/>
      <w:suff w:val="nothing"/>
      <w:lvlText w:val="（%1）"/>
      <w:lvlJc w:val="left"/>
    </w:lvl>
  </w:abstractNum>
  <w:abstractNum w:abstractNumId="1">
    <w:nsid w:val="0000000B"/>
    <w:multiLevelType w:val="singleLevel"/>
    <w:tmpl w:val="0000000B"/>
    <w:lvl w:ilvl="0" w:tentative="0">
      <w:start w:val="3"/>
      <w:numFmt w:val="decimal"/>
      <w:suff w:val="nothing"/>
      <w:lvlText w:val="（%1）"/>
      <w:lvlJc w:val="left"/>
      <w:rPr>
        <w:rFonts w:cs="Times New Roman"/>
        <w:color w:val="auto"/>
      </w:rPr>
    </w:lvl>
  </w:abstractNum>
  <w:abstractNum w:abstractNumId="2">
    <w:nsid w:val="11E35998"/>
    <w:multiLevelType w:val="multilevel"/>
    <w:tmpl w:val="11E35998"/>
    <w:lvl w:ilvl="0" w:tentative="0">
      <w:start w:val="1"/>
      <w:numFmt w:val="decimal"/>
      <w:lvlText w:val="表2.5-%1   "/>
      <w:lvlJc w:val="center"/>
      <w:pPr>
        <w:ind w:left="2405" w:hanging="420"/>
      </w:pPr>
      <w:rPr>
        <w:rFonts w:hint="default" w:ascii="Times New Roman" w:hAnsi="Times New Roman" w:eastAsia="宋体"/>
        <w:b/>
        <w:i w:val="0"/>
        <w:color w:val="00000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0DA3062"/>
    <w:multiLevelType w:val="multilevel"/>
    <w:tmpl w:val="40DA3062"/>
    <w:lvl w:ilvl="0" w:tentative="0">
      <w:start w:val="1"/>
      <w:numFmt w:val="decimal"/>
      <w:lvlText w:val="表2.6-%1   "/>
      <w:lvlJc w:val="center"/>
      <w:pPr>
        <w:ind w:left="2405" w:hanging="420"/>
      </w:pPr>
      <w:rPr>
        <w:rFonts w:hint="default" w:ascii="Times New Roman" w:hAnsi="Times New Roman" w:eastAsia="宋体"/>
        <w:b/>
        <w:i w:val="0"/>
        <w:color w:val="00000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52A202B"/>
    <w:multiLevelType w:val="multilevel"/>
    <w:tmpl w:val="452A202B"/>
    <w:lvl w:ilvl="0" w:tentative="0">
      <w:start w:val="1"/>
      <w:numFmt w:val="decimal"/>
      <w:lvlText w:val="表6.2-%1   "/>
      <w:lvlJc w:val="center"/>
      <w:pPr>
        <w:ind w:left="1000" w:hanging="720"/>
      </w:pPr>
      <w:rPr>
        <w:rFonts w:hint="default" w:ascii="Times New Roman" w:hAnsi="Times New Roman" w:eastAsia="宋体"/>
        <w:b/>
        <w:i w:val="0"/>
        <w:color w:val="000000"/>
        <w:sz w:val="21"/>
        <w:szCs w:val="21"/>
        <w:lang w:val="en-US"/>
      </w:rPr>
    </w:lvl>
    <w:lvl w:ilvl="1" w:tentative="0">
      <w:start w:val="1"/>
      <w:numFmt w:val="lowerLetter"/>
      <w:lvlText w:val="%2)"/>
      <w:lvlJc w:val="left"/>
      <w:pPr>
        <w:ind w:left="1120" w:hanging="420"/>
      </w:pPr>
    </w:lvl>
    <w:lvl w:ilvl="2" w:tentative="0">
      <w:start w:val="1"/>
      <w:numFmt w:val="lowerRoman"/>
      <w:lvlText w:val="%3."/>
      <w:lvlJc w:val="right"/>
      <w:pPr>
        <w:ind w:left="1540" w:hanging="420"/>
      </w:pPr>
    </w:lvl>
    <w:lvl w:ilvl="3" w:tentative="0">
      <w:start w:val="1"/>
      <w:numFmt w:val="decimal"/>
      <w:lvlText w:val="%4."/>
      <w:lvlJc w:val="left"/>
      <w:pPr>
        <w:ind w:left="1960" w:hanging="420"/>
      </w:pPr>
    </w:lvl>
    <w:lvl w:ilvl="4" w:tentative="0">
      <w:start w:val="1"/>
      <w:numFmt w:val="lowerLetter"/>
      <w:lvlText w:val="%5)"/>
      <w:lvlJc w:val="left"/>
      <w:pPr>
        <w:ind w:left="2380" w:hanging="420"/>
      </w:pPr>
    </w:lvl>
    <w:lvl w:ilvl="5" w:tentative="0">
      <w:start w:val="1"/>
      <w:numFmt w:val="lowerRoman"/>
      <w:lvlText w:val="%6."/>
      <w:lvlJc w:val="right"/>
      <w:pPr>
        <w:ind w:left="2800" w:hanging="420"/>
      </w:pPr>
    </w:lvl>
    <w:lvl w:ilvl="6" w:tentative="0">
      <w:start w:val="1"/>
      <w:numFmt w:val="decimal"/>
      <w:lvlText w:val="%7."/>
      <w:lvlJc w:val="left"/>
      <w:pPr>
        <w:ind w:left="3220" w:hanging="420"/>
      </w:pPr>
    </w:lvl>
    <w:lvl w:ilvl="7" w:tentative="0">
      <w:start w:val="1"/>
      <w:numFmt w:val="lowerLetter"/>
      <w:lvlText w:val="%8)"/>
      <w:lvlJc w:val="left"/>
      <w:pPr>
        <w:ind w:left="3640" w:hanging="420"/>
      </w:pPr>
    </w:lvl>
    <w:lvl w:ilvl="8" w:tentative="0">
      <w:start w:val="1"/>
      <w:numFmt w:val="lowerRoman"/>
      <w:lvlText w:val="%9."/>
      <w:lvlJc w:val="right"/>
      <w:pPr>
        <w:ind w:left="4060" w:hanging="420"/>
      </w:pPr>
    </w:lvl>
  </w:abstractNum>
  <w:abstractNum w:abstractNumId="5">
    <w:nsid w:val="562D86C5"/>
    <w:multiLevelType w:val="singleLevel"/>
    <w:tmpl w:val="562D86C5"/>
    <w:lvl w:ilvl="0" w:tentative="0">
      <w:start w:val="1"/>
      <w:numFmt w:val="decimal"/>
      <w:suff w:val="nothing"/>
      <w:lvlText w:val="（%1）"/>
      <w:lvlJc w:val="left"/>
    </w:lvl>
  </w:abstractNum>
  <w:abstractNum w:abstractNumId="6">
    <w:nsid w:val="562D880D"/>
    <w:multiLevelType w:val="singleLevel"/>
    <w:tmpl w:val="562D880D"/>
    <w:lvl w:ilvl="0" w:tentative="0">
      <w:start w:val="1"/>
      <w:numFmt w:val="decimal"/>
      <w:suff w:val="nothing"/>
      <w:lvlText w:val="（%1）"/>
      <w:lvlJc w:val="left"/>
    </w:lvl>
  </w:abstractNum>
  <w:abstractNum w:abstractNumId="7">
    <w:nsid w:val="59487B13"/>
    <w:multiLevelType w:val="multilevel"/>
    <w:tmpl w:val="59487B13"/>
    <w:lvl w:ilvl="0" w:tentative="0">
      <w:start w:val="1"/>
      <w:numFmt w:val="decimal"/>
      <w:lvlText w:val="表2.4-%1   "/>
      <w:lvlJc w:val="center"/>
      <w:pPr>
        <w:ind w:left="420" w:hanging="420"/>
      </w:pPr>
      <w:rPr>
        <w:rFonts w:hint="default" w:ascii="Times New Roman" w:hAnsi="Times New Roman" w:eastAsia="宋体"/>
        <w:b/>
        <w:i w:val="0"/>
        <w:color w:val="00000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A66FD32"/>
    <w:multiLevelType w:val="singleLevel"/>
    <w:tmpl w:val="5A66FD32"/>
    <w:lvl w:ilvl="0" w:tentative="0">
      <w:start w:val="1"/>
      <w:numFmt w:val="decimal"/>
      <w:suff w:val="nothing"/>
      <w:lvlText w:val="（%1）"/>
      <w:lvlJc w:val="left"/>
    </w:lvl>
  </w:abstractNum>
  <w:abstractNum w:abstractNumId="9">
    <w:nsid w:val="64F31316"/>
    <w:multiLevelType w:val="multilevel"/>
    <w:tmpl w:val="64F31316"/>
    <w:lvl w:ilvl="0" w:tentative="0">
      <w:start w:val="1"/>
      <w:numFmt w:val="decimal"/>
      <w:pStyle w:val="42"/>
      <w:lvlText w:val="表4-%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67EA4D3A"/>
    <w:multiLevelType w:val="multilevel"/>
    <w:tmpl w:val="67EA4D3A"/>
    <w:lvl w:ilvl="0" w:tentative="0">
      <w:start w:val="1"/>
      <w:numFmt w:val="bullet"/>
      <w:pStyle w:val="7"/>
      <w:lvlText w:val=""/>
      <w:lvlJc w:val="left"/>
      <w:pPr>
        <w:tabs>
          <w:tab w:val="left" w:pos="482"/>
        </w:tabs>
        <w:ind w:left="0" w:firstLine="48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72C1218C"/>
    <w:multiLevelType w:val="multilevel"/>
    <w:tmpl w:val="72C1218C"/>
    <w:lvl w:ilvl="0" w:tentative="0">
      <w:start w:val="1"/>
      <w:numFmt w:val="decimal"/>
      <w:lvlText w:val="表2.3-%1   "/>
      <w:lvlJc w:val="center"/>
      <w:pPr>
        <w:ind w:left="420" w:hanging="420"/>
      </w:pPr>
      <w:rPr>
        <w:rFonts w:hint="default" w:ascii="Times New Roman" w:hAnsi="Times New Roman" w:eastAsia="宋体"/>
        <w:b/>
        <w:i w:val="0"/>
        <w:color w:val="00000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E141107"/>
    <w:multiLevelType w:val="multilevel"/>
    <w:tmpl w:val="7E141107"/>
    <w:lvl w:ilvl="0" w:tentative="0">
      <w:start w:val="1"/>
      <w:numFmt w:val="decimal"/>
      <w:lvlText w:val="表5.3-%1   "/>
      <w:lvlJc w:val="center"/>
      <w:pPr>
        <w:ind w:left="420" w:hanging="420"/>
      </w:pPr>
      <w:rPr>
        <w:rFonts w:hint="default" w:ascii="Times New Roman" w:hAnsi="Times New Roman" w:eastAsia="宋体"/>
        <w:b/>
        <w:i w:val="0"/>
        <w:color w:val="000000"/>
        <w:sz w:val="21"/>
        <w:szCs w:val="21"/>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10"/>
  </w:num>
  <w:num w:numId="2">
    <w:abstractNumId w:val="9"/>
  </w:num>
  <w:num w:numId="3">
    <w:abstractNumId w:val="11"/>
  </w:num>
  <w:num w:numId="4">
    <w:abstractNumId w:val="7"/>
  </w:num>
  <w:num w:numId="5">
    <w:abstractNumId w:val="2"/>
  </w:num>
  <w:num w:numId="6">
    <w:abstractNumId w:val="3"/>
  </w:num>
  <w:num w:numId="7">
    <w:abstractNumId w:val="1"/>
  </w:num>
  <w:num w:numId="8">
    <w:abstractNumId w:val="0"/>
  </w:num>
  <w:num w:numId="9">
    <w:abstractNumId w:val="12"/>
  </w:num>
  <w:num w:numId="10">
    <w:abstractNumId w:val="5"/>
  </w:num>
  <w:num w:numId="11">
    <w:abstractNumId w:val="6"/>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5EB1487"/>
    <w:rsid w:val="000716B4"/>
    <w:rsid w:val="001751EB"/>
    <w:rsid w:val="001C590E"/>
    <w:rsid w:val="001E6CEB"/>
    <w:rsid w:val="002922A0"/>
    <w:rsid w:val="005B2E8D"/>
    <w:rsid w:val="00661369"/>
    <w:rsid w:val="006B270E"/>
    <w:rsid w:val="006D3600"/>
    <w:rsid w:val="006D46EB"/>
    <w:rsid w:val="00732474"/>
    <w:rsid w:val="008445C1"/>
    <w:rsid w:val="00914676"/>
    <w:rsid w:val="009A17AE"/>
    <w:rsid w:val="009B1BE0"/>
    <w:rsid w:val="009D4C49"/>
    <w:rsid w:val="009E1F03"/>
    <w:rsid w:val="00AB6263"/>
    <w:rsid w:val="00AE372A"/>
    <w:rsid w:val="00C67315"/>
    <w:rsid w:val="00D57836"/>
    <w:rsid w:val="00E063A7"/>
    <w:rsid w:val="00FF7584"/>
    <w:rsid w:val="01502BE1"/>
    <w:rsid w:val="01514344"/>
    <w:rsid w:val="016A095F"/>
    <w:rsid w:val="0176104C"/>
    <w:rsid w:val="019A44A4"/>
    <w:rsid w:val="01D40E75"/>
    <w:rsid w:val="01FE45B5"/>
    <w:rsid w:val="02496F40"/>
    <w:rsid w:val="02697F93"/>
    <w:rsid w:val="02DD34BE"/>
    <w:rsid w:val="030D6D31"/>
    <w:rsid w:val="031208C0"/>
    <w:rsid w:val="03840C03"/>
    <w:rsid w:val="0391001F"/>
    <w:rsid w:val="03983732"/>
    <w:rsid w:val="03CD14B1"/>
    <w:rsid w:val="0407468B"/>
    <w:rsid w:val="041907B6"/>
    <w:rsid w:val="0431791A"/>
    <w:rsid w:val="05551B41"/>
    <w:rsid w:val="05A63BA7"/>
    <w:rsid w:val="05C32ED3"/>
    <w:rsid w:val="05C850AD"/>
    <w:rsid w:val="05F335CA"/>
    <w:rsid w:val="062673A3"/>
    <w:rsid w:val="06681A01"/>
    <w:rsid w:val="06AD60B5"/>
    <w:rsid w:val="06B35F19"/>
    <w:rsid w:val="06F373BC"/>
    <w:rsid w:val="06F73CA9"/>
    <w:rsid w:val="070060E3"/>
    <w:rsid w:val="074358D5"/>
    <w:rsid w:val="07A02736"/>
    <w:rsid w:val="07A9446D"/>
    <w:rsid w:val="08106CA3"/>
    <w:rsid w:val="08250476"/>
    <w:rsid w:val="085C74B8"/>
    <w:rsid w:val="087E3B73"/>
    <w:rsid w:val="0882757D"/>
    <w:rsid w:val="08BA60F9"/>
    <w:rsid w:val="08E72F25"/>
    <w:rsid w:val="091911DC"/>
    <w:rsid w:val="09610A15"/>
    <w:rsid w:val="09704DDC"/>
    <w:rsid w:val="09B3481F"/>
    <w:rsid w:val="0A023150"/>
    <w:rsid w:val="0A24042F"/>
    <w:rsid w:val="0A342606"/>
    <w:rsid w:val="0A7D35FD"/>
    <w:rsid w:val="0AF00773"/>
    <w:rsid w:val="0B082213"/>
    <w:rsid w:val="0B167DFB"/>
    <w:rsid w:val="0B3936ED"/>
    <w:rsid w:val="0B4555AE"/>
    <w:rsid w:val="0B4E37DB"/>
    <w:rsid w:val="0BB25809"/>
    <w:rsid w:val="0BDB48E6"/>
    <w:rsid w:val="0BE83CEC"/>
    <w:rsid w:val="0C3F29F9"/>
    <w:rsid w:val="0C6C0199"/>
    <w:rsid w:val="0CBF79C8"/>
    <w:rsid w:val="0D4E342F"/>
    <w:rsid w:val="0DA970D6"/>
    <w:rsid w:val="0DAB7B41"/>
    <w:rsid w:val="0DC36916"/>
    <w:rsid w:val="0DCF0D43"/>
    <w:rsid w:val="0DDA5DC9"/>
    <w:rsid w:val="0E257724"/>
    <w:rsid w:val="0E2829F4"/>
    <w:rsid w:val="0E435E31"/>
    <w:rsid w:val="0E714B3F"/>
    <w:rsid w:val="0EA0389F"/>
    <w:rsid w:val="0EB45277"/>
    <w:rsid w:val="0F4C3D68"/>
    <w:rsid w:val="10106D3A"/>
    <w:rsid w:val="10254D40"/>
    <w:rsid w:val="10FD75DA"/>
    <w:rsid w:val="11434912"/>
    <w:rsid w:val="114F1F91"/>
    <w:rsid w:val="115924E4"/>
    <w:rsid w:val="11776C9D"/>
    <w:rsid w:val="118E0474"/>
    <w:rsid w:val="119F317D"/>
    <w:rsid w:val="12007AF5"/>
    <w:rsid w:val="122E556A"/>
    <w:rsid w:val="12337631"/>
    <w:rsid w:val="12363B0E"/>
    <w:rsid w:val="134B347E"/>
    <w:rsid w:val="14036112"/>
    <w:rsid w:val="15121859"/>
    <w:rsid w:val="151B0E77"/>
    <w:rsid w:val="153B0EDB"/>
    <w:rsid w:val="159723FE"/>
    <w:rsid w:val="15980165"/>
    <w:rsid w:val="15BF4267"/>
    <w:rsid w:val="15EA273E"/>
    <w:rsid w:val="15F84F9C"/>
    <w:rsid w:val="16D01E11"/>
    <w:rsid w:val="170537F9"/>
    <w:rsid w:val="17B16183"/>
    <w:rsid w:val="17C87DCD"/>
    <w:rsid w:val="180E2BA9"/>
    <w:rsid w:val="182E6A75"/>
    <w:rsid w:val="184A55E9"/>
    <w:rsid w:val="189416CC"/>
    <w:rsid w:val="195643A9"/>
    <w:rsid w:val="19A062CA"/>
    <w:rsid w:val="1A53287C"/>
    <w:rsid w:val="1AC046E2"/>
    <w:rsid w:val="1B681529"/>
    <w:rsid w:val="1B830A82"/>
    <w:rsid w:val="1B923208"/>
    <w:rsid w:val="1C053884"/>
    <w:rsid w:val="1C1A3073"/>
    <w:rsid w:val="1CDA423F"/>
    <w:rsid w:val="1CFA47CD"/>
    <w:rsid w:val="1D284CFF"/>
    <w:rsid w:val="1D356D44"/>
    <w:rsid w:val="1D6A5880"/>
    <w:rsid w:val="1D6C0C14"/>
    <w:rsid w:val="1DFE68F8"/>
    <w:rsid w:val="1E277797"/>
    <w:rsid w:val="1E4F2416"/>
    <w:rsid w:val="1E5A4D20"/>
    <w:rsid w:val="1E6F7625"/>
    <w:rsid w:val="1ECF3DE8"/>
    <w:rsid w:val="1EDA3581"/>
    <w:rsid w:val="1F975A4F"/>
    <w:rsid w:val="1F986056"/>
    <w:rsid w:val="1FD313F0"/>
    <w:rsid w:val="2046393C"/>
    <w:rsid w:val="20B62B74"/>
    <w:rsid w:val="20CE2269"/>
    <w:rsid w:val="20D52BD0"/>
    <w:rsid w:val="20F3749D"/>
    <w:rsid w:val="21042C3E"/>
    <w:rsid w:val="22812043"/>
    <w:rsid w:val="229F3EEB"/>
    <w:rsid w:val="22EB78C2"/>
    <w:rsid w:val="23676708"/>
    <w:rsid w:val="237A5EF5"/>
    <w:rsid w:val="23AC6A16"/>
    <w:rsid w:val="24461744"/>
    <w:rsid w:val="245701D8"/>
    <w:rsid w:val="24BB5669"/>
    <w:rsid w:val="25670A97"/>
    <w:rsid w:val="25AB7ADA"/>
    <w:rsid w:val="25D77451"/>
    <w:rsid w:val="2610023B"/>
    <w:rsid w:val="265B47D4"/>
    <w:rsid w:val="26680071"/>
    <w:rsid w:val="267F18E2"/>
    <w:rsid w:val="26D002EA"/>
    <w:rsid w:val="28083C53"/>
    <w:rsid w:val="286A3E21"/>
    <w:rsid w:val="28970B78"/>
    <w:rsid w:val="2908103F"/>
    <w:rsid w:val="2943667B"/>
    <w:rsid w:val="29541513"/>
    <w:rsid w:val="299045B0"/>
    <w:rsid w:val="29E722F6"/>
    <w:rsid w:val="2A223502"/>
    <w:rsid w:val="2A4D3DDB"/>
    <w:rsid w:val="2AAF0A83"/>
    <w:rsid w:val="2AD85138"/>
    <w:rsid w:val="2BF820A9"/>
    <w:rsid w:val="2C00003F"/>
    <w:rsid w:val="2CA72153"/>
    <w:rsid w:val="2CB206DC"/>
    <w:rsid w:val="2CBA61A9"/>
    <w:rsid w:val="2D4D5825"/>
    <w:rsid w:val="2D593A86"/>
    <w:rsid w:val="2DF57DE3"/>
    <w:rsid w:val="2E5465F8"/>
    <w:rsid w:val="2EA45F17"/>
    <w:rsid w:val="2EE15CBF"/>
    <w:rsid w:val="2F0D1067"/>
    <w:rsid w:val="2F482939"/>
    <w:rsid w:val="2F540A2C"/>
    <w:rsid w:val="30941D83"/>
    <w:rsid w:val="30E933D7"/>
    <w:rsid w:val="30ED033D"/>
    <w:rsid w:val="30F0348E"/>
    <w:rsid w:val="31372B72"/>
    <w:rsid w:val="31701585"/>
    <w:rsid w:val="31CB1B77"/>
    <w:rsid w:val="323A0065"/>
    <w:rsid w:val="32BA331A"/>
    <w:rsid w:val="32C503E1"/>
    <w:rsid w:val="32E972E5"/>
    <w:rsid w:val="330B2DF0"/>
    <w:rsid w:val="33487823"/>
    <w:rsid w:val="339B4C2A"/>
    <w:rsid w:val="343D40BF"/>
    <w:rsid w:val="345D34D3"/>
    <w:rsid w:val="34C66B85"/>
    <w:rsid w:val="34D11AFA"/>
    <w:rsid w:val="350A3AC5"/>
    <w:rsid w:val="35C1261E"/>
    <w:rsid w:val="369412F3"/>
    <w:rsid w:val="36CE3D25"/>
    <w:rsid w:val="37916C1A"/>
    <w:rsid w:val="38175D61"/>
    <w:rsid w:val="38AC02B0"/>
    <w:rsid w:val="391B62B2"/>
    <w:rsid w:val="39526E6B"/>
    <w:rsid w:val="39547A44"/>
    <w:rsid w:val="396E1813"/>
    <w:rsid w:val="3A1376F1"/>
    <w:rsid w:val="3A1E6F8F"/>
    <w:rsid w:val="3A5119B1"/>
    <w:rsid w:val="3C463907"/>
    <w:rsid w:val="3C760B43"/>
    <w:rsid w:val="3C945A57"/>
    <w:rsid w:val="3D9B1997"/>
    <w:rsid w:val="3DBF6C78"/>
    <w:rsid w:val="3DE76570"/>
    <w:rsid w:val="3DEE6B06"/>
    <w:rsid w:val="3E1F03E5"/>
    <w:rsid w:val="3EBA7253"/>
    <w:rsid w:val="3ED73C53"/>
    <w:rsid w:val="3EFB0CEE"/>
    <w:rsid w:val="3F3853F7"/>
    <w:rsid w:val="3F3E7BD4"/>
    <w:rsid w:val="3F643FBF"/>
    <w:rsid w:val="3F777942"/>
    <w:rsid w:val="3FD42A1F"/>
    <w:rsid w:val="3FD74F12"/>
    <w:rsid w:val="3FF6004F"/>
    <w:rsid w:val="40413D19"/>
    <w:rsid w:val="407C7D92"/>
    <w:rsid w:val="409A1AF3"/>
    <w:rsid w:val="40AC3FE6"/>
    <w:rsid w:val="40BD0933"/>
    <w:rsid w:val="4126528D"/>
    <w:rsid w:val="415D5D8B"/>
    <w:rsid w:val="419B4D21"/>
    <w:rsid w:val="41D57083"/>
    <w:rsid w:val="41E4017D"/>
    <w:rsid w:val="420F78F4"/>
    <w:rsid w:val="42327ED6"/>
    <w:rsid w:val="42752821"/>
    <w:rsid w:val="4289479B"/>
    <w:rsid w:val="42AD274C"/>
    <w:rsid w:val="4314197E"/>
    <w:rsid w:val="435749B6"/>
    <w:rsid w:val="43AB705E"/>
    <w:rsid w:val="43BA08C8"/>
    <w:rsid w:val="44077824"/>
    <w:rsid w:val="449B0600"/>
    <w:rsid w:val="44CC48CC"/>
    <w:rsid w:val="45733C60"/>
    <w:rsid w:val="458254AA"/>
    <w:rsid w:val="45D62EB6"/>
    <w:rsid w:val="45E86790"/>
    <w:rsid w:val="45F74CB4"/>
    <w:rsid w:val="4648166F"/>
    <w:rsid w:val="46C47598"/>
    <w:rsid w:val="46D7652E"/>
    <w:rsid w:val="46E22A14"/>
    <w:rsid w:val="471F152D"/>
    <w:rsid w:val="47267401"/>
    <w:rsid w:val="4758142E"/>
    <w:rsid w:val="479E3B2A"/>
    <w:rsid w:val="47AB01EA"/>
    <w:rsid w:val="481E7869"/>
    <w:rsid w:val="48476B25"/>
    <w:rsid w:val="48583C30"/>
    <w:rsid w:val="48E72F76"/>
    <w:rsid w:val="490B6F4A"/>
    <w:rsid w:val="493E2876"/>
    <w:rsid w:val="49673EE1"/>
    <w:rsid w:val="496F6797"/>
    <w:rsid w:val="49987195"/>
    <w:rsid w:val="4A317567"/>
    <w:rsid w:val="4B441823"/>
    <w:rsid w:val="4BBA225E"/>
    <w:rsid w:val="4C067026"/>
    <w:rsid w:val="4C637BE2"/>
    <w:rsid w:val="4C8F2972"/>
    <w:rsid w:val="4CB93F44"/>
    <w:rsid w:val="4CDC04F2"/>
    <w:rsid w:val="4D113FBA"/>
    <w:rsid w:val="4D14352B"/>
    <w:rsid w:val="4D1F76E7"/>
    <w:rsid w:val="4D4962F2"/>
    <w:rsid w:val="4D8149F5"/>
    <w:rsid w:val="4DC564EE"/>
    <w:rsid w:val="4DDB60C5"/>
    <w:rsid w:val="4E2E50AB"/>
    <w:rsid w:val="4EF020BE"/>
    <w:rsid w:val="4EFA08B4"/>
    <w:rsid w:val="4F083676"/>
    <w:rsid w:val="4F7F77EA"/>
    <w:rsid w:val="50016063"/>
    <w:rsid w:val="50530772"/>
    <w:rsid w:val="50C64DEC"/>
    <w:rsid w:val="51242EF0"/>
    <w:rsid w:val="512A6D71"/>
    <w:rsid w:val="516E068C"/>
    <w:rsid w:val="51A45746"/>
    <w:rsid w:val="51C537FF"/>
    <w:rsid w:val="52737738"/>
    <w:rsid w:val="52896D70"/>
    <w:rsid w:val="53910EEC"/>
    <w:rsid w:val="54462A43"/>
    <w:rsid w:val="548A4EF4"/>
    <w:rsid w:val="54EF5720"/>
    <w:rsid w:val="54F8365E"/>
    <w:rsid w:val="55814760"/>
    <w:rsid w:val="55C73A9F"/>
    <w:rsid w:val="56137282"/>
    <w:rsid w:val="56EF446E"/>
    <w:rsid w:val="5716555F"/>
    <w:rsid w:val="571F408A"/>
    <w:rsid w:val="57755CEB"/>
    <w:rsid w:val="57E049F2"/>
    <w:rsid w:val="57E27E9C"/>
    <w:rsid w:val="58027F13"/>
    <w:rsid w:val="5874501F"/>
    <w:rsid w:val="58A47255"/>
    <w:rsid w:val="58E867BA"/>
    <w:rsid w:val="58FA71B4"/>
    <w:rsid w:val="597C4A0C"/>
    <w:rsid w:val="59AA5EBF"/>
    <w:rsid w:val="59E6298C"/>
    <w:rsid w:val="5AF52978"/>
    <w:rsid w:val="5B080166"/>
    <w:rsid w:val="5B782382"/>
    <w:rsid w:val="5BB80ACF"/>
    <w:rsid w:val="5C433416"/>
    <w:rsid w:val="5D1901F4"/>
    <w:rsid w:val="5DA1618F"/>
    <w:rsid w:val="5DF71BD0"/>
    <w:rsid w:val="5EB277EA"/>
    <w:rsid w:val="5ED2314E"/>
    <w:rsid w:val="5F1731A3"/>
    <w:rsid w:val="5F3513E8"/>
    <w:rsid w:val="5F6F6EA8"/>
    <w:rsid w:val="5F7C2E44"/>
    <w:rsid w:val="5F854A71"/>
    <w:rsid w:val="5F875C18"/>
    <w:rsid w:val="5FFE39B9"/>
    <w:rsid w:val="600F38DD"/>
    <w:rsid w:val="605521D7"/>
    <w:rsid w:val="60D27D6A"/>
    <w:rsid w:val="60E7733E"/>
    <w:rsid w:val="61031B47"/>
    <w:rsid w:val="611D7D88"/>
    <w:rsid w:val="61FE0E66"/>
    <w:rsid w:val="621D4D59"/>
    <w:rsid w:val="62571CEC"/>
    <w:rsid w:val="628E6B39"/>
    <w:rsid w:val="62D73B1B"/>
    <w:rsid w:val="63A75B11"/>
    <w:rsid w:val="63AB2963"/>
    <w:rsid w:val="63EB2A6D"/>
    <w:rsid w:val="64133811"/>
    <w:rsid w:val="647B70BB"/>
    <w:rsid w:val="648277C0"/>
    <w:rsid w:val="656F59C4"/>
    <w:rsid w:val="6580399E"/>
    <w:rsid w:val="65E93651"/>
    <w:rsid w:val="65EB1487"/>
    <w:rsid w:val="660E67D6"/>
    <w:rsid w:val="668131E8"/>
    <w:rsid w:val="669F61E0"/>
    <w:rsid w:val="66FB4DE1"/>
    <w:rsid w:val="678E5DAB"/>
    <w:rsid w:val="67BD1247"/>
    <w:rsid w:val="68281C5E"/>
    <w:rsid w:val="68DC72D6"/>
    <w:rsid w:val="68E53114"/>
    <w:rsid w:val="68EC6D45"/>
    <w:rsid w:val="69232486"/>
    <w:rsid w:val="69922727"/>
    <w:rsid w:val="69C04274"/>
    <w:rsid w:val="6A1A25DD"/>
    <w:rsid w:val="6AA27875"/>
    <w:rsid w:val="6AFA17BF"/>
    <w:rsid w:val="6AFD5847"/>
    <w:rsid w:val="6B500A0D"/>
    <w:rsid w:val="6B512477"/>
    <w:rsid w:val="6B7B6B6A"/>
    <w:rsid w:val="6B7D63DC"/>
    <w:rsid w:val="6BD76A9E"/>
    <w:rsid w:val="6BED15D0"/>
    <w:rsid w:val="6D0975B3"/>
    <w:rsid w:val="6D0C2FEF"/>
    <w:rsid w:val="6D171A09"/>
    <w:rsid w:val="6D2E3973"/>
    <w:rsid w:val="6D6757D5"/>
    <w:rsid w:val="6D7062FA"/>
    <w:rsid w:val="6DA06BA8"/>
    <w:rsid w:val="6DB06DC7"/>
    <w:rsid w:val="6E284EC5"/>
    <w:rsid w:val="6E614682"/>
    <w:rsid w:val="6E820A38"/>
    <w:rsid w:val="6F16553A"/>
    <w:rsid w:val="6F515056"/>
    <w:rsid w:val="70124BA3"/>
    <w:rsid w:val="701B5D32"/>
    <w:rsid w:val="706943B2"/>
    <w:rsid w:val="70B86FA2"/>
    <w:rsid w:val="70D416C4"/>
    <w:rsid w:val="71192EAF"/>
    <w:rsid w:val="71231A85"/>
    <w:rsid w:val="71451CE5"/>
    <w:rsid w:val="71813A00"/>
    <w:rsid w:val="71AE78AE"/>
    <w:rsid w:val="72314EE7"/>
    <w:rsid w:val="72505654"/>
    <w:rsid w:val="72B55A47"/>
    <w:rsid w:val="72D17E98"/>
    <w:rsid w:val="72F67C15"/>
    <w:rsid w:val="73104EA7"/>
    <w:rsid w:val="738C4BF9"/>
    <w:rsid w:val="73927C42"/>
    <w:rsid w:val="73AD0578"/>
    <w:rsid w:val="73AE35F7"/>
    <w:rsid w:val="748013F1"/>
    <w:rsid w:val="74C23261"/>
    <w:rsid w:val="74FF4B50"/>
    <w:rsid w:val="753A6C8C"/>
    <w:rsid w:val="757636AA"/>
    <w:rsid w:val="757E4F46"/>
    <w:rsid w:val="75BC47FA"/>
    <w:rsid w:val="76151B39"/>
    <w:rsid w:val="762B3E61"/>
    <w:rsid w:val="767A1BED"/>
    <w:rsid w:val="76E77953"/>
    <w:rsid w:val="77C11E6D"/>
    <w:rsid w:val="78737FA1"/>
    <w:rsid w:val="78F10461"/>
    <w:rsid w:val="791A0A61"/>
    <w:rsid w:val="79843831"/>
    <w:rsid w:val="798726C1"/>
    <w:rsid w:val="79D95D93"/>
    <w:rsid w:val="7A804252"/>
    <w:rsid w:val="7AB46198"/>
    <w:rsid w:val="7BA5133D"/>
    <w:rsid w:val="7BA7057D"/>
    <w:rsid w:val="7C1162DB"/>
    <w:rsid w:val="7C1179F4"/>
    <w:rsid w:val="7C4A0196"/>
    <w:rsid w:val="7D5B2F63"/>
    <w:rsid w:val="7DEB08CE"/>
    <w:rsid w:val="7E1F3F7F"/>
    <w:rsid w:val="7E445B0A"/>
    <w:rsid w:val="7E4E022A"/>
    <w:rsid w:val="7E563A5A"/>
    <w:rsid w:val="7E817FE3"/>
    <w:rsid w:val="7EC54687"/>
    <w:rsid w:val="7EEF6EE1"/>
    <w:rsid w:val="7F3A769A"/>
    <w:rsid w:val="7F4E5E2A"/>
    <w:rsid w:val="7FD61766"/>
    <w:rsid w:val="7FD928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0"/>
    <w:pPr>
      <w:keepNext/>
      <w:keepLines/>
      <w:spacing w:before="340" w:after="240" w:line="578" w:lineRule="auto"/>
      <w:jc w:val="center"/>
      <w:outlineLvl w:val="0"/>
    </w:pPr>
    <w:rPr>
      <w:rFonts w:eastAsia="黑体"/>
      <w:bCs/>
      <w:kern w:val="44"/>
      <w:sz w:val="42"/>
      <w:szCs w:val="42"/>
    </w:rPr>
  </w:style>
  <w:style w:type="paragraph" w:styleId="4">
    <w:name w:val="heading 2"/>
    <w:basedOn w:val="1"/>
    <w:next w:val="1"/>
    <w:qFormat/>
    <w:uiPriority w:val="0"/>
    <w:pPr>
      <w:keepNext/>
      <w:keepLines/>
      <w:spacing w:before="260" w:after="260"/>
      <w:outlineLvl w:val="1"/>
    </w:pPr>
    <w:rPr>
      <w:rFonts w:ascii="Arial" w:hAnsi="Arial" w:eastAsia="黑体"/>
      <w:bCs/>
      <w:sz w:val="42"/>
      <w:szCs w:val="32"/>
    </w:rPr>
  </w:style>
  <w:style w:type="paragraph" w:styleId="5">
    <w:name w:val="heading 3"/>
    <w:basedOn w:val="1"/>
    <w:next w:val="1"/>
    <w:qFormat/>
    <w:uiPriority w:val="0"/>
    <w:pPr>
      <w:keepNext/>
      <w:keepLines/>
      <w:ind w:firstLine="0" w:firstLineChars="0"/>
      <w:outlineLvl w:val="2"/>
    </w:pPr>
    <w:rPr>
      <w:rFonts w:eastAsia="黑体"/>
      <w:lang w:val="en-GB"/>
    </w:rPr>
  </w:style>
  <w:style w:type="paragraph" w:styleId="6">
    <w:name w:val="heading 4"/>
    <w:basedOn w:val="1"/>
    <w:next w:val="7"/>
    <w:qFormat/>
    <w:uiPriority w:val="0"/>
    <w:pPr>
      <w:keepNext/>
      <w:keepLines/>
      <w:tabs>
        <w:tab w:val="left" w:pos="330"/>
      </w:tabs>
      <w:spacing w:before="80" w:after="80"/>
      <w:ind w:firstLine="200" w:firstLineChars="200"/>
      <w:outlineLvl w:val="3"/>
    </w:pPr>
    <w:rPr>
      <w:bCs/>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lock Text"/>
    <w:basedOn w:val="1"/>
    <w:qFormat/>
    <w:uiPriority w:val="0"/>
    <w:pPr>
      <w:spacing w:after="120"/>
      <w:ind w:left="1440" w:leftChars="700" w:right="1440" w:rightChars="700"/>
    </w:pPr>
  </w:style>
  <w:style w:type="paragraph" w:styleId="7">
    <w:name w:val="Normal Indent"/>
    <w:basedOn w:val="1"/>
    <w:next w:val="1"/>
    <w:qFormat/>
    <w:uiPriority w:val="0"/>
    <w:pPr>
      <w:numPr>
        <w:ilvl w:val="0"/>
        <w:numId w:val="1"/>
      </w:numPr>
      <w:ind w:firstLine="0" w:firstLineChars="0"/>
    </w:pPr>
    <w:rPr>
      <w:sz w:val="28"/>
      <w:szCs w:val="20"/>
    </w:rPr>
  </w:style>
  <w:style w:type="paragraph" w:styleId="8">
    <w:name w:val="caption"/>
    <w:basedOn w:val="1"/>
    <w:next w:val="1"/>
    <w:qFormat/>
    <w:uiPriority w:val="35"/>
    <w:rPr>
      <w:rFonts w:ascii="Arial" w:hAnsi="Arial" w:eastAsia="黑体"/>
      <w:sz w:val="20"/>
      <w:szCs w:val="20"/>
    </w:rPr>
  </w:style>
  <w:style w:type="paragraph" w:styleId="9">
    <w:name w:val="Document Map"/>
    <w:basedOn w:val="1"/>
    <w:link w:val="55"/>
    <w:qFormat/>
    <w:uiPriority w:val="0"/>
    <w:rPr>
      <w:rFonts w:ascii="宋体"/>
      <w:sz w:val="18"/>
      <w:szCs w:val="18"/>
    </w:rPr>
  </w:style>
  <w:style w:type="paragraph" w:styleId="10">
    <w:name w:val="annotation text"/>
    <w:basedOn w:val="1"/>
    <w:link w:val="53"/>
    <w:qFormat/>
    <w:uiPriority w:val="0"/>
    <w:pPr>
      <w:jc w:val="left"/>
    </w:pPr>
  </w:style>
  <w:style w:type="paragraph" w:styleId="11">
    <w:name w:val="Body Text"/>
    <w:basedOn w:val="1"/>
    <w:qFormat/>
    <w:uiPriority w:val="0"/>
    <w:pPr>
      <w:spacing w:after="120"/>
    </w:pPr>
  </w:style>
  <w:style w:type="paragraph" w:styleId="12">
    <w:name w:val="Body Text Indent"/>
    <w:basedOn w:val="1"/>
    <w:qFormat/>
    <w:uiPriority w:val="0"/>
    <w:pPr>
      <w:spacing w:line="600" w:lineRule="atLeast"/>
      <w:ind w:firstLine="560"/>
    </w:pPr>
    <w:rPr>
      <w:rFonts w:ascii="宋体" w:hAnsi="宋体" w:eastAsia="仿宋_GB2312"/>
      <w:sz w:val="28"/>
    </w:rPr>
  </w:style>
  <w:style w:type="paragraph" w:styleId="13">
    <w:name w:val="Plain Text"/>
    <w:basedOn w:val="1"/>
    <w:qFormat/>
    <w:uiPriority w:val="0"/>
    <w:rPr>
      <w:rFonts w:ascii="宋体" w:hAnsi="Courier New"/>
      <w:szCs w:val="20"/>
    </w:rPr>
  </w:style>
  <w:style w:type="paragraph" w:styleId="14">
    <w:name w:val="Body Text Indent 2"/>
    <w:basedOn w:val="1"/>
    <w:qFormat/>
    <w:uiPriority w:val="0"/>
    <w:pPr>
      <w:ind w:firstLine="560"/>
    </w:pPr>
  </w:style>
  <w:style w:type="paragraph" w:styleId="15">
    <w:name w:val="Balloon Text"/>
    <w:basedOn w:val="1"/>
    <w:link w:val="52"/>
    <w:qFormat/>
    <w:uiPriority w:val="0"/>
    <w:pPr>
      <w:spacing w:line="240" w:lineRule="auto"/>
    </w:pPr>
    <w:rPr>
      <w:sz w:val="18"/>
      <w:szCs w:val="18"/>
    </w:rPr>
  </w:style>
  <w:style w:type="paragraph" w:styleId="16">
    <w:name w:val="footer"/>
    <w:basedOn w:val="1"/>
    <w:qFormat/>
    <w:uiPriority w:val="99"/>
    <w:pPr>
      <w:tabs>
        <w:tab w:val="center" w:pos="4153"/>
        <w:tab w:val="right" w:pos="8306"/>
      </w:tabs>
      <w:jc w:val="left"/>
    </w:pPr>
    <w:rPr>
      <w:sz w:val="18"/>
      <w:szCs w:val="18"/>
    </w:rPr>
  </w:style>
  <w:style w:type="paragraph" w:styleId="17">
    <w:name w:val="header"/>
    <w:basedOn w:val="1"/>
    <w:qFormat/>
    <w:uiPriority w:val="0"/>
    <w:pPr>
      <w:pBdr>
        <w:bottom w:val="single" w:color="auto" w:sz="6" w:space="1"/>
      </w:pBdr>
      <w:tabs>
        <w:tab w:val="center" w:pos="4153"/>
        <w:tab w:val="right" w:pos="8306"/>
      </w:tabs>
      <w:jc w:val="center"/>
    </w:pPr>
    <w:rPr>
      <w:sz w:val="18"/>
      <w:szCs w:val="18"/>
    </w:rPr>
  </w:style>
  <w:style w:type="paragraph" w:styleId="18">
    <w:name w:val="toc 1"/>
    <w:basedOn w:val="1"/>
    <w:next w:val="1"/>
    <w:qFormat/>
    <w:uiPriority w:val="39"/>
  </w:style>
  <w:style w:type="paragraph" w:styleId="19">
    <w:name w:val="toc 2"/>
    <w:basedOn w:val="1"/>
    <w:next w:val="1"/>
    <w:qFormat/>
    <w:uiPriority w:val="0"/>
    <w:pPr>
      <w:ind w:left="420" w:leftChars="200"/>
    </w:pPr>
  </w:style>
  <w:style w:type="paragraph" w:styleId="20">
    <w:name w:val="Body Text 2"/>
    <w:basedOn w:val="1"/>
    <w:qFormat/>
    <w:uiPriority w:val="0"/>
    <w:pPr>
      <w:spacing w:line="480" w:lineRule="auto"/>
    </w:pPr>
  </w:style>
  <w:style w:type="paragraph" w:styleId="21">
    <w:name w:val="HTML Preformatted"/>
    <w:basedOn w:val="1"/>
    <w:qFormat/>
    <w:uiPriority w:val="99"/>
    <w:rPr>
      <w:rFonts w:ascii="Courier New" w:hAnsi="Courier New"/>
      <w:kern w:val="0"/>
      <w:sz w:val="20"/>
      <w:szCs w:val="20"/>
    </w:rPr>
  </w:style>
  <w:style w:type="paragraph" w:styleId="22">
    <w:name w:val="Normal (Web)"/>
    <w:basedOn w:val="1"/>
    <w:qFormat/>
    <w:uiPriority w:val="0"/>
  </w:style>
  <w:style w:type="paragraph" w:styleId="23">
    <w:name w:val="annotation subject"/>
    <w:basedOn w:val="10"/>
    <w:next w:val="10"/>
    <w:link w:val="54"/>
    <w:qFormat/>
    <w:uiPriority w:val="0"/>
    <w:rPr>
      <w:b/>
      <w:bCs/>
    </w:rPr>
  </w:style>
  <w:style w:type="paragraph" w:styleId="24">
    <w:name w:val="Body Text First Indent 2"/>
    <w:basedOn w:val="1"/>
    <w:qFormat/>
    <w:uiPriority w:val="0"/>
    <w:pPr>
      <w:spacing w:after="120" w:line="240" w:lineRule="auto"/>
      <w:ind w:left="420" w:leftChars="200" w:firstLine="420"/>
    </w:pPr>
  </w:style>
  <w:style w:type="table" w:styleId="26">
    <w:name w:val="Table Grid"/>
    <w:basedOn w:val="25"/>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8">
    <w:name w:val="page number"/>
    <w:basedOn w:val="27"/>
    <w:qFormat/>
    <w:uiPriority w:val="0"/>
  </w:style>
  <w:style w:type="character" w:styleId="29">
    <w:name w:val="annotation reference"/>
    <w:basedOn w:val="27"/>
    <w:qFormat/>
    <w:uiPriority w:val="0"/>
    <w:rPr>
      <w:sz w:val="21"/>
      <w:szCs w:val="21"/>
    </w:rPr>
  </w:style>
  <w:style w:type="paragraph" w:customStyle="1" w:styleId="30">
    <w:name w:val="一级"/>
    <w:basedOn w:val="31"/>
    <w:qFormat/>
    <w:uiPriority w:val="0"/>
    <w:rPr>
      <w:rFonts w:eastAsia="黑体"/>
      <w:bCs/>
      <w:szCs w:val="28"/>
    </w:rPr>
  </w:style>
  <w:style w:type="paragraph" w:customStyle="1" w:styleId="31">
    <w:name w:val="我的标题1"/>
    <w:basedOn w:val="4"/>
    <w:qFormat/>
    <w:uiPriority w:val="0"/>
    <w:pPr>
      <w:spacing w:before="0" w:after="0" w:line="800" w:lineRule="exact"/>
      <w:ind w:firstLine="0" w:firstLineChars="0"/>
      <w:jc w:val="left"/>
    </w:pPr>
    <w:rPr>
      <w:rFonts w:ascii="Times New Roman" w:hAnsi="Times New Roman" w:eastAsia="宋体"/>
      <w:bCs w:val="0"/>
      <w:sz w:val="28"/>
    </w:rPr>
  </w:style>
  <w:style w:type="paragraph" w:customStyle="1" w:styleId="32">
    <w:name w:val="正文(首行缩进)"/>
    <w:basedOn w:val="1"/>
    <w:qFormat/>
    <w:uiPriority w:val="0"/>
    <w:pPr>
      <w:ind w:firstLine="540" w:firstLineChars="225"/>
    </w:pPr>
    <w:rPr>
      <w:snapToGrid w:val="0"/>
      <w:color w:val="000000"/>
      <w:kern w:val="0"/>
      <w:szCs w:val="20"/>
    </w:rPr>
  </w:style>
  <w:style w:type="paragraph" w:customStyle="1" w:styleId="33">
    <w:name w:val="表内字"/>
    <w:basedOn w:val="1"/>
    <w:qFormat/>
    <w:uiPriority w:val="0"/>
    <w:pPr>
      <w:spacing w:line="320" w:lineRule="exact"/>
      <w:ind w:firstLine="560"/>
      <w:jc w:val="center"/>
    </w:pPr>
    <w:rPr>
      <w:sz w:val="22"/>
      <w:szCs w:val="22"/>
    </w:rPr>
  </w:style>
  <w:style w:type="paragraph" w:customStyle="1" w:styleId="34">
    <w:name w:val="二级"/>
    <w:basedOn w:val="1"/>
    <w:qFormat/>
    <w:uiPriority w:val="0"/>
    <w:pPr>
      <w:keepNext/>
      <w:keepLines/>
      <w:outlineLvl w:val="2"/>
    </w:pPr>
    <w:rPr>
      <w:rFonts w:eastAsia="黑体"/>
      <w:bCs/>
    </w:rPr>
  </w:style>
  <w:style w:type="paragraph" w:customStyle="1" w:styleId="35">
    <w:name w:val="报告书正文"/>
    <w:basedOn w:val="1"/>
    <w:next w:val="1"/>
    <w:qFormat/>
    <w:uiPriority w:val="0"/>
  </w:style>
  <w:style w:type="paragraph" w:customStyle="1" w:styleId="36">
    <w:name w:val="样式标题5"/>
    <w:basedOn w:val="1"/>
    <w:next w:val="35"/>
    <w:qFormat/>
    <w:uiPriority w:val="0"/>
    <w:pPr>
      <w:spacing w:line="520" w:lineRule="exact"/>
      <w:ind w:firstLine="400"/>
    </w:pPr>
  </w:style>
  <w:style w:type="paragraph" w:customStyle="1" w:styleId="37">
    <w:name w:val="三级"/>
    <w:basedOn w:val="1"/>
    <w:qFormat/>
    <w:uiPriority w:val="0"/>
    <w:pPr>
      <w:outlineLvl w:val="3"/>
    </w:pPr>
  </w:style>
  <w:style w:type="paragraph" w:customStyle="1" w:styleId="38">
    <w:name w:val="我的正文"/>
    <w:basedOn w:val="1"/>
    <w:qFormat/>
    <w:uiPriority w:val="0"/>
    <w:pPr>
      <w:spacing w:line="460" w:lineRule="atLeast"/>
      <w:ind w:firstLine="482"/>
    </w:pPr>
    <w:rPr>
      <w:rFonts w:ascii="Calibri" w:hAnsi="Calibri"/>
      <w:szCs w:val="22"/>
    </w:rPr>
  </w:style>
  <w:style w:type="paragraph" w:customStyle="1" w:styleId="39">
    <w:name w:val="表头图表"/>
    <w:qFormat/>
    <w:uiPriority w:val="0"/>
    <w:pPr>
      <w:widowControl w:val="0"/>
      <w:autoSpaceDE w:val="0"/>
      <w:autoSpaceDN w:val="0"/>
      <w:adjustRightInd w:val="0"/>
      <w:spacing w:before="160" w:after="160"/>
      <w:jc w:val="center"/>
    </w:pPr>
    <w:rPr>
      <w:rFonts w:ascii="Calibri" w:hAnsi="Calibri" w:eastAsia="宋体" w:cs="宋体"/>
      <w:b/>
      <w:color w:val="000000"/>
      <w:sz w:val="24"/>
      <w:szCs w:val="24"/>
      <w:lang w:val="en-US" w:eastAsia="zh-CN" w:bidi="ar-SA"/>
    </w:rPr>
  </w:style>
  <w:style w:type="paragraph" w:customStyle="1" w:styleId="40">
    <w:name w:val="Table Paragraph"/>
    <w:basedOn w:val="1"/>
    <w:qFormat/>
    <w:uiPriority w:val="1"/>
  </w:style>
  <w:style w:type="paragraph" w:customStyle="1" w:styleId="41">
    <w:name w:val="表格1"/>
    <w:basedOn w:val="2"/>
    <w:qFormat/>
    <w:uiPriority w:val="0"/>
    <w:pPr>
      <w:spacing w:after="0" w:line="360" w:lineRule="exact"/>
      <w:ind w:left="0" w:leftChars="0" w:right="0" w:rightChars="0"/>
      <w:jc w:val="center"/>
    </w:pPr>
    <w:rPr>
      <w:rFonts w:eastAsia="黑体"/>
      <w:kern w:val="0"/>
      <w:szCs w:val="28"/>
    </w:rPr>
  </w:style>
  <w:style w:type="paragraph" w:customStyle="1" w:styleId="42">
    <w:name w:val="第四章表头"/>
    <w:basedOn w:val="1"/>
    <w:qFormat/>
    <w:uiPriority w:val="0"/>
    <w:pPr>
      <w:numPr>
        <w:ilvl w:val="0"/>
        <w:numId w:val="2"/>
      </w:numPr>
      <w:jc w:val="center"/>
    </w:pPr>
    <w:rPr>
      <w:b/>
      <w:color w:val="0000FF"/>
    </w:rPr>
  </w:style>
  <w:style w:type="character" w:customStyle="1" w:styleId="43">
    <w:name w:val="font21"/>
    <w:basedOn w:val="27"/>
    <w:qFormat/>
    <w:uiPriority w:val="0"/>
    <w:rPr>
      <w:rFonts w:hint="default" w:ascii="Times New Roman" w:hAnsi="Times New Roman" w:cs="Times New Roman"/>
      <w:color w:val="000000"/>
      <w:sz w:val="22"/>
      <w:szCs w:val="22"/>
      <w:u w:val="none"/>
    </w:rPr>
  </w:style>
  <w:style w:type="character" w:customStyle="1" w:styleId="44">
    <w:name w:val="font11"/>
    <w:basedOn w:val="27"/>
    <w:qFormat/>
    <w:uiPriority w:val="0"/>
    <w:rPr>
      <w:rFonts w:hint="default" w:ascii="Times New Roman" w:hAnsi="Times New Roman" w:cs="Times New Roman"/>
      <w:color w:val="000000"/>
      <w:sz w:val="22"/>
      <w:szCs w:val="22"/>
      <w:u w:val="none"/>
    </w:rPr>
  </w:style>
  <w:style w:type="paragraph" w:customStyle="1" w:styleId="45">
    <w:name w:val="Default"/>
    <w:qFormat/>
    <w:uiPriority w:val="0"/>
    <w:pPr>
      <w:widowControl w:val="0"/>
      <w:autoSpaceDE w:val="0"/>
      <w:autoSpaceDN w:val="0"/>
      <w:adjustRightInd w:val="0"/>
    </w:pPr>
    <w:rPr>
      <w:rFonts w:ascii="宋体" w:hAnsi="Calibri" w:eastAsia="Calibri" w:cs="Times New Roman"/>
      <w:color w:val="000000"/>
      <w:sz w:val="24"/>
      <w:szCs w:val="24"/>
      <w:lang w:val="en-US" w:eastAsia="zh-CN" w:bidi="ar-SA"/>
    </w:rPr>
  </w:style>
  <w:style w:type="paragraph" w:customStyle="1" w:styleId="46">
    <w:name w:val="文字"/>
    <w:basedOn w:val="1"/>
    <w:qFormat/>
    <w:uiPriority w:val="0"/>
    <w:pPr>
      <w:widowControl/>
      <w:spacing w:afterLines="50"/>
      <w:ind w:firstLine="420"/>
    </w:pPr>
    <w:rPr>
      <w:kern w:val="0"/>
    </w:rPr>
  </w:style>
  <w:style w:type="paragraph" w:customStyle="1" w:styleId="47">
    <w:name w:val="正文文本 (9)1"/>
    <w:basedOn w:val="1"/>
    <w:qFormat/>
    <w:uiPriority w:val="0"/>
    <w:pPr>
      <w:shd w:val="clear" w:color="auto" w:fill="FFFFFF"/>
      <w:spacing w:after="240" w:line="240" w:lineRule="atLeast"/>
      <w:jc w:val="left"/>
    </w:pPr>
    <w:rPr>
      <w:rFonts w:ascii="MingLiU" w:eastAsia="MingLiU"/>
      <w:spacing w:val="20"/>
      <w:kern w:val="0"/>
      <w:sz w:val="20"/>
      <w:szCs w:val="20"/>
    </w:rPr>
  </w:style>
  <w:style w:type="paragraph" w:customStyle="1" w:styleId="48">
    <w:name w:val="缩进"/>
    <w:basedOn w:val="1"/>
    <w:qFormat/>
    <w:uiPriority w:val="0"/>
    <w:pPr>
      <w:autoSpaceDE w:val="0"/>
      <w:autoSpaceDN w:val="0"/>
      <w:spacing w:line="400" w:lineRule="atLeast"/>
      <w:textAlignment w:val="baseline"/>
    </w:pPr>
    <w:rPr>
      <w:kern w:val="0"/>
      <w:szCs w:val="20"/>
    </w:rPr>
  </w:style>
  <w:style w:type="paragraph" w:customStyle="1" w:styleId="49">
    <w:name w:val="格式正文，26磅"/>
    <w:basedOn w:val="1"/>
    <w:qFormat/>
    <w:uiPriority w:val="0"/>
    <w:pPr>
      <w:topLinePunct/>
      <w:spacing w:line="520" w:lineRule="exact"/>
    </w:pPr>
    <w:rPr>
      <w:rFonts w:ascii="宋体" w:hAnsi="宋体"/>
    </w:rPr>
  </w:style>
  <w:style w:type="paragraph" w:customStyle="1" w:styleId="50">
    <w:name w:val="WPSOffice手动目录 1"/>
    <w:qFormat/>
    <w:uiPriority w:val="0"/>
    <w:rPr>
      <w:rFonts w:ascii="Times New Roman" w:hAnsi="Times New Roman" w:eastAsia="宋体" w:cs="Times New Roman"/>
      <w:lang w:val="en-US" w:eastAsia="zh-CN" w:bidi="ar-SA"/>
    </w:rPr>
  </w:style>
  <w:style w:type="paragraph" w:customStyle="1" w:styleId="5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52">
    <w:name w:val="批注框文本 Char"/>
    <w:basedOn w:val="27"/>
    <w:link w:val="15"/>
    <w:qFormat/>
    <w:uiPriority w:val="0"/>
    <w:rPr>
      <w:kern w:val="2"/>
      <w:sz w:val="18"/>
      <w:szCs w:val="18"/>
    </w:rPr>
  </w:style>
  <w:style w:type="character" w:customStyle="1" w:styleId="53">
    <w:name w:val="批注文字 Char"/>
    <w:basedOn w:val="27"/>
    <w:link w:val="10"/>
    <w:qFormat/>
    <w:uiPriority w:val="0"/>
    <w:rPr>
      <w:kern w:val="2"/>
      <w:sz w:val="24"/>
      <w:szCs w:val="24"/>
    </w:rPr>
  </w:style>
  <w:style w:type="character" w:customStyle="1" w:styleId="54">
    <w:name w:val="批注主题 Char"/>
    <w:basedOn w:val="53"/>
    <w:link w:val="23"/>
    <w:qFormat/>
    <w:uiPriority w:val="0"/>
    <w:rPr>
      <w:b/>
      <w:bCs/>
    </w:rPr>
  </w:style>
  <w:style w:type="character" w:customStyle="1" w:styleId="55">
    <w:name w:val="文档结构图 Char"/>
    <w:basedOn w:val="27"/>
    <w:link w:val="9"/>
    <w:qFormat/>
    <w:uiPriority w:val="0"/>
    <w:rPr>
      <w:rFonts w:ascii="宋体"/>
      <w:kern w:val="2"/>
      <w:sz w:val="18"/>
      <w:szCs w:val="18"/>
    </w:rPr>
  </w:style>
  <w:style w:type="paragraph" w:customStyle="1" w:styleId="56">
    <w:name w:val="xry表格文字"/>
    <w:basedOn w:val="1"/>
    <w:qFormat/>
    <w:uiPriority w:val="0"/>
    <w:pPr>
      <w:jc w:val="center"/>
    </w:pPr>
    <w:rPr>
      <w:kern w:val="0"/>
      <w:sz w:val="20"/>
      <w:szCs w:val="24"/>
      <w:lang w:val="zh-CN"/>
    </w:rPr>
  </w:style>
  <w:style w:type="paragraph" w:customStyle="1" w:styleId="57">
    <w:name w:val="表格文字"/>
    <w:basedOn w:val="1"/>
    <w:qFormat/>
    <w:uiPriority w:val="0"/>
    <w:pPr>
      <w:adjustRightInd w:val="0"/>
      <w:snapToGrid w:val="0"/>
      <w:spacing w:before="31" w:beforeLines="10" w:line="460" w:lineRule="exact"/>
      <w:ind w:firstLine="200" w:firstLineChars="200"/>
      <w:jc w:val="center"/>
    </w:pPr>
    <w:rPr>
      <w:rFonts w:ascii="Times New Roman" w:hAnsi="Times New Roman" w:eastAsia="宋体" w:cs="Times New Roman"/>
      <w:snapToGrid w:val="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9" Type="http://schemas.openxmlformats.org/officeDocument/2006/relationships/fontTable" Target="fontTable.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35.png"/><Relationship Id="rId75" Type="http://schemas.openxmlformats.org/officeDocument/2006/relationships/image" Target="http://www.biaozhi.net/enews/UploadFiles/smallImg/1903.jpg" TargetMode="External"/><Relationship Id="rId74" Type="http://schemas.openxmlformats.org/officeDocument/2006/relationships/image" Target="media/image34.jpeg"/><Relationship Id="rId73" Type="http://schemas.openxmlformats.org/officeDocument/2006/relationships/hyperlink" Target="http://www.biaozhi.net/eNews/news/200602/0030_0000002014.shtml" TargetMode="External"/><Relationship Id="rId72" Type="http://schemas.openxmlformats.org/officeDocument/2006/relationships/image" Target="http://www.biaozhi.net/enews/UploadFiles/smallImg/785.gif" TargetMode="External"/><Relationship Id="rId71" Type="http://schemas.openxmlformats.org/officeDocument/2006/relationships/image" Target="media/image33.png"/><Relationship Id="rId70" Type="http://schemas.openxmlformats.org/officeDocument/2006/relationships/hyperlink" Target="http://www.biaozhi.net/eNews/news/200602/0029_0000000909.shtml" TargetMode="External"/><Relationship Id="rId7" Type="http://schemas.openxmlformats.org/officeDocument/2006/relationships/header" Target="header3.xml"/><Relationship Id="rId69" Type="http://schemas.openxmlformats.org/officeDocument/2006/relationships/image" Target="http://www.biaozhi.net/enews/UploadFiles/smallImg/783.gif" TargetMode="External"/><Relationship Id="rId68" Type="http://schemas.openxmlformats.org/officeDocument/2006/relationships/image" Target="media/image32.png"/><Relationship Id="rId67" Type="http://schemas.openxmlformats.org/officeDocument/2006/relationships/hyperlink" Target="http://www.biaozhi.net/eNews/news/200602/0029_0000000907.shtml" TargetMode="External"/><Relationship Id="rId66" Type="http://schemas.openxmlformats.org/officeDocument/2006/relationships/image" Target="media/image31.png"/><Relationship Id="rId65" Type="http://schemas.openxmlformats.org/officeDocument/2006/relationships/image" Target="media/image30.png"/><Relationship Id="rId64" Type="http://schemas.openxmlformats.org/officeDocument/2006/relationships/image" Target="media/image29.png"/><Relationship Id="rId63" Type="http://schemas.openxmlformats.org/officeDocument/2006/relationships/image" Target="media/image28.wmf"/><Relationship Id="rId62" Type="http://schemas.openxmlformats.org/officeDocument/2006/relationships/oleObject" Target="embeddings/oleObject5.bin"/><Relationship Id="rId61" Type="http://schemas.openxmlformats.org/officeDocument/2006/relationships/image" Target="media/image27.wmf"/><Relationship Id="rId60" Type="http://schemas.openxmlformats.org/officeDocument/2006/relationships/oleObject" Target="embeddings/oleObject4.bin"/><Relationship Id="rId6" Type="http://schemas.openxmlformats.org/officeDocument/2006/relationships/footer" Target="footer2.xml"/><Relationship Id="rId59" Type="http://schemas.openxmlformats.org/officeDocument/2006/relationships/image" Target="media/image26.wmf"/><Relationship Id="rId58" Type="http://schemas.openxmlformats.org/officeDocument/2006/relationships/oleObject" Target="embeddings/oleObject3.bin"/><Relationship Id="rId57" Type="http://schemas.openxmlformats.org/officeDocument/2006/relationships/image" Target="media/image25.png"/><Relationship Id="rId56" Type="http://schemas.openxmlformats.org/officeDocument/2006/relationships/image" Target="media/image24.png"/><Relationship Id="rId55" Type="http://schemas.openxmlformats.org/officeDocument/2006/relationships/image" Target="media/image23.wmf"/><Relationship Id="rId54" Type="http://schemas.openxmlformats.org/officeDocument/2006/relationships/oleObject" Target="embeddings/oleObject2.bin"/><Relationship Id="rId53" Type="http://schemas.openxmlformats.org/officeDocument/2006/relationships/image" Target="media/image22.png"/><Relationship Id="rId52" Type="http://schemas.openxmlformats.org/officeDocument/2006/relationships/image" Target="media/image21.png"/><Relationship Id="rId51" Type="http://schemas.openxmlformats.org/officeDocument/2006/relationships/image" Target="media/image20.jpeg"/><Relationship Id="rId50" Type="http://schemas.openxmlformats.org/officeDocument/2006/relationships/image" Target="media/image19.png"/><Relationship Id="rId5" Type="http://schemas.openxmlformats.org/officeDocument/2006/relationships/header" Target="header2.xml"/><Relationship Id="rId49" Type="http://schemas.openxmlformats.org/officeDocument/2006/relationships/image" Target="media/image18.emf"/><Relationship Id="rId48" Type="http://schemas.openxmlformats.org/officeDocument/2006/relationships/image" Target="media/image17.emf"/><Relationship Id="rId47" Type="http://schemas.openxmlformats.org/officeDocument/2006/relationships/image" Target="media/image16.emf"/><Relationship Id="rId46" Type="http://schemas.openxmlformats.org/officeDocument/2006/relationships/image" Target="media/image15.emf"/><Relationship Id="rId45" Type="http://schemas.openxmlformats.org/officeDocument/2006/relationships/image" Target="media/image14.wmf"/><Relationship Id="rId44" Type="http://schemas.openxmlformats.org/officeDocument/2006/relationships/oleObject" Target="embeddings/oleObject1.bin"/><Relationship Id="rId43" Type="http://schemas.openxmlformats.org/officeDocument/2006/relationships/image" Target="media/image13.png"/><Relationship Id="rId42" Type="http://schemas.openxmlformats.org/officeDocument/2006/relationships/image" Target="media/image12.png"/><Relationship Id="rId41" Type="http://schemas.openxmlformats.org/officeDocument/2006/relationships/image" Target="media/image11.png"/><Relationship Id="rId40" Type="http://schemas.openxmlformats.org/officeDocument/2006/relationships/image" Target="media/image10.png"/><Relationship Id="rId4" Type="http://schemas.openxmlformats.org/officeDocument/2006/relationships/footer" Target="footer1.xml"/><Relationship Id="rId39" Type="http://schemas.openxmlformats.org/officeDocument/2006/relationships/image" Target="media/image9.png"/><Relationship Id="rId38" Type="http://schemas.openxmlformats.org/officeDocument/2006/relationships/image" Target="media/image8.png"/><Relationship Id="rId37" Type="http://schemas.openxmlformats.org/officeDocument/2006/relationships/image" Target="media/image7.png"/><Relationship Id="rId36" Type="http://schemas.openxmlformats.org/officeDocument/2006/relationships/image" Target="media/image6.png"/><Relationship Id="rId35" Type="http://schemas.openxmlformats.org/officeDocument/2006/relationships/image" Target="media/image5.png"/><Relationship Id="rId34" Type="http://schemas.openxmlformats.org/officeDocument/2006/relationships/image" Target="media/image4.png"/><Relationship Id="rId33" Type="http://schemas.openxmlformats.org/officeDocument/2006/relationships/image" Target="media/image3.png"/><Relationship Id="rId32" Type="http://schemas.openxmlformats.org/officeDocument/2006/relationships/image" Target="media/image2.png"/><Relationship Id="rId31" Type="http://schemas.openxmlformats.org/officeDocument/2006/relationships/image" Target="media/image1.png"/><Relationship Id="rId30"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header" Target="header17.xml"/><Relationship Id="rId28" Type="http://schemas.openxmlformats.org/officeDocument/2006/relationships/header" Target="header16.xml"/><Relationship Id="rId27" Type="http://schemas.openxmlformats.org/officeDocument/2006/relationships/header" Target="header15.xml"/><Relationship Id="rId26" Type="http://schemas.openxmlformats.org/officeDocument/2006/relationships/header" Target="header14.xml"/><Relationship Id="rId25" Type="http://schemas.openxmlformats.org/officeDocument/2006/relationships/footer" Target="footer10.xml"/><Relationship Id="rId24" Type="http://schemas.openxmlformats.org/officeDocument/2006/relationships/footer" Target="footer9.xml"/><Relationship Id="rId23" Type="http://schemas.openxmlformats.org/officeDocument/2006/relationships/footer" Target="footer8.xml"/><Relationship Id="rId22" Type="http://schemas.openxmlformats.org/officeDocument/2006/relationships/header" Target="header13.xml"/><Relationship Id="rId21" Type="http://schemas.openxmlformats.org/officeDocument/2006/relationships/header" Target="header12.xml"/><Relationship Id="rId20" Type="http://schemas.openxmlformats.org/officeDocument/2006/relationships/header" Target="header11.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7.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394"/>
    <customShpInfo spid="_x0000_s2397"/>
    <customShpInfo spid="_x0000_s2398"/>
    <customShpInfo spid="_x0000_s23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24785</Words>
  <Characters>141280</Characters>
  <Lines>1177</Lines>
  <Paragraphs>331</Paragraphs>
  <TotalTime>28</TotalTime>
  <ScaleCrop>false</ScaleCrop>
  <LinksUpToDate>false</LinksUpToDate>
  <CharactersWithSpaces>165734</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2019-11-18T00:54:00Z</dcterms:created>
  <dc:creator>Administrator</dc:creator>
  <cp:lastModifiedBy>Wooding Ri.</cp:lastModifiedBy>
  <cp:lastPrinted>2020-01-02T03:47:00Z</cp:lastPrinted>
  <dcterms:modified xsi:type="dcterms:W3CDTF">2020-02-20T01:57:07Z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